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sz w:val="30"/>
          <w:szCs w:val="30"/>
          <w:lang w:val="en-US" w:eastAsia="zh-CN"/>
        </w:rPr>
      </w:pPr>
      <w:r>
        <w:rPr>
          <w:rFonts w:hint="eastAsia" w:ascii="黑体" w:hAnsi="黑体" w:eastAsia="黑体"/>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黑体" w:hAnsi="黑体" w:eastAsia="黑体" w:cs="Times New Roman"/>
          <w:color w:val="auto"/>
          <w:spacing w:val="0"/>
          <w:sz w:val="44"/>
          <w:szCs w:val="44"/>
          <w:lang w:val="en-US" w:eastAsia="zh-CN"/>
        </w:rPr>
      </w:pPr>
      <w:r>
        <w:rPr>
          <w:rFonts w:hint="eastAsia" w:ascii="黑体" w:hAnsi="黑体" w:eastAsia="黑体" w:cs="Times New Roman"/>
          <w:color w:val="auto"/>
          <w:spacing w:val="0"/>
          <w:sz w:val="44"/>
          <w:szCs w:val="44"/>
          <w:lang w:val="en-US" w:eastAsia="zh-CN"/>
        </w:rPr>
        <w:t>新疆克孜河大桥渠首除险加固工程临时用地土地复垦方案报告书</w:t>
      </w:r>
    </w:p>
    <w:p>
      <w:pPr>
        <w:tabs>
          <w:tab w:val="left" w:pos="2190"/>
          <w:tab w:val="center" w:pos="4153"/>
        </w:tabs>
        <w:spacing w:line="800" w:lineRule="exact"/>
        <w:jc w:val="center"/>
        <w:rPr>
          <w:rFonts w:ascii="黑体" w:hAnsi="黑体" w:eastAsia="黑体"/>
          <w:sz w:val="52"/>
          <w:szCs w:val="52"/>
        </w:rPr>
      </w:pPr>
    </w:p>
    <w:p>
      <w:pPr>
        <w:spacing w:line="800" w:lineRule="exact"/>
        <w:jc w:val="center"/>
        <w:rPr>
          <w:rFonts w:ascii="黑体" w:hAnsi="黑体" w:eastAsia="黑体"/>
          <w:sz w:val="44"/>
          <w:szCs w:val="44"/>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ind w:firstLine="560" w:firstLineChars="200"/>
        <w:jc w:val="left"/>
        <w:rPr>
          <w:rFonts w:eastAsia="仿宋_GB2312"/>
          <w:kern w:val="0"/>
          <w:sz w:val="28"/>
        </w:rPr>
      </w:pPr>
    </w:p>
    <w:p>
      <w:pPr>
        <w:widowControl/>
        <w:snapToGrid w:val="0"/>
        <w:spacing w:before="156" w:beforeLines="50" w:line="360" w:lineRule="auto"/>
        <w:jc w:val="left"/>
        <w:rPr>
          <w:rFonts w:eastAsia="仿宋_GB2312"/>
          <w:kern w:val="0"/>
          <w:sz w:val="28"/>
        </w:rPr>
      </w:pPr>
    </w:p>
    <w:p>
      <w:pPr>
        <w:keepNext w:val="0"/>
        <w:keepLines w:val="0"/>
        <w:pageBreakBefore w:val="0"/>
        <w:widowControl/>
        <w:kinsoku/>
        <w:wordWrap/>
        <w:overflowPunct/>
        <w:topLinePunct w:val="0"/>
        <w:autoSpaceDE/>
        <w:autoSpaceDN/>
        <w:bidi w:val="0"/>
        <w:adjustRightInd/>
        <w:snapToGrid w:val="0"/>
        <w:spacing w:before="157" w:beforeLines="50" w:line="240" w:lineRule="auto"/>
        <w:ind w:left="0" w:leftChars="0" w:right="0" w:rightChars="0" w:firstLine="0" w:firstLineChars="0"/>
        <w:jc w:val="left"/>
        <w:textAlignment w:val="auto"/>
        <w:outlineLvl w:val="9"/>
        <w:rPr>
          <w:rFonts w:hint="default" w:eastAsia="仿宋_GB2312"/>
          <w:kern w:val="0"/>
          <w:sz w:val="28"/>
          <w:lang w:val="vi-VN"/>
        </w:rPr>
      </w:pPr>
      <w:r>
        <w:rPr>
          <w:rFonts w:eastAsia="仿宋_GB2312"/>
          <w:kern w:val="0"/>
          <w:sz w:val="28"/>
        </w:rPr>
        <w:t xml:space="preserve">            </w:t>
      </w:r>
    </w:p>
    <w:p>
      <w:pPr>
        <w:spacing w:line="360" w:lineRule="auto"/>
        <w:ind w:firstLine="900" w:firstLineChars="300"/>
        <w:jc w:val="left"/>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项目单位：</w:t>
      </w:r>
      <w:r>
        <w:rPr>
          <w:rFonts w:hint="eastAsia" w:ascii="黑体" w:hAnsi="黑体" w:eastAsia="黑体" w:cs="黑体"/>
          <w:color w:val="auto"/>
          <w:sz w:val="30"/>
          <w:szCs w:val="30"/>
          <w:lang w:val="vi-VN" w:eastAsia="zh-CN"/>
        </w:rPr>
        <w:t>喀什地区盖孜库山河流域管理处</w:t>
      </w:r>
    </w:p>
    <w:p>
      <w:pPr>
        <w:spacing w:line="360" w:lineRule="auto"/>
        <w:jc w:val="left"/>
        <w:rPr>
          <w:rFonts w:hint="eastAsia" w:ascii="黑体" w:hAnsi="黑体" w:eastAsia="黑体" w:cs="黑体"/>
          <w:color w:val="auto"/>
          <w:sz w:val="30"/>
          <w:szCs w:val="30"/>
          <w:lang w:eastAsia="zh-CN"/>
        </w:rPr>
      </w:pPr>
    </w:p>
    <w:p>
      <w:pPr>
        <w:spacing w:line="360" w:lineRule="auto"/>
        <w:ind w:firstLine="1200" w:firstLineChars="400"/>
        <w:jc w:val="left"/>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eastAsia="zh-CN"/>
        </w:rPr>
        <w:t>编制单位：新疆国绘信息科技有限公司</w:t>
      </w:r>
    </w:p>
    <w:p>
      <w:pPr>
        <w:spacing w:line="360" w:lineRule="auto"/>
        <w:jc w:val="both"/>
        <w:rPr>
          <w:rFonts w:hint="eastAsia" w:ascii="黑体" w:hAnsi="黑体" w:eastAsia="黑体" w:cs="黑体"/>
          <w:color w:val="auto"/>
          <w:sz w:val="30"/>
          <w:szCs w:val="30"/>
          <w:lang w:val="en-US" w:eastAsia="zh-CN"/>
        </w:rPr>
      </w:pPr>
    </w:p>
    <w:p>
      <w:pPr>
        <w:spacing w:line="360" w:lineRule="auto"/>
        <w:jc w:val="center"/>
        <w:rPr>
          <w:b/>
          <w:sz w:val="36"/>
        </w:rPr>
      </w:pPr>
      <w:r>
        <w:rPr>
          <w:rFonts w:hint="eastAsia" w:ascii="黑体" w:hAnsi="黑体" w:eastAsia="黑体" w:cs="黑体"/>
          <w:color w:val="auto"/>
          <w:sz w:val="30"/>
          <w:szCs w:val="30"/>
          <w:lang w:val="en-US" w:eastAsia="zh-CN"/>
        </w:rPr>
        <w:t>2024年2月28日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color w:val="auto"/>
          <w:spacing w:val="-20"/>
          <w:sz w:val="44"/>
          <w:szCs w:val="44"/>
        </w:rPr>
      </w:pPr>
      <w:r>
        <w:rPr>
          <w:rFonts w:hint="eastAsia" w:ascii="黑体" w:hAnsi="黑体" w:eastAsia="黑体"/>
          <w:color w:val="auto"/>
          <w:spacing w:val="0"/>
          <w:sz w:val="44"/>
          <w:szCs w:val="44"/>
          <w:lang w:val="en-US" w:eastAsia="zh-CN"/>
        </w:rPr>
        <w:t>新疆克孜河大桥渠首除险加固工程</w:t>
      </w:r>
      <w:r>
        <w:rPr>
          <w:rFonts w:hint="eastAsia" w:ascii="黑体" w:hAnsi="黑体" w:eastAsia="黑体"/>
          <w:color w:val="auto"/>
          <w:spacing w:val="0"/>
          <w:sz w:val="44"/>
          <w:szCs w:val="44"/>
        </w:rPr>
        <w:t>临时用地</w:t>
      </w:r>
      <w:r>
        <w:rPr>
          <w:rFonts w:ascii="黑体" w:hAnsi="黑体" w:eastAsia="黑体"/>
          <w:color w:val="auto"/>
          <w:spacing w:val="0"/>
          <w:sz w:val="44"/>
          <w:szCs w:val="44"/>
        </w:rPr>
        <w:t>土地复垦方案报告书</w:t>
      </w:r>
    </w:p>
    <w:p/>
    <w:p>
      <w:pPr>
        <w:rPr>
          <w:rFonts w:eastAsia="仿宋_GB2312"/>
          <w:color w:val="auto"/>
          <w:kern w:val="0"/>
          <w:sz w:val="18"/>
          <w:szCs w:val="18"/>
          <w:u w:val="none" w:color="auto"/>
          <w:lang w:val="vi-VN"/>
        </w:rPr>
      </w:pPr>
    </w:p>
    <w:p>
      <w:pPr>
        <w:rPr>
          <w:rFonts w:eastAsia="仿宋_GB2312"/>
          <w:color w:val="auto"/>
          <w:kern w:val="0"/>
          <w:sz w:val="18"/>
          <w:szCs w:val="18"/>
          <w:u w:val="none" w:color="auto"/>
          <w:lang w:val="vi-VN"/>
        </w:rPr>
      </w:pPr>
    </w:p>
    <w:p>
      <w:pPr>
        <w:rPr>
          <w:rFonts w:eastAsia="仿宋_GB2312"/>
          <w:color w:val="auto"/>
          <w:kern w:val="0"/>
          <w:sz w:val="18"/>
          <w:szCs w:val="18"/>
          <w:u w:val="none" w:color="auto"/>
          <w:lang w:val="vi-VN"/>
        </w:rPr>
      </w:pPr>
    </w:p>
    <w:p>
      <w:pPr>
        <w:rPr>
          <w:rFonts w:eastAsia="仿宋_GB2312"/>
          <w:color w:val="auto"/>
          <w:kern w:val="0"/>
          <w:sz w:val="28"/>
          <w:u w:val="none" w:color="auto"/>
          <w:lang w:val="vi-VN"/>
        </w:rPr>
      </w:pPr>
    </w:p>
    <w:p>
      <w:pPr>
        <w:rPr>
          <w:rFonts w:hint="eastAsia" w:eastAsia="仿宋_GB2312"/>
          <w:color w:val="auto"/>
          <w:kern w:val="0"/>
          <w:sz w:val="28"/>
          <w:u w:val="single" w:color="auto"/>
          <w:lang w:val="en-US" w:eastAsia="zh-CN"/>
        </w:rPr>
      </w:pPr>
      <w:r>
        <w:rPr>
          <w:rFonts w:eastAsia="仿宋_GB2312"/>
          <w:color w:val="auto"/>
          <w:kern w:val="0"/>
          <w:sz w:val="28"/>
          <w:u w:val="none" w:color="auto"/>
          <w:lang w:val="vi-VN"/>
        </w:rPr>
        <w:t>项目名称：</w:t>
      </w:r>
      <w:r>
        <w:rPr>
          <w:rFonts w:hint="eastAsia" w:eastAsia="仿宋_GB2312"/>
          <w:color w:val="auto"/>
          <w:kern w:val="0"/>
          <w:sz w:val="28"/>
          <w:u w:val="single" w:color="auto"/>
          <w:lang w:val="en-US" w:eastAsia="zh-CN"/>
        </w:rPr>
        <w:t xml:space="preserve">       </w:t>
      </w:r>
      <w:r>
        <w:rPr>
          <w:rFonts w:hint="eastAsia" w:ascii="仿宋_GB2312" w:hAnsi="Times New Roman" w:eastAsia="仿宋_GB2312" w:cs="Times New Roman"/>
          <w:color w:val="auto"/>
          <w:kern w:val="0"/>
          <w:sz w:val="28"/>
          <w:u w:val="single" w:color="auto"/>
          <w:lang w:val="en-US" w:eastAsia="zh-CN"/>
        </w:rPr>
        <w:t>新疆克孜河大桥渠首除险加固工程</w:t>
      </w:r>
      <w:r>
        <w:rPr>
          <w:rFonts w:hint="eastAsia" w:ascii="仿宋_GB2312" w:eastAsia="仿宋_GB2312"/>
          <w:color w:val="auto"/>
          <w:kern w:val="0"/>
          <w:sz w:val="28"/>
          <w:u w:val="single" w:color="auto"/>
          <w:lang w:val="en-US" w:eastAsia="zh-CN"/>
        </w:rPr>
        <w:t xml:space="preserve">      </w:t>
      </w:r>
      <w:r>
        <w:rPr>
          <w:rFonts w:hint="eastAsia" w:eastAsia="仿宋_GB2312"/>
          <w:color w:val="auto"/>
          <w:kern w:val="0"/>
          <w:sz w:val="28"/>
          <w:u w:val="single" w:color="auto"/>
          <w:lang w:val="en-US" w:eastAsia="zh-CN"/>
        </w:rPr>
        <w:t xml:space="preserve">       </w:t>
      </w:r>
    </w:p>
    <w:p>
      <w:pPr>
        <w:widowControl/>
        <w:snapToGrid w:val="0"/>
        <w:spacing w:before="156" w:beforeLines="50" w:line="360" w:lineRule="auto"/>
        <w:ind w:left="1540" w:hanging="1540" w:hangingChars="550"/>
        <w:jc w:val="left"/>
        <w:rPr>
          <w:rFonts w:eastAsia="仿宋_GB2312"/>
          <w:color w:val="auto"/>
          <w:kern w:val="0"/>
          <w:sz w:val="28"/>
          <w:u w:val="none" w:color="auto"/>
          <w:lang w:val="vi-VN"/>
        </w:rPr>
      </w:pPr>
    </w:p>
    <w:p>
      <w:pPr>
        <w:widowControl/>
        <w:snapToGrid w:val="0"/>
        <w:spacing w:before="156" w:beforeLines="50" w:line="360" w:lineRule="auto"/>
        <w:ind w:left="1540" w:hanging="1540" w:hangingChars="550"/>
        <w:jc w:val="left"/>
        <w:rPr>
          <w:rFonts w:ascii="仿宋_GB2312" w:hAnsi="黑体" w:eastAsia="仿宋_GB2312"/>
          <w:color w:val="auto"/>
          <w:sz w:val="28"/>
          <w:szCs w:val="28"/>
          <w:u w:val="single" w:color="auto"/>
        </w:rPr>
      </w:pPr>
      <w:r>
        <w:rPr>
          <w:rFonts w:eastAsia="仿宋_GB2312"/>
          <w:color w:val="auto"/>
          <w:kern w:val="0"/>
          <w:sz w:val="28"/>
          <w:u w:val="none" w:color="auto"/>
          <w:lang w:val="vi-VN"/>
        </w:rPr>
        <w:t>项目单位：</w:t>
      </w:r>
      <w:r>
        <w:rPr>
          <w:rFonts w:hint="eastAsia" w:eastAsia="仿宋_GB2312"/>
          <w:color w:val="auto"/>
          <w:kern w:val="0"/>
          <w:sz w:val="28"/>
          <w:u w:val="single" w:color="auto"/>
          <w:lang w:val="en-US" w:eastAsia="zh-CN"/>
        </w:rPr>
        <w:t xml:space="preserve">       </w:t>
      </w:r>
      <w:r>
        <w:rPr>
          <w:rFonts w:hint="eastAsia" w:ascii="仿宋_GB2312" w:eastAsia="仿宋_GB2312"/>
          <w:color w:val="auto"/>
          <w:kern w:val="0"/>
          <w:sz w:val="28"/>
          <w:u w:val="single" w:color="auto"/>
          <w:lang w:val="en-US" w:eastAsia="zh-CN"/>
        </w:rPr>
        <w:t xml:space="preserve"> 喀什地区盖孜库山河流域管理处     </w:t>
      </w:r>
      <w:r>
        <w:rPr>
          <w:rFonts w:hint="eastAsia" w:eastAsia="仿宋_GB2312"/>
          <w:color w:val="auto"/>
          <w:kern w:val="0"/>
          <w:sz w:val="28"/>
          <w:u w:val="single" w:color="auto"/>
          <w:lang w:val="en-US" w:eastAsia="zh-CN"/>
        </w:rPr>
        <w:t xml:space="preserve">                    </w:t>
      </w:r>
    </w:p>
    <w:p>
      <w:pPr>
        <w:spacing w:line="480" w:lineRule="auto"/>
        <w:rPr>
          <w:rFonts w:ascii="仿宋_GB2312" w:hAnsi="黑体" w:eastAsia="仿宋_GB2312"/>
          <w:color w:val="auto"/>
          <w:sz w:val="28"/>
          <w:szCs w:val="28"/>
          <w:u w:val="none" w:color="auto"/>
        </w:rPr>
      </w:pPr>
    </w:p>
    <w:p>
      <w:pPr>
        <w:widowControl/>
        <w:snapToGrid w:val="0"/>
        <w:spacing w:before="156" w:beforeLines="50" w:line="360" w:lineRule="auto"/>
        <w:ind w:left="1540" w:hanging="1540" w:hangingChars="550"/>
        <w:jc w:val="left"/>
        <w:rPr>
          <w:rFonts w:eastAsia="仿宋_GB2312"/>
          <w:color w:val="auto"/>
          <w:kern w:val="0"/>
          <w:sz w:val="28"/>
          <w:u w:val="none" w:color="auto"/>
          <w:lang w:val="vi-VN"/>
        </w:rPr>
      </w:pPr>
      <w:r>
        <w:rPr>
          <w:rFonts w:eastAsia="仿宋_GB2312"/>
          <w:color w:val="auto"/>
          <w:kern w:val="0"/>
          <w:sz w:val="28"/>
          <w:u w:val="none" w:color="auto"/>
          <w:lang w:val="vi-VN"/>
        </w:rPr>
        <w:t>单位地址：</w:t>
      </w:r>
      <w:r>
        <w:rPr>
          <w:rFonts w:hint="eastAsia" w:ascii="仿宋_GB2312" w:hAnsi="Times New Roman" w:eastAsia="仿宋_GB2312" w:cs="Times New Roman"/>
          <w:color w:val="auto"/>
          <w:spacing w:val="-40"/>
          <w:kern w:val="0"/>
          <w:sz w:val="28"/>
          <w:u w:val="single" w:color="auto"/>
          <w:lang w:val="en-US" w:eastAsia="zh-CN"/>
        </w:rPr>
        <w:t xml:space="preserve">                                  喀什市克孜都维路193号</w:t>
      </w:r>
      <w:r>
        <w:rPr>
          <w:rFonts w:hint="eastAsia" w:ascii="仿宋_GB2312" w:hAnsi="Times New Roman" w:eastAsia="仿宋_GB2312" w:cs="Times New Roman"/>
          <w:color w:val="auto"/>
          <w:kern w:val="0"/>
          <w:sz w:val="28"/>
          <w:u w:val="single" w:color="auto"/>
          <w:lang w:val="en-US" w:eastAsia="zh-CN"/>
        </w:rPr>
        <w:t xml:space="preserve">   </w:t>
      </w:r>
      <w:r>
        <w:rPr>
          <w:rFonts w:hint="eastAsia" w:ascii="仿宋_GB2312" w:eastAsia="仿宋_GB2312"/>
          <w:color w:val="auto"/>
          <w:kern w:val="0"/>
          <w:sz w:val="28"/>
          <w:u w:val="single" w:color="auto"/>
          <w:lang w:val="en-US" w:eastAsia="zh-CN"/>
        </w:rPr>
        <w:t xml:space="preserve">              </w:t>
      </w:r>
      <w:r>
        <w:rPr>
          <w:rFonts w:hint="eastAsia" w:eastAsia="仿宋_GB2312"/>
          <w:color w:val="auto"/>
          <w:kern w:val="0"/>
          <w:sz w:val="28"/>
          <w:u w:val="single" w:color="auto"/>
          <w:lang w:val="en-US" w:eastAsia="zh-CN"/>
        </w:rPr>
        <w:t xml:space="preserve">  </w:t>
      </w:r>
      <w:r>
        <w:rPr>
          <w:rFonts w:hint="eastAsia" w:eastAsia="仿宋_GB2312"/>
          <w:color w:val="auto"/>
          <w:kern w:val="0"/>
          <w:sz w:val="28"/>
          <w:u w:val="none" w:color="auto"/>
          <w:lang w:val="en-US" w:eastAsia="zh-CN"/>
        </w:rPr>
        <w:t xml:space="preserve"> </w:t>
      </w:r>
    </w:p>
    <w:p>
      <w:pPr>
        <w:widowControl/>
        <w:snapToGrid w:val="0"/>
        <w:spacing w:before="156" w:beforeLines="50" w:line="360" w:lineRule="auto"/>
        <w:ind w:left="1540" w:hanging="1540" w:hangingChars="550"/>
        <w:jc w:val="left"/>
        <w:rPr>
          <w:rFonts w:eastAsia="仿宋_GB2312"/>
          <w:color w:val="auto"/>
          <w:kern w:val="0"/>
          <w:sz w:val="28"/>
          <w:u w:val="none" w:color="auto"/>
        </w:rPr>
      </w:pPr>
    </w:p>
    <w:p>
      <w:pPr>
        <w:widowControl/>
        <w:snapToGrid w:val="0"/>
        <w:spacing w:before="156" w:beforeLines="50" w:line="360" w:lineRule="auto"/>
        <w:ind w:left="1540" w:hanging="1540" w:hangingChars="550"/>
        <w:jc w:val="left"/>
        <w:rPr>
          <w:rFonts w:eastAsia="仿宋_GB2312"/>
          <w:color w:val="auto"/>
          <w:kern w:val="0"/>
          <w:sz w:val="28"/>
          <w:u w:val="single" w:color="auto"/>
        </w:rPr>
      </w:pPr>
      <w:r>
        <w:rPr>
          <w:rFonts w:eastAsia="仿宋_GB2312"/>
          <w:color w:val="auto"/>
          <w:kern w:val="0"/>
          <w:sz w:val="28"/>
          <w:u w:val="none" w:color="auto"/>
          <w:lang w:val="vi-VN"/>
        </w:rPr>
        <w:t>联</w:t>
      </w:r>
      <w:r>
        <w:rPr>
          <w:rFonts w:hint="default" w:eastAsia="仿宋_GB2312"/>
          <w:color w:val="auto"/>
          <w:kern w:val="0"/>
          <w:sz w:val="28"/>
          <w:u w:val="none" w:color="auto"/>
          <w:lang w:val="vi-VN"/>
        </w:rPr>
        <w:t xml:space="preserve"> </w:t>
      </w:r>
      <w:r>
        <w:rPr>
          <w:rFonts w:eastAsia="仿宋_GB2312"/>
          <w:color w:val="auto"/>
          <w:kern w:val="0"/>
          <w:sz w:val="28"/>
          <w:u w:val="none" w:color="auto"/>
          <w:lang w:val="vi-VN"/>
        </w:rPr>
        <w:t>系</w:t>
      </w:r>
      <w:r>
        <w:rPr>
          <w:rFonts w:hint="default" w:eastAsia="仿宋_GB2312"/>
          <w:color w:val="auto"/>
          <w:kern w:val="0"/>
          <w:sz w:val="28"/>
          <w:u w:val="none" w:color="auto"/>
          <w:lang w:val="vi-VN"/>
        </w:rPr>
        <w:t xml:space="preserve"> </w:t>
      </w:r>
      <w:r>
        <w:rPr>
          <w:rFonts w:eastAsia="仿宋_GB2312"/>
          <w:color w:val="auto"/>
          <w:kern w:val="0"/>
          <w:sz w:val="28"/>
          <w:u w:val="none" w:color="auto"/>
          <w:lang w:val="vi-VN"/>
        </w:rPr>
        <w:t>人：</w:t>
      </w:r>
      <w:r>
        <w:rPr>
          <w:rFonts w:eastAsia="仿宋_GB2312"/>
          <w:color w:val="auto"/>
          <w:kern w:val="0"/>
          <w:sz w:val="28"/>
          <w:u w:val="single" w:color="auto"/>
        </w:rPr>
        <w:t xml:space="preserve">      </w:t>
      </w:r>
      <w:r>
        <w:rPr>
          <w:rFonts w:hint="eastAsia" w:ascii="仿宋_GB2312" w:eastAsia="仿宋_GB2312"/>
          <w:color w:val="auto"/>
          <w:kern w:val="0"/>
          <w:sz w:val="28"/>
          <w:u w:val="single" w:color="auto"/>
          <w:lang w:val="en-US" w:eastAsia="zh-CN"/>
        </w:rPr>
        <w:t xml:space="preserve">        </w:t>
      </w:r>
      <w:r>
        <w:rPr>
          <w:rFonts w:hint="eastAsia" w:ascii="仿宋_GB2312" w:hAnsi="Times New Roman" w:eastAsia="仿宋_GB2312" w:cs="Times New Roman"/>
          <w:color w:val="auto"/>
          <w:kern w:val="0"/>
          <w:sz w:val="28"/>
          <w:u w:val="single" w:color="auto"/>
          <w:lang w:val="en-US" w:eastAsia="zh-CN"/>
        </w:rPr>
        <w:t xml:space="preserve">            </w:t>
      </w:r>
      <w:r>
        <w:rPr>
          <w:rFonts w:hint="eastAsia" w:ascii="仿宋_GB2312" w:eastAsia="仿宋_GB2312"/>
          <w:color w:val="auto"/>
          <w:kern w:val="0"/>
          <w:sz w:val="28"/>
          <w:u w:val="single" w:color="auto"/>
          <w:lang w:val="en-US" w:eastAsia="zh-CN"/>
        </w:rPr>
        <w:t xml:space="preserve">   </w:t>
      </w:r>
      <w:r>
        <w:rPr>
          <w:rFonts w:eastAsia="仿宋_GB2312"/>
          <w:color w:val="auto"/>
          <w:kern w:val="0"/>
          <w:sz w:val="28"/>
          <w:u w:val="single" w:color="auto"/>
        </w:rPr>
        <w:t xml:space="preserve">       </w:t>
      </w:r>
      <w:r>
        <w:rPr>
          <w:rFonts w:hint="eastAsia" w:eastAsia="仿宋_GB2312"/>
          <w:color w:val="auto"/>
          <w:kern w:val="0"/>
          <w:sz w:val="28"/>
          <w:u w:val="single" w:color="auto"/>
          <w:lang w:val="en-US" w:eastAsia="zh-CN"/>
        </w:rPr>
        <w:t xml:space="preserve">                  </w:t>
      </w:r>
    </w:p>
    <w:p>
      <w:pPr>
        <w:widowControl/>
        <w:snapToGrid w:val="0"/>
        <w:spacing w:before="156" w:beforeLines="50" w:line="360" w:lineRule="auto"/>
        <w:ind w:firstLine="560" w:firstLineChars="200"/>
        <w:jc w:val="left"/>
        <w:rPr>
          <w:rFonts w:hint="default" w:eastAsia="仿宋_GB2312"/>
          <w:color w:val="auto"/>
          <w:kern w:val="0"/>
          <w:sz w:val="28"/>
          <w:u w:val="none" w:color="auto"/>
          <w:lang w:val="vi-VN"/>
        </w:rPr>
      </w:pPr>
      <w:r>
        <w:rPr>
          <w:rFonts w:eastAsia="仿宋_GB2312"/>
          <w:color w:val="auto"/>
          <w:kern w:val="0"/>
          <w:sz w:val="28"/>
          <w:u w:val="none" w:color="auto"/>
        </w:rPr>
        <w:t xml:space="preserve">                 </w:t>
      </w:r>
    </w:p>
    <w:p>
      <w:pPr>
        <w:widowControl/>
        <w:snapToGrid w:val="0"/>
        <w:spacing w:before="156" w:beforeLines="50" w:line="360" w:lineRule="auto"/>
        <w:ind w:left="1540" w:hanging="1540" w:hangingChars="550"/>
        <w:jc w:val="left"/>
        <w:rPr>
          <w:rFonts w:eastAsia="仿宋_GB2312"/>
          <w:color w:val="auto"/>
          <w:kern w:val="0"/>
          <w:sz w:val="28"/>
          <w:u w:val="single" w:color="auto"/>
          <w:lang w:val="vi-VN"/>
        </w:rPr>
      </w:pPr>
      <w:r>
        <w:rPr>
          <w:rFonts w:eastAsia="仿宋_GB2312"/>
          <w:color w:val="auto"/>
          <w:kern w:val="0"/>
          <w:sz w:val="28"/>
          <w:u w:val="none" w:color="auto"/>
          <w:lang w:val="vi-VN"/>
        </w:rPr>
        <w:t>电</w:t>
      </w:r>
      <w:r>
        <w:rPr>
          <w:rFonts w:hint="default" w:eastAsia="仿宋_GB2312"/>
          <w:color w:val="auto"/>
          <w:kern w:val="0"/>
          <w:sz w:val="28"/>
          <w:u w:val="none" w:color="auto"/>
          <w:lang w:val="vi-VN"/>
        </w:rPr>
        <w:t xml:space="preserve">    </w:t>
      </w:r>
      <w:r>
        <w:rPr>
          <w:rFonts w:eastAsia="仿宋_GB2312"/>
          <w:color w:val="auto"/>
          <w:kern w:val="0"/>
          <w:sz w:val="28"/>
          <w:u w:val="none" w:color="auto"/>
          <w:lang w:val="vi-VN"/>
        </w:rPr>
        <w:t>话：</w:t>
      </w:r>
      <w:r>
        <w:rPr>
          <w:rFonts w:eastAsia="仿宋_GB2312"/>
          <w:color w:val="auto"/>
          <w:kern w:val="0"/>
          <w:sz w:val="28"/>
          <w:u w:val="single" w:color="auto"/>
        </w:rPr>
        <w:t xml:space="preserve">   </w:t>
      </w:r>
      <w:r>
        <w:rPr>
          <w:rFonts w:hint="eastAsia" w:ascii="仿宋_GB2312" w:eastAsia="仿宋_GB2312"/>
          <w:color w:val="auto"/>
          <w:kern w:val="0"/>
          <w:sz w:val="28"/>
          <w:u w:val="single" w:color="auto"/>
          <w:lang w:val="en-US" w:eastAsia="zh-CN"/>
        </w:rPr>
        <w:t xml:space="preserve">        </w:t>
      </w:r>
      <w:r>
        <w:rPr>
          <w:rFonts w:hint="eastAsia" w:ascii="仿宋_GB2312" w:eastAsia="仿宋_GB2312"/>
          <w:color w:val="auto"/>
          <w:kern w:val="0"/>
          <w:sz w:val="28"/>
          <w:u w:val="single" w:color="auto"/>
          <w:lang w:val="vi-VN" w:eastAsia="zh-CN"/>
        </w:rPr>
        <w:t xml:space="preserve">  </w:t>
      </w:r>
      <w:r>
        <w:rPr>
          <w:rFonts w:hint="eastAsia" w:ascii="仿宋_GB2312" w:hAnsi="Times New Roman" w:eastAsia="仿宋_GB2312" w:cs="Times New Roman"/>
          <w:color w:val="auto"/>
          <w:kern w:val="0"/>
          <w:sz w:val="28"/>
          <w:u w:val="single" w:color="auto"/>
          <w:lang w:val="vi-VN" w:eastAsia="zh-CN"/>
        </w:rPr>
        <w:t xml:space="preserve"> </w:t>
      </w:r>
      <w:r>
        <w:rPr>
          <w:rFonts w:hint="eastAsia" w:ascii="仿宋_GB2312" w:hAnsi="Times New Roman" w:eastAsia="仿宋_GB2312" w:cs="Times New Roman"/>
          <w:color w:val="auto"/>
          <w:kern w:val="0"/>
          <w:sz w:val="28"/>
          <w:u w:val="single" w:color="auto"/>
          <w:lang w:val="en-US" w:eastAsia="zh-CN"/>
        </w:rPr>
        <w:t xml:space="preserve">            </w:t>
      </w:r>
      <w:r>
        <w:rPr>
          <w:rFonts w:hint="default" w:ascii="仿宋_GB2312" w:hAnsi="Times New Roman" w:eastAsia="仿宋_GB2312" w:cs="Times New Roman"/>
          <w:color w:val="auto"/>
          <w:kern w:val="0"/>
          <w:sz w:val="28"/>
          <w:u w:val="single" w:color="auto"/>
          <w:lang w:val="vi-VN" w:eastAsia="zh-CN"/>
        </w:rPr>
        <w:t xml:space="preserve"> </w:t>
      </w:r>
      <w:r>
        <w:rPr>
          <w:rFonts w:hint="default" w:ascii="仿宋_GB2312" w:eastAsia="仿宋_GB2312"/>
          <w:color w:val="auto"/>
          <w:kern w:val="0"/>
          <w:sz w:val="28"/>
          <w:u w:val="single" w:color="auto"/>
          <w:lang w:val="vi-VN" w:eastAsia="zh-CN"/>
        </w:rPr>
        <w:t xml:space="preserve">  </w:t>
      </w:r>
      <w:r>
        <w:rPr>
          <w:rFonts w:hint="eastAsia" w:eastAsia="仿宋_GB2312"/>
          <w:color w:val="auto"/>
          <w:kern w:val="0"/>
          <w:sz w:val="28"/>
          <w:u w:val="single" w:color="auto"/>
          <w:lang w:val="en-US" w:eastAsia="zh-CN"/>
        </w:rPr>
        <w:t xml:space="preserve">                    </w:t>
      </w:r>
    </w:p>
    <w:p>
      <w:pPr>
        <w:widowControl/>
        <w:snapToGrid w:val="0"/>
        <w:spacing w:before="156" w:beforeLines="50" w:line="360" w:lineRule="auto"/>
        <w:jc w:val="left"/>
        <w:rPr>
          <w:rFonts w:hint="default" w:eastAsia="仿宋_GB2312"/>
          <w:color w:val="auto"/>
          <w:kern w:val="0"/>
          <w:sz w:val="28"/>
          <w:u w:val="none" w:color="auto"/>
          <w:lang w:val="vi-VN"/>
        </w:rPr>
      </w:pPr>
      <w:r>
        <w:rPr>
          <w:rFonts w:hint="default" w:eastAsia="仿宋_GB2312"/>
          <w:color w:val="auto"/>
          <w:kern w:val="0"/>
          <w:sz w:val="28"/>
          <w:u w:val="none" w:color="auto"/>
          <w:lang w:val="vi-VN"/>
        </w:rPr>
        <w:t xml:space="preserve">  </w:t>
      </w:r>
    </w:p>
    <w:p>
      <w:pPr>
        <w:rPr>
          <w:rFonts w:hint="eastAsia" w:eastAsia="仿宋_GB2312"/>
          <w:color w:val="auto"/>
          <w:kern w:val="0"/>
          <w:sz w:val="28"/>
          <w:u w:val="single" w:color="auto"/>
          <w:lang w:val="en-US" w:eastAsia="zh-CN"/>
        </w:rPr>
      </w:pPr>
      <w:r>
        <w:rPr>
          <w:rFonts w:eastAsia="仿宋_GB2312"/>
          <w:color w:val="auto"/>
          <w:kern w:val="0"/>
          <w:sz w:val="28"/>
          <w:u w:val="none" w:color="auto"/>
          <w:lang w:val="vi-VN"/>
        </w:rPr>
        <w:t>送审时间：</w:t>
      </w:r>
      <w:r>
        <w:rPr>
          <w:rFonts w:eastAsia="仿宋_GB2312"/>
          <w:color w:val="auto"/>
          <w:kern w:val="0"/>
          <w:sz w:val="28"/>
          <w:u w:val="single" w:color="auto"/>
        </w:rPr>
        <w:t xml:space="preserve">              </w:t>
      </w:r>
      <w:r>
        <w:rPr>
          <w:rFonts w:hint="eastAsia" w:eastAsia="仿宋_GB2312"/>
          <w:color w:val="auto"/>
          <w:kern w:val="0"/>
          <w:sz w:val="28"/>
          <w:u w:val="single" w:color="auto"/>
          <w:lang w:val="en-US" w:eastAsia="zh-CN"/>
        </w:rPr>
        <w:t xml:space="preserve">  </w:t>
      </w:r>
      <w:r>
        <w:rPr>
          <w:rFonts w:eastAsia="仿宋_GB2312"/>
          <w:color w:val="auto"/>
          <w:kern w:val="0"/>
          <w:sz w:val="28"/>
          <w:u w:val="single" w:color="auto"/>
        </w:rPr>
        <w:t xml:space="preserve"> </w:t>
      </w:r>
      <w:r>
        <w:rPr>
          <w:rFonts w:hint="eastAsia" w:eastAsia="仿宋_GB2312"/>
          <w:color w:val="auto"/>
          <w:kern w:val="0"/>
          <w:sz w:val="28"/>
          <w:u w:val="single" w:color="auto"/>
          <w:lang w:val="en-US" w:eastAsia="zh-CN"/>
        </w:rPr>
        <w:t xml:space="preserve"> </w:t>
      </w:r>
      <w:r>
        <w:rPr>
          <w:rFonts w:ascii="仿宋_GB2312" w:eastAsia="仿宋_GB2312"/>
          <w:color w:val="auto"/>
          <w:kern w:val="0"/>
          <w:sz w:val="28"/>
          <w:u w:val="single" w:color="auto"/>
          <w:lang w:val="vi-VN"/>
        </w:rPr>
        <w:t>20</w:t>
      </w:r>
      <w:r>
        <w:rPr>
          <w:rFonts w:hint="eastAsia" w:ascii="仿宋_GB2312" w:eastAsia="仿宋_GB2312"/>
          <w:color w:val="auto"/>
          <w:kern w:val="0"/>
          <w:sz w:val="28"/>
          <w:u w:val="single" w:color="auto"/>
          <w:lang w:val="en-US" w:eastAsia="zh-CN"/>
        </w:rPr>
        <w:t>24</w:t>
      </w:r>
      <w:r>
        <w:rPr>
          <w:rFonts w:ascii="仿宋_GB2312" w:eastAsia="仿宋_GB2312"/>
          <w:color w:val="auto"/>
          <w:kern w:val="0"/>
          <w:sz w:val="28"/>
          <w:u w:val="single" w:color="auto"/>
          <w:lang w:val="vi-VN"/>
        </w:rPr>
        <w:t>年</w:t>
      </w:r>
      <w:r>
        <w:rPr>
          <w:rFonts w:hint="eastAsia" w:ascii="仿宋_GB2312" w:eastAsia="仿宋_GB2312"/>
          <w:color w:val="auto"/>
          <w:kern w:val="0"/>
          <w:sz w:val="28"/>
          <w:u w:val="single" w:color="auto"/>
          <w:lang w:val="en-US" w:eastAsia="zh-CN"/>
        </w:rPr>
        <w:t>2</w:t>
      </w:r>
      <w:r>
        <w:rPr>
          <w:rFonts w:ascii="仿宋_GB2312" w:eastAsia="仿宋_GB2312"/>
          <w:color w:val="auto"/>
          <w:kern w:val="0"/>
          <w:sz w:val="28"/>
          <w:u w:val="single" w:color="auto"/>
          <w:lang w:val="vi-VN"/>
        </w:rPr>
        <w:t>月</w:t>
      </w:r>
      <w:r>
        <w:rPr>
          <w:rFonts w:hint="default" w:eastAsia="仿宋_GB2312"/>
          <w:color w:val="auto"/>
          <w:kern w:val="0"/>
          <w:sz w:val="28"/>
          <w:u w:val="single" w:color="auto"/>
          <w:lang w:val="vi-VN"/>
        </w:rPr>
        <w:t xml:space="preserve">          </w:t>
      </w:r>
      <w:r>
        <w:rPr>
          <w:rFonts w:eastAsia="仿宋_GB2312"/>
          <w:color w:val="auto"/>
          <w:kern w:val="0"/>
          <w:sz w:val="28"/>
          <w:u w:val="single" w:color="auto"/>
          <w:lang w:val="vi-VN"/>
        </w:rPr>
        <w:t xml:space="preserve">    </w:t>
      </w:r>
      <w:r>
        <w:rPr>
          <w:rFonts w:hint="eastAsia" w:eastAsia="仿宋_GB2312"/>
          <w:color w:val="auto"/>
          <w:kern w:val="0"/>
          <w:sz w:val="28"/>
          <w:u w:val="single" w:color="auto"/>
          <w:lang w:val="en-US" w:eastAsia="zh-CN"/>
        </w:rPr>
        <w:t xml:space="preserve">             </w:t>
      </w:r>
    </w:p>
    <w:p>
      <w:pPr>
        <w:rPr>
          <w:rFonts w:hint="eastAsia" w:eastAsia="仿宋_GB2312"/>
          <w:color w:val="auto"/>
          <w:kern w:val="0"/>
          <w:sz w:val="28"/>
          <w:u w:val="single" w:color="auto"/>
          <w:lang w:val="en-US" w:eastAsia="zh-CN"/>
        </w:rPr>
      </w:pPr>
    </w:p>
    <w:p>
      <w:pPr>
        <w:keepNext w:val="0"/>
        <w:keepLines w:val="0"/>
        <w:pageBreakBefore w:val="0"/>
        <w:widowControl/>
        <w:kinsoku/>
        <w:wordWrap/>
        <w:overflowPunct/>
        <w:topLinePunct w:val="0"/>
        <w:autoSpaceDE/>
        <w:autoSpaceDN/>
        <w:bidi w:val="0"/>
        <w:adjustRightInd/>
        <w:snapToGrid/>
        <w:spacing w:before="624" w:beforeLines="200" w:after="0" w:afterLines="0" w:line="360" w:lineRule="auto"/>
        <w:ind w:left="0" w:leftChars="0" w:right="0" w:rightChars="0" w:firstLine="0" w:firstLineChars="0"/>
        <w:jc w:val="center"/>
        <w:textAlignment w:val="auto"/>
        <w:outlineLvl w:val="9"/>
        <w:rPr>
          <w:rFonts w:hint="eastAsia" w:ascii="仿宋_GB2312" w:hAnsi="宋体" w:eastAsia="仿宋_GB2312" w:cs="宋体"/>
          <w:color w:val="auto"/>
          <w:kern w:val="0"/>
          <w:sz w:val="30"/>
          <w:szCs w:val="30"/>
        </w:rPr>
      </w:pPr>
      <w:r>
        <w:rPr>
          <w:rFonts w:ascii="黑体" w:hAnsi="宋体" w:eastAsia="黑体" w:cs="宋体"/>
          <w:b/>
          <w:bCs/>
          <w:color w:val="auto"/>
          <w:kern w:val="0"/>
          <w:sz w:val="30"/>
          <w:szCs w:val="30"/>
        </w:rPr>
        <w:br w:type="page"/>
      </w:r>
      <w:r>
        <w:rPr>
          <w:rFonts w:ascii="黑体" w:hAnsi="宋体" w:eastAsia="黑体" w:cs="宋体"/>
          <w:b/>
          <w:bCs/>
          <w:color w:val="auto"/>
          <w:kern w:val="0"/>
          <w:sz w:val="30"/>
          <w:szCs w:val="30"/>
        </w:rPr>
        <w:t>编制单位及人员基本情况</w:t>
      </w:r>
    </w:p>
    <w:tbl>
      <w:tblPr>
        <w:tblStyle w:val="20"/>
        <w:tblpPr w:leftFromText="181" w:rightFromText="181" w:vertAnchor="text" w:horzAnchor="page" w:tblpXSpec="center" w:tblpY="1"/>
        <w:tblOverlap w:val="never"/>
        <w:tblW w:w="9390" w:type="dxa"/>
        <w:jc w:val="center"/>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
      <w:tblGrid>
        <w:gridCol w:w="1470"/>
        <w:gridCol w:w="3135"/>
        <w:gridCol w:w="1740"/>
        <w:gridCol w:w="304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编制单位</w:t>
            </w:r>
          </w:p>
        </w:tc>
        <w:tc>
          <w:tcPr>
            <w:tcW w:w="7920" w:type="dxa"/>
            <w:gridSpan w:val="3"/>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eastAsia="zh-CN"/>
              </w:rPr>
              <w:t>新疆国绘信息科技有限公司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法人代表</w:t>
            </w:r>
          </w:p>
        </w:tc>
        <w:tc>
          <w:tcPr>
            <w:tcW w:w="7920" w:type="dxa"/>
            <w:gridSpan w:val="3"/>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eastAsia="zh-CN"/>
              </w:rPr>
              <w:t>余龙</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629" w:hRule="atLeast"/>
          <w:jc w:val="center"/>
        </w:trPr>
        <w:tc>
          <w:tcPr>
            <w:tcW w:w="147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联系人</w:t>
            </w:r>
          </w:p>
        </w:tc>
        <w:tc>
          <w:tcPr>
            <w:tcW w:w="3135"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eastAsia="zh-CN"/>
              </w:rPr>
              <w:t>余龙</w:t>
            </w:r>
          </w:p>
        </w:tc>
        <w:tc>
          <w:tcPr>
            <w:tcW w:w="174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联系电话</w:t>
            </w:r>
          </w:p>
        </w:tc>
        <w:tc>
          <w:tcPr>
            <w:tcW w:w="3045" w:type="dxa"/>
            <w:tcBorders>
              <w:tl2br w:val="nil"/>
              <w:tr2bl w:val="nil"/>
            </w:tcBorders>
            <w:noWrap w:val="0"/>
            <w:vAlign w:val="center"/>
          </w:tcPr>
          <w:p>
            <w:pPr>
              <w:widowControl/>
              <w:ind w:left="0" w:leftChars="0" w:firstLine="0" w:firstLineChars="0"/>
              <w:jc w:val="center"/>
              <w:rPr>
                <w:rFonts w:hint="default" w:ascii="仿宋_GB2312" w:hAnsi="宋体" w:eastAsia="仿宋_GB2312" w:cs="宋体"/>
                <w:color w:val="auto"/>
                <w:kern w:val="0"/>
                <w:sz w:val="28"/>
                <w:szCs w:val="28"/>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地  址</w:t>
            </w:r>
          </w:p>
        </w:tc>
        <w:tc>
          <w:tcPr>
            <w:tcW w:w="7920" w:type="dxa"/>
            <w:gridSpan w:val="3"/>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eastAsia="zh-CN"/>
              </w:rPr>
            </w:pPr>
            <w:r>
              <w:rPr>
                <w:rFonts w:hint="eastAsia" w:ascii="仿宋_GB2312" w:hAnsi="宋体" w:eastAsia="仿宋_GB2312" w:cs="宋体"/>
                <w:color w:val="auto"/>
                <w:kern w:val="0"/>
                <w:sz w:val="28"/>
                <w:szCs w:val="28"/>
                <w:lang w:eastAsia="zh-CN"/>
              </w:rPr>
              <w:t>新疆喀什地区喀什经济开发区深喀大道总部经济区深圳城3号楼3楼3015号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9390" w:type="dxa"/>
            <w:gridSpan w:val="4"/>
            <w:tcBorders>
              <w:tl2br w:val="nil"/>
              <w:tr2bl w:val="nil"/>
            </w:tcBorders>
            <w:noWrap w:val="0"/>
            <w:vAlign w:val="center"/>
          </w:tcPr>
          <w:p>
            <w:pPr>
              <w:widowControl/>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主要编制人员</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姓  名</w:t>
            </w:r>
          </w:p>
        </w:tc>
        <w:tc>
          <w:tcPr>
            <w:tcW w:w="3135"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职  务</w:t>
            </w:r>
          </w:p>
        </w:tc>
        <w:tc>
          <w:tcPr>
            <w:tcW w:w="1740"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职  称</w:t>
            </w:r>
          </w:p>
        </w:tc>
        <w:tc>
          <w:tcPr>
            <w:tcW w:w="3045" w:type="dxa"/>
            <w:tcBorders>
              <w:tl2br w:val="nil"/>
              <w:tr2bl w:val="nil"/>
            </w:tcBorders>
            <w:noWrap w:val="0"/>
            <w:vAlign w:val="center"/>
          </w:tcPr>
          <w:p>
            <w:pPr>
              <w:widowControl/>
              <w:ind w:left="0" w:leftChars="0" w:firstLine="0" w:firstLineChars="0"/>
              <w:jc w:val="center"/>
              <w:rPr>
                <w:rFonts w:ascii="仿宋_GB2312" w:hAnsi="宋体" w:eastAsia="仿宋_GB2312" w:cs="宋体"/>
                <w:color w:val="auto"/>
                <w:kern w:val="0"/>
                <w:sz w:val="28"/>
                <w:szCs w:val="28"/>
              </w:rPr>
            </w:pPr>
            <w:r>
              <w:rPr>
                <w:rFonts w:ascii="仿宋_GB2312" w:hAnsi="宋体" w:eastAsia="仿宋_GB2312" w:cs="宋体"/>
                <w:color w:val="auto"/>
                <w:kern w:val="0"/>
                <w:sz w:val="28"/>
                <w:szCs w:val="28"/>
              </w:rPr>
              <w:t>签   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涂  源</w:t>
            </w:r>
          </w:p>
        </w:tc>
        <w:tc>
          <w:tcPr>
            <w:tcW w:w="3135"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项目负责</w:t>
            </w:r>
          </w:p>
        </w:tc>
        <w:tc>
          <w:tcPr>
            <w:tcW w:w="174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default" w:ascii="仿宋_GB2312" w:hAnsi="宋体" w:eastAsia="仿宋_GB2312" w:cs="宋体"/>
                <w:color w:val="auto"/>
                <w:kern w:val="0"/>
                <w:sz w:val="28"/>
                <w:szCs w:val="28"/>
              </w:rPr>
              <w:t>工程师</w:t>
            </w:r>
          </w:p>
        </w:tc>
        <w:tc>
          <w:tcPr>
            <w:tcW w:w="3045"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王金龙</w:t>
            </w:r>
          </w:p>
        </w:tc>
        <w:tc>
          <w:tcPr>
            <w:tcW w:w="3135"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技术负责</w:t>
            </w:r>
          </w:p>
        </w:tc>
        <w:tc>
          <w:tcPr>
            <w:tcW w:w="174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default" w:ascii="仿宋_GB2312" w:hAnsi="宋体" w:eastAsia="仿宋_GB2312" w:cs="宋体"/>
                <w:color w:val="auto"/>
                <w:kern w:val="0"/>
                <w:sz w:val="28"/>
                <w:szCs w:val="28"/>
              </w:rPr>
              <w:t>工程师</w:t>
            </w:r>
          </w:p>
        </w:tc>
        <w:tc>
          <w:tcPr>
            <w:tcW w:w="3045"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李  霞</w:t>
            </w:r>
          </w:p>
        </w:tc>
        <w:tc>
          <w:tcPr>
            <w:tcW w:w="3135" w:type="dxa"/>
            <w:tcBorders>
              <w:tl2br w:val="nil"/>
              <w:tr2bl w:val="nil"/>
            </w:tcBorders>
            <w:noWrap w:val="0"/>
            <w:vAlign w:val="center"/>
          </w:tcPr>
          <w:p>
            <w:pPr>
              <w:widowControl/>
              <w:ind w:left="0" w:leftChars="0" w:firstLine="0" w:firstLineChars="0"/>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编写人</w:t>
            </w:r>
          </w:p>
        </w:tc>
        <w:tc>
          <w:tcPr>
            <w:tcW w:w="1740" w:type="dxa"/>
            <w:tcBorders>
              <w:tl2br w:val="nil"/>
              <w:tr2bl w:val="nil"/>
            </w:tcBorders>
            <w:noWrap w:val="0"/>
            <w:vAlign w:val="center"/>
          </w:tcPr>
          <w:p>
            <w:pPr>
              <w:widowControl/>
              <w:ind w:left="0" w:leftChars="0" w:firstLine="0" w:firstLineChars="0"/>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工程师</w:t>
            </w:r>
          </w:p>
        </w:tc>
        <w:tc>
          <w:tcPr>
            <w:tcW w:w="3045" w:type="dxa"/>
            <w:tcBorders>
              <w:tl2br w:val="nil"/>
              <w:tr2bl w:val="nil"/>
            </w:tcBorders>
            <w:noWrap w:val="0"/>
            <w:vAlign w:val="center"/>
          </w:tcPr>
          <w:p>
            <w:pPr>
              <w:widowControl/>
              <w:jc w:val="center"/>
              <w:rPr>
                <w:rFonts w:ascii="仿宋_GB2312" w:hAnsi="宋体" w:eastAsia="仿宋_GB2312" w:cs="宋体"/>
                <w:color w:val="auto"/>
                <w:kern w:val="0"/>
                <w:sz w:val="28"/>
                <w:szCs w:val="28"/>
                <w:lang w:val="en-US"/>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邓  超</w:t>
            </w:r>
          </w:p>
        </w:tc>
        <w:tc>
          <w:tcPr>
            <w:tcW w:w="3135" w:type="dxa"/>
            <w:tcBorders>
              <w:tl2br w:val="nil"/>
              <w:tr2bl w:val="nil"/>
            </w:tcBorders>
            <w:noWrap w:val="0"/>
            <w:vAlign w:val="center"/>
          </w:tcPr>
          <w:p>
            <w:pPr>
              <w:widowControl/>
              <w:ind w:left="0" w:leftChars="0" w:firstLine="0" w:firstLineChars="0"/>
              <w:jc w:val="center"/>
              <w:rPr>
                <w:rFonts w:hint="eastAsia"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编写人</w:t>
            </w:r>
          </w:p>
        </w:tc>
        <w:tc>
          <w:tcPr>
            <w:tcW w:w="1740" w:type="dxa"/>
            <w:tcBorders>
              <w:tl2br w:val="nil"/>
              <w:tr2bl w:val="nil"/>
            </w:tcBorders>
            <w:noWrap w:val="0"/>
            <w:vAlign w:val="center"/>
          </w:tcPr>
          <w:p>
            <w:pPr>
              <w:widowControl/>
              <w:ind w:left="0" w:leftChars="0" w:firstLine="0" w:firstLineChars="0"/>
              <w:jc w:val="center"/>
              <w:rPr>
                <w:rFonts w:hint="default" w:ascii="仿宋_GB2312" w:hAnsi="宋体" w:eastAsia="仿宋_GB2312" w:cs="宋体"/>
                <w:color w:val="auto"/>
                <w:kern w:val="0"/>
                <w:sz w:val="28"/>
                <w:szCs w:val="28"/>
                <w:lang w:val="en-US" w:eastAsia="zh-CN"/>
              </w:rPr>
            </w:pPr>
            <w:r>
              <w:rPr>
                <w:rFonts w:hint="eastAsia" w:ascii="仿宋_GB2312" w:hAnsi="宋体" w:eastAsia="仿宋_GB2312" w:cs="宋体"/>
                <w:color w:val="auto"/>
                <w:kern w:val="0"/>
                <w:sz w:val="28"/>
                <w:szCs w:val="28"/>
                <w:lang w:val="en-US" w:eastAsia="zh-CN"/>
              </w:rPr>
              <w:t>助理工程师</w:t>
            </w:r>
          </w:p>
        </w:tc>
        <w:tc>
          <w:tcPr>
            <w:tcW w:w="3045"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7" w:type="dxa"/>
            <w:left w:w="17" w:type="dxa"/>
            <w:bottom w:w="17" w:type="dxa"/>
            <w:right w:w="17" w:type="dxa"/>
          </w:tblCellMar>
        </w:tblPrEx>
        <w:trPr>
          <w:trHeight w:val="363" w:hRule="atLeast"/>
          <w:jc w:val="center"/>
        </w:trPr>
        <w:tc>
          <w:tcPr>
            <w:tcW w:w="1470" w:type="dxa"/>
            <w:tcBorders>
              <w:tl2br w:val="nil"/>
              <w:tr2bl w:val="nil"/>
            </w:tcBorders>
            <w:noWrap w:val="0"/>
            <w:vAlign w:val="center"/>
          </w:tcPr>
          <w:p>
            <w:pPr>
              <w:widowControl/>
              <w:jc w:val="center"/>
              <w:rPr>
                <w:rFonts w:ascii="仿宋_GB2312" w:hAnsi="宋体" w:eastAsia="仿宋_GB2312" w:cs="宋体"/>
                <w:color w:val="auto"/>
                <w:kern w:val="0"/>
                <w:sz w:val="28"/>
                <w:szCs w:val="28"/>
              </w:rPr>
            </w:pPr>
          </w:p>
        </w:tc>
        <w:tc>
          <w:tcPr>
            <w:tcW w:w="313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1740"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c>
          <w:tcPr>
            <w:tcW w:w="3045" w:type="dxa"/>
            <w:tcBorders>
              <w:tl2br w:val="nil"/>
              <w:tr2bl w:val="nil"/>
            </w:tcBorders>
            <w:noWrap w:val="0"/>
            <w:vAlign w:val="center"/>
          </w:tcPr>
          <w:p>
            <w:pPr>
              <w:widowControl/>
              <w:ind w:firstLine="560" w:firstLineChars="200"/>
              <w:jc w:val="center"/>
              <w:rPr>
                <w:rFonts w:ascii="仿宋_GB2312" w:hAnsi="宋体" w:eastAsia="仿宋_GB2312" w:cs="宋体"/>
                <w:color w:val="auto"/>
                <w:kern w:val="0"/>
                <w:sz w:val="28"/>
                <w:szCs w:val="28"/>
              </w:rPr>
            </w:pPr>
          </w:p>
        </w:tc>
      </w:tr>
    </w:tbl>
    <w:p>
      <w:pPr>
        <w:rPr>
          <w:rFonts w:hint="eastAsia" w:eastAsia="仿宋_GB2312"/>
          <w:color w:val="auto"/>
          <w:kern w:val="0"/>
          <w:sz w:val="28"/>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——目  录——</w:t>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TOC \o "1-2" \h \z \u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HYPERLINK \l _Toc9082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 前 言</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_Toc9082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_Toc617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1.1 编制背景及过程</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_Toc617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_Toc28524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1.2 复垦方案摘要</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_Toc28524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_Toc31903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2.1 编制目的</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_Toc31903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_Toc17212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2.2 编制原则</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_Toc17212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_Toc9204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2.3 编制依据</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_Toc9204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_Toc10514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w:t>
      </w:r>
      <w:r>
        <w:rPr>
          <w:rFonts w:hint="eastAsia" w:hAnsi="仿宋_GB2312" w:cs="仿宋_GB2312"/>
          <w:color w:val="000000" w:themeColor="text1"/>
          <w:sz w:val="24"/>
          <w:szCs w:val="24"/>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14:textFill>
            <w14:solidFill>
              <w14:schemeClr w14:val="tx1"/>
            </w14:solidFill>
          </w14:textFill>
        </w:rPr>
        <w:t>主要计量单位</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_Toc10514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_Toc22638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3 项目概况</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_Toc22638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_Toc25598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3.1 项目简介</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_Toc25598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_Toc31189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3.2项目区自然概况</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_Toc31189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19</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_Toc15975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3.3 项目区社会经济概况</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_Toc15975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_Toc3932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3.4 项目区内土地利用现状</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_Toc3932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_Toc28081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4 土地复垦方向可行性分析</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_Toc28081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_Toc6023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4.1 土地损毁分析与预测</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_Toc6023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28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_Toc25141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4.2 复垦区土地利用现状</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_Toc25141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_Toc9616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4.3 生态、社会环境影响分析</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_Toc9616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_Toc15743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lang w:val="en-US" w:eastAsia="zh-CN"/>
          <w14:textFill>
            <w14:solidFill>
              <w14:schemeClr w14:val="tx1"/>
            </w14:solidFill>
          </w14:textFill>
        </w:rPr>
        <w:t>4.4 土地复垦适宜性评价</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_Toc15743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37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_Toc11041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4.5水土资源平衡分析</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_Toc11041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43</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_Toc28573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4.6</w:t>
      </w:r>
      <w:r>
        <w:rPr>
          <w:rFonts w:hint="eastAsia" w:ascii="仿宋_GB2312" w:hAnsi="仿宋_GB2312" w:eastAsia="仿宋_GB2312" w:cs="仿宋_GB2312"/>
          <w:bCs w:val="0"/>
          <w:color w:val="000000" w:themeColor="text1"/>
          <w:sz w:val="24"/>
          <w:szCs w:val="24"/>
          <w14:textFill>
            <w14:solidFill>
              <w14:schemeClr w14:val="tx1"/>
            </w14:solidFill>
          </w14:textFill>
        </w:rPr>
        <w:t xml:space="preserve"> </w:t>
      </w:r>
      <w:r>
        <w:rPr>
          <w:rFonts w:hint="eastAsia" w:ascii="仿宋_GB2312" w:hAnsi="仿宋_GB2312" w:eastAsia="仿宋_GB2312" w:cs="仿宋_GB2312"/>
          <w:color w:val="000000" w:themeColor="text1"/>
          <w:sz w:val="24"/>
          <w:szCs w:val="24"/>
          <w14:textFill>
            <w14:solidFill>
              <w14:schemeClr w14:val="tx1"/>
            </w14:solidFill>
          </w14:textFill>
        </w:rPr>
        <w:t>复垦的目标任务</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_Toc28573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_Toc12533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5 土地复垦质量要求与复垦措施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_Toc12533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_Toc23478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5.1 土地复垦质量要求</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_Toc23478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_Toc32137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5.2 预防控制措施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_Toc32137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48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_Toc9855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5.3 复垦措施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_Toc9855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51</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_Toc25148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5.4监测措施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_Toc25148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53</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_Toc9556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5.5 管护措施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_Toc9556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_Toc27284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6 土地复垦工程设计及工程量测算</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_Toc27284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56</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_Toc23278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6.1 工程设计依据、原则</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_Toc23278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57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_Toc18047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6.2 土地复垦</w:t>
      </w:r>
      <w:r>
        <w:rPr>
          <w:rFonts w:hint="eastAsia" w:ascii="仿宋_GB2312" w:hAnsi="仿宋_GB2312" w:eastAsia="仿宋_GB2312" w:cs="仿宋_GB2312"/>
          <w:color w:val="000000" w:themeColor="text1"/>
          <w:sz w:val="24"/>
          <w:szCs w:val="24"/>
          <w:lang w:eastAsia="zh-CN"/>
          <w14:textFill>
            <w14:solidFill>
              <w14:schemeClr w14:val="tx1"/>
            </w14:solidFill>
          </w14:textFill>
        </w:rPr>
        <w:t>措施及工程量</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_Toc18047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60</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_Toc5916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6.3 工程量</w:t>
      </w:r>
      <w:r>
        <w:rPr>
          <w:rFonts w:hint="eastAsia" w:ascii="仿宋_GB2312" w:hAnsi="仿宋_GB2312" w:eastAsia="仿宋_GB2312" w:cs="仿宋_GB2312"/>
          <w:color w:val="000000" w:themeColor="text1"/>
          <w:sz w:val="24"/>
          <w:szCs w:val="24"/>
          <w:lang w:eastAsia="zh-CN"/>
          <w14:textFill>
            <w14:solidFill>
              <w14:schemeClr w14:val="tx1"/>
            </w14:solidFill>
          </w14:textFill>
        </w:rPr>
        <w:t>汇总</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_Toc5916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60</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_Toc20426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6.4复垦施工组织设计</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_Toc20426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64</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_Toc14562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7 土地复垦方案投资估算</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_Toc14562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_Toc19492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7.1 投资估算编制依据及原则</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_Toc19492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_Toc20201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7.2 费用构成及计算标准</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_Toc20201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68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_Toc22633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7.3估算成果</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_Toc22633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72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_Toc28717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8 土地复垦工作计划安排</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_Toc28717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_Toc3845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8.1 土地复垦服务年限</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_Toc3845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_Toc14147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8.2 土地复垦工作安排</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_Toc14147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_Toc19117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8.3 土地复垦费用安排</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_Toc19117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83</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_Toc23729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9 土地复垦效益分析</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_Toc23729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84</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_Toc12237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社会效益</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_Toc12237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84</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_Toc4400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 xml:space="preserve"> 生态效益</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_Toc4400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84</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_Toc14927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10 保障措施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_Toc14927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_Toc32463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10.1 定制保障措施的重要性</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_Toc32463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_Toc15013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10.2 费用保障措施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_Toc15013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85</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_Toc20556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10.3 监管保障措施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_Toc20556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87</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_Toc17483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10.4 技术保障措施</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_Toc17483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_Toc22563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10.5 公众参与</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_Toc22563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88</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6"/>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_Toc24849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10.6 土地权属调整方案</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_Toc24849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93</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_Toc32028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bCs w:val="0"/>
          <w:color w:val="000000" w:themeColor="text1"/>
          <w:sz w:val="24"/>
          <w:szCs w:val="24"/>
          <w14:textFill>
            <w14:solidFill>
              <w14:schemeClr w14:val="tx1"/>
            </w14:solidFill>
          </w14:textFill>
        </w:rPr>
        <w:t>11 存在的问题及建议</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_Toc32028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94</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_Toc14311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附件</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_Toc14311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101</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Style w:val="14"/>
        <w:keepNext w:val="0"/>
        <w:keepLines w:val="0"/>
        <w:pageBreakBefore w:val="0"/>
        <w:widowControl w:val="0"/>
        <w:tabs>
          <w:tab w:val="right" w:leader="dot" w:pos="9072"/>
          <w:tab w:val="clear" w:pos="8296"/>
        </w:tabs>
        <w:kinsoku/>
        <w:wordWrap/>
        <w:overflowPunct/>
        <w:topLinePunct w:val="0"/>
        <w:autoSpaceDE/>
        <w:autoSpaceDN/>
        <w:bidi w:val="0"/>
        <w:snapToGrid w:val="0"/>
        <w:spacing w:line="360" w:lineRule="auto"/>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begin"/>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instrText xml:space="preserve"> HYPERLINK \l _Toc110 </w:instrText>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附图</w:t>
      </w:r>
      <w:r>
        <w:rPr>
          <w:rFonts w:hint="eastAsia" w:ascii="仿宋_GB2312" w:hAnsi="仿宋_GB2312" w:eastAsia="仿宋_GB2312" w:cs="仿宋_GB2312"/>
          <w:color w:val="000000" w:themeColor="text1"/>
          <w:sz w:val="24"/>
          <w:szCs w:val="24"/>
          <w14:textFill>
            <w14:solidFill>
              <w14:schemeClr w14:val="tx1"/>
            </w14:solidFill>
          </w14:textFill>
        </w:rPr>
        <w:tab/>
      </w:r>
      <w:r>
        <w:rPr>
          <w:rFonts w:hint="eastAsia" w:ascii="仿宋_GB2312" w:hAnsi="仿宋_GB2312" w:eastAsia="仿宋_GB2312" w:cs="仿宋_GB2312"/>
          <w:color w:val="000000" w:themeColor="text1"/>
          <w:sz w:val="24"/>
          <w:szCs w:val="24"/>
          <w14:textFill>
            <w14:solidFill>
              <w14:schemeClr w14:val="tx1"/>
            </w14:solidFill>
          </w14:textFill>
        </w:rPr>
        <w:fldChar w:fldCharType="begin"/>
      </w:r>
      <w:r>
        <w:rPr>
          <w:rFonts w:hint="eastAsia" w:ascii="仿宋_GB2312" w:hAnsi="仿宋_GB2312" w:eastAsia="仿宋_GB2312" w:cs="仿宋_GB2312"/>
          <w:color w:val="000000" w:themeColor="text1"/>
          <w:sz w:val="24"/>
          <w:szCs w:val="24"/>
          <w14:textFill>
            <w14:solidFill>
              <w14:schemeClr w14:val="tx1"/>
            </w14:solidFill>
          </w14:textFill>
        </w:rPr>
        <w:instrText xml:space="preserve"> PAGEREF _Toc110 </w:instrText>
      </w:r>
      <w:r>
        <w:rPr>
          <w:rFonts w:hint="eastAsia" w:ascii="仿宋_GB2312" w:hAnsi="仿宋_GB2312" w:eastAsia="仿宋_GB2312" w:cs="仿宋_GB2312"/>
          <w:color w:val="000000" w:themeColor="text1"/>
          <w:sz w:val="24"/>
          <w:szCs w:val="24"/>
          <w14:textFill>
            <w14:solidFill>
              <w14:schemeClr w14:val="tx1"/>
            </w14:solidFill>
          </w14:textFill>
        </w:rPr>
        <w:fldChar w:fldCharType="separate"/>
      </w:r>
      <w:r>
        <w:rPr>
          <w:rFonts w:hint="eastAsia" w:ascii="仿宋_GB2312" w:hAnsi="仿宋_GB2312" w:eastAsia="仿宋_GB2312" w:cs="仿宋_GB2312"/>
          <w:color w:val="000000" w:themeColor="text1"/>
          <w:sz w:val="24"/>
          <w:szCs w:val="24"/>
          <w14:textFill>
            <w14:solidFill>
              <w14:schemeClr w14:val="tx1"/>
            </w14:solidFill>
          </w14:textFill>
        </w:rPr>
        <w:t>102</w:t>
      </w:r>
      <w:r>
        <w:rPr>
          <w:rFonts w:hint="eastAsia" w:ascii="仿宋_GB2312" w:hAnsi="仿宋_GB2312" w:eastAsia="仿宋_GB2312" w:cs="仿宋_GB2312"/>
          <w:color w:val="000000" w:themeColor="text1"/>
          <w:sz w:val="24"/>
          <w:szCs w:val="24"/>
          <w14:textFill>
            <w14:solidFill>
              <w14:schemeClr w14:val="tx1"/>
            </w14:solidFill>
          </w14:textFill>
        </w:rPr>
        <w:fldChar w:fldCharType="end"/>
      </w: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eastAsia="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2"/>
          <w:sz w:val="24"/>
          <w:szCs w:val="24"/>
          <w:lang w:bidi="ar-SA"/>
          <w14:textFill>
            <w14:solidFill>
              <w14:schemeClr w14:val="tx1"/>
            </w14:solidFill>
          </w14:textFill>
        </w:rPr>
        <w:fldChar w:fldCharType="end"/>
      </w:r>
    </w:p>
    <w:p>
      <w:pPr>
        <w:pageBreakBefore w:val="0"/>
        <w:kinsoku/>
        <w:wordWrap/>
        <w:topLinePunct w:val="0"/>
        <w:bidi w:val="0"/>
        <w:adjustRightInd w:val="0"/>
        <w:snapToGrid w:val="0"/>
        <w:spacing w:line="360" w:lineRule="auto"/>
        <w:jc w:val="center"/>
        <w:rPr>
          <w:rFonts w:hint="eastAsia" w:ascii="仿宋_GB2312" w:eastAsia="仿宋_GB2312"/>
          <w:color w:val="000000" w:themeColor="text1"/>
          <w14:textFill>
            <w14:solidFill>
              <w14:schemeClr w14:val="tx1"/>
            </w14:solidFill>
          </w14:textFill>
        </w:rPr>
      </w:pPr>
    </w:p>
    <w:p>
      <w:pPr>
        <w:pageBreakBefore w:val="0"/>
        <w:kinsoku/>
        <w:wordWrap/>
        <w:topLinePunct w:val="0"/>
        <w:bidi w:val="0"/>
        <w:adjustRightInd w:val="0"/>
        <w:snapToGrid w:val="0"/>
        <w:spacing w:line="360" w:lineRule="auto"/>
        <w:jc w:val="center"/>
        <w:rPr>
          <w:rFonts w:hint="eastAsia" w:ascii="仿宋_GB2312" w:eastAsia="仿宋_GB2312"/>
          <w:color w:val="000000" w:themeColor="text1"/>
          <w14:textFill>
            <w14:solidFill>
              <w14:schemeClr w14:val="tx1"/>
            </w14:solidFill>
          </w14:textFill>
        </w:r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0"/>
        <w:rPr>
          <w:rFonts w:eastAsia="黑体"/>
          <w:b w:val="0"/>
          <w:bCs w:val="0"/>
          <w:color w:val="000000" w:themeColor="text1"/>
          <w:sz w:val="32"/>
          <w:szCs w:val="32"/>
          <w14:textFill>
            <w14:solidFill>
              <w14:schemeClr w14:val="tx1"/>
            </w14:solidFill>
          </w14:textFill>
        </w:rPr>
        <w:sectPr>
          <w:headerReference r:id="rId3" w:type="default"/>
          <w:footerReference r:id="rId4" w:type="default"/>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0"/>
        <w:rPr>
          <w:rFonts w:eastAsia="黑体"/>
          <w:b w:val="0"/>
          <w:bCs w:val="0"/>
          <w:color w:val="000000" w:themeColor="text1"/>
          <w:sz w:val="32"/>
          <w:szCs w:val="32"/>
          <w14:textFill>
            <w14:solidFill>
              <w14:schemeClr w14:val="tx1"/>
            </w14:solidFill>
          </w14:textFill>
        </w:rPr>
      </w:pPr>
      <w:bookmarkStart w:id="0" w:name="_Toc9082"/>
      <w:bookmarkStart w:id="1" w:name="_Toc11786"/>
      <w:bookmarkStart w:id="2" w:name="_Toc265768059"/>
      <w:bookmarkStart w:id="3" w:name="_Toc261963132"/>
      <w:bookmarkStart w:id="4" w:name="_Toc207349083"/>
      <w:r>
        <w:rPr>
          <w:rFonts w:eastAsia="黑体"/>
          <w:b w:val="0"/>
          <w:bCs w:val="0"/>
          <w:color w:val="000000" w:themeColor="text1"/>
          <w:sz w:val="32"/>
          <w:szCs w:val="32"/>
          <w14:textFill>
            <w14:solidFill>
              <w14:schemeClr w14:val="tx1"/>
            </w14:solidFill>
          </w14:textFill>
        </w:rPr>
        <w:t>1 前 言</w:t>
      </w:r>
      <w:bookmarkEnd w:id="0"/>
      <w:bookmarkEnd w:id="1"/>
    </w:p>
    <w:p>
      <w:pPr>
        <w:pStyle w:val="5"/>
        <w:pageBreakBefore w:val="0"/>
        <w:kinsoku/>
        <w:wordWrap/>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b w:val="0"/>
          <w:color w:val="000000" w:themeColor="text1"/>
          <w:sz w:val="30"/>
          <w:szCs w:val="30"/>
          <w14:textFill>
            <w14:solidFill>
              <w14:schemeClr w14:val="tx1"/>
            </w14:solidFill>
          </w14:textFill>
        </w:rPr>
      </w:pPr>
      <w:bookmarkStart w:id="5" w:name="_Toc13797"/>
      <w:bookmarkStart w:id="6" w:name="_Toc617"/>
      <w:r>
        <w:rPr>
          <w:rFonts w:ascii="Times New Roman" w:hAnsi="Times New Roman" w:eastAsia="仿宋_GB2312"/>
          <w:b w:val="0"/>
          <w:color w:val="000000" w:themeColor="text1"/>
          <w:sz w:val="30"/>
          <w:szCs w:val="30"/>
          <w14:textFill>
            <w14:solidFill>
              <w14:schemeClr w14:val="tx1"/>
            </w14:solidFill>
          </w14:textFill>
        </w:rPr>
        <w:t xml:space="preserve">1.1 </w:t>
      </w:r>
      <w:r>
        <w:rPr>
          <w:rFonts w:hint="eastAsia" w:ascii="黑体" w:hAnsi="黑体" w:cs="黑体"/>
          <w:b w:val="0"/>
          <w:color w:val="000000" w:themeColor="text1"/>
          <w:sz w:val="30"/>
          <w:szCs w:val="30"/>
          <w14:textFill>
            <w14:solidFill>
              <w14:schemeClr w14:val="tx1"/>
            </w14:solidFill>
          </w14:textFill>
        </w:rPr>
        <w:t>编制背景及过程</w:t>
      </w:r>
      <w:bookmarkEnd w:id="5"/>
      <w:bookmarkEnd w:id="6"/>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default"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随着国家西部大开发战略、《中共中央国务院关于推进新疆跨越式发展和长治久安的意见》（中发【2012】9号）、“一带一路”倡议的实施及天山北坡经济带的建设，新疆迎来了跨越式发展的大好机遇，新疆经济蓬勃发展，民族安定团结，社会和谐进步，人民安居乐业。</w:t>
      </w:r>
      <w:bookmarkStart w:id="7" w:name="_Toc76692112"/>
      <w:r>
        <w:rPr>
          <w:rFonts w:hint="eastAsia" w:eastAsia="仿宋_GB2312"/>
          <w:color w:val="000000" w:themeColor="text1"/>
          <w:sz w:val="24"/>
          <w:lang w:eastAsia="zh-CN"/>
          <w14:textFill>
            <w14:solidFill>
              <w14:schemeClr w14:val="tx1"/>
            </w14:solidFill>
          </w14:textFill>
        </w:rPr>
        <w:t>克孜河流域位于新疆维吾尔自治区西南部，东与叶尔羌河流域接壤，南与盖孜河流域毗邻，西以昆仑山系和天山山脉结合部为界，北接天山西南山脉约柯坪山系</w:t>
      </w:r>
      <w:r>
        <w:rPr>
          <w:rFonts w:hint="eastAsia" w:eastAsia="仿宋_GB2312"/>
          <w:color w:val="000000" w:themeColor="text1"/>
          <w:sz w:val="24"/>
          <w:lang w:val="en-US" w:eastAsia="zh-CN"/>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克孜河大桥渠首建于1985年，为拦河式引水枢纽，枢纽由引水闸、泄洪闸、上下游整治段等部分组成，承担着伽师县、岳普湖县、疏勒县共70.54万亩农田的灌溉引水任务，以及红旗水库和卡达苏盖提水库的蓄库任务，并担负着两岸0.35万人、37万亩耕地的防洪任务。</w:t>
      </w:r>
      <w:bookmarkEnd w:id="7"/>
      <w:r>
        <w:rPr>
          <w:rFonts w:hint="eastAsia" w:eastAsia="仿宋_GB2312"/>
          <w:color w:val="000000" w:themeColor="text1"/>
          <w:sz w:val="24"/>
          <w:lang w:eastAsia="zh-CN"/>
          <w14:textFill>
            <w14:solidFill>
              <w14:schemeClr w14:val="tx1"/>
            </w14:solidFill>
          </w14:textFill>
        </w:rPr>
        <w:t>1986年正式投入使用</w:t>
      </w:r>
      <w:r>
        <w:rPr>
          <w:rFonts w:hint="eastAsia" w:eastAsia="仿宋_GB2312"/>
          <w:color w:val="000000" w:themeColor="text1"/>
          <w:sz w:val="24"/>
          <w:lang w:val="en-US" w:eastAsia="zh-CN"/>
          <w14:textFill>
            <w14:solidFill>
              <w14:schemeClr w14:val="tx1"/>
            </w14:solidFill>
          </w14:textFill>
        </w:rPr>
        <w:t>以来，</w:t>
      </w:r>
      <w:r>
        <w:rPr>
          <w:rFonts w:hint="eastAsia" w:eastAsia="仿宋_GB2312"/>
          <w:color w:val="000000" w:themeColor="text1"/>
          <w:sz w:val="24"/>
          <w:lang w:eastAsia="zh-CN"/>
          <w14:textFill>
            <w14:solidFill>
              <w14:schemeClr w14:val="tx1"/>
            </w14:solidFill>
          </w14:textFill>
        </w:rPr>
        <w:t>运行期间经多次维修加固。其中1999年大桥渠首遭遇特大洪水袭击造成水毁，2000年由地区水利水电勘测设计院承担了大桥渠首水毁修复工程设计，运行至今</w:t>
      </w:r>
      <w:r>
        <w:rPr>
          <w:rFonts w:hint="eastAsia" w:eastAsia="仿宋_GB2312"/>
          <w:color w:val="000000" w:themeColor="text1"/>
          <w:sz w:val="24"/>
          <w:lang w:val="en-US" w:eastAsia="zh-CN"/>
          <w14:textFill>
            <w14:solidFill>
              <w14:schemeClr w14:val="tx1"/>
            </w14:solidFill>
          </w14:textFill>
        </w:rPr>
        <w:t>已20余年，期间未有修缮，为</w:t>
      </w:r>
      <w:r>
        <w:rPr>
          <w:rFonts w:hint="eastAsia" w:eastAsia="仿宋_GB2312"/>
          <w:color w:val="000000" w:themeColor="text1"/>
          <w:sz w:val="24"/>
          <w:lang w:eastAsia="zh-CN"/>
          <w14:textFill>
            <w14:solidFill>
              <w14:schemeClr w14:val="tx1"/>
            </w14:solidFill>
          </w14:textFill>
        </w:rPr>
        <w:t>确保疏勒县、伽师县农业灌溉引水，提高渠首的灌溉引水保证率，</w:t>
      </w:r>
      <w:r>
        <w:rPr>
          <w:rFonts w:hint="eastAsia" w:eastAsia="仿宋_GB2312"/>
          <w:color w:val="000000" w:themeColor="text1"/>
          <w:sz w:val="24"/>
          <w:lang w:val="en-US" w:eastAsia="zh-CN"/>
          <w14:textFill>
            <w14:solidFill>
              <w14:schemeClr w14:val="tx1"/>
            </w14:solidFill>
          </w14:textFill>
        </w:rPr>
        <w:t>同时提高</w:t>
      </w:r>
      <w:r>
        <w:rPr>
          <w:rFonts w:hint="eastAsia" w:eastAsia="仿宋_GB2312"/>
          <w:color w:val="000000" w:themeColor="text1"/>
          <w:sz w:val="24"/>
          <w:lang w:eastAsia="zh-CN"/>
          <w14:textFill>
            <w14:solidFill>
              <w14:schemeClr w14:val="tx1"/>
            </w14:solidFill>
          </w14:textFill>
        </w:rPr>
        <w:t>防洪减灾</w:t>
      </w:r>
      <w:r>
        <w:rPr>
          <w:rFonts w:hint="eastAsia" w:eastAsia="仿宋_GB2312"/>
          <w:color w:val="000000" w:themeColor="text1"/>
          <w:sz w:val="24"/>
          <w:lang w:val="en-US" w:eastAsia="zh-CN"/>
          <w14:textFill>
            <w14:solidFill>
              <w14:schemeClr w14:val="tx1"/>
            </w14:solidFill>
          </w14:textFill>
        </w:rPr>
        <w:t>能力，现需要</w:t>
      </w:r>
      <w:r>
        <w:rPr>
          <w:rFonts w:hint="eastAsia" w:eastAsia="仿宋_GB2312"/>
          <w:color w:val="000000" w:themeColor="text1"/>
          <w:sz w:val="24"/>
          <w:lang w:eastAsia="zh-CN"/>
          <w14:textFill>
            <w14:solidFill>
              <w14:schemeClr w14:val="tx1"/>
            </w14:solidFill>
          </w14:textFill>
        </w:rPr>
        <w:t>对渠首进行除险加固，消除渠首的安全隐患。</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default"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lang w:val="en-US" w:eastAsia="zh-CN"/>
          <w14:textFill>
            <w14:solidFill>
              <w14:schemeClr w14:val="tx1"/>
            </w14:solidFill>
          </w14:textFill>
        </w:rPr>
        <w:t>主要任务是</w:t>
      </w:r>
      <w:r>
        <w:rPr>
          <w:rFonts w:hint="eastAsia" w:eastAsia="仿宋_GB2312"/>
          <w:color w:val="000000" w:themeColor="text1"/>
          <w:sz w:val="24"/>
          <w:lang w:eastAsia="zh-CN"/>
          <w14:textFill>
            <w14:solidFill>
              <w14:schemeClr w14:val="tx1"/>
            </w14:solidFill>
          </w14:textFill>
        </w:rPr>
        <w:t>对渠首进水闸、泄洪冲砂闸底板、闸墩进行加固处理，上部结构中工作桥重建，并在工作桥上设闸房，泄洪闸上游右岸导流堤、护坦、海漫、防冲槽及下游导流堤重建，引克济勒渠进水闸新建消力池、海漫、扭面及渠道衬砌300m，拆除重建南岸干渠进水闸后消力池、直墙连接段、交通桥、扭面连接段及渠道衬砌300m，更新配套闸门、启闭机，新增电气设备及闸门监测视频系统</w:t>
      </w:r>
      <w:r>
        <w:rPr>
          <w:rFonts w:hint="eastAsia" w:eastAsia="仿宋_GB2312"/>
          <w:color w:val="000000" w:themeColor="text1"/>
          <w:sz w:val="24"/>
          <w:lang w:val="en-US" w:eastAsia="zh-CN"/>
          <w14:textFill>
            <w14:solidFill>
              <w14:schemeClr w14:val="tx1"/>
            </w14:solidFill>
          </w14:textFill>
        </w:rPr>
        <w:t>。本项目概算总金额5380.74万元。</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default" w:eastAsia="仿宋_GB2312"/>
          <w:color w:val="000000" w:themeColor="text1"/>
          <w:sz w:val="24"/>
          <w:lang w:eastAsia="zh-CN"/>
          <w14:textFill>
            <w14:solidFill>
              <w14:schemeClr w14:val="tx1"/>
            </w14:solidFill>
          </w14:textFill>
        </w:rPr>
        <w:t>在</w:t>
      </w:r>
      <w:r>
        <w:rPr>
          <w:rFonts w:hint="eastAsia" w:eastAsia="仿宋_GB2312"/>
          <w:color w:val="000000" w:themeColor="text1"/>
          <w:sz w:val="24"/>
          <w:lang w:eastAsia="zh-CN"/>
          <w14:textFill>
            <w14:solidFill>
              <w14:schemeClr w14:val="tx1"/>
            </w14:solidFill>
          </w14:textFill>
        </w:rPr>
        <w:t>新疆克孜河大桥渠首除险加固工程</w:t>
      </w:r>
      <w:r>
        <w:rPr>
          <w:rFonts w:hint="default" w:eastAsia="仿宋_GB2312"/>
          <w:color w:val="000000" w:themeColor="text1"/>
          <w:sz w:val="24"/>
          <w:lang w:eastAsia="zh-CN"/>
          <w14:textFill>
            <w14:solidFill>
              <w14:schemeClr w14:val="tx1"/>
            </w14:solidFill>
          </w14:textFill>
        </w:rPr>
        <w:t>建设过程中，将不可避免的占用一定数量的土地。</w:t>
      </w:r>
      <w:r>
        <w:rPr>
          <w:rFonts w:hint="eastAsia" w:eastAsia="仿宋_GB2312"/>
          <w:color w:val="000000" w:themeColor="text1"/>
          <w:sz w:val="24"/>
          <w:lang w:val="en-US" w:eastAsia="zh-CN"/>
          <w14:textFill>
            <w14:solidFill>
              <w14:schemeClr w14:val="tx1"/>
            </w14:solidFill>
          </w14:textFill>
        </w:rPr>
        <w:t>材料堆场、制梁厂、施工驻地</w:t>
      </w:r>
      <w:r>
        <w:rPr>
          <w:rFonts w:hint="eastAsia" w:eastAsia="仿宋_GB2312"/>
          <w:color w:val="000000" w:themeColor="text1"/>
          <w:sz w:val="24"/>
          <w:lang w:eastAsia="zh-CN"/>
          <w14:textFill>
            <w14:solidFill>
              <w14:schemeClr w14:val="tx1"/>
            </w14:solidFill>
          </w14:textFill>
        </w:rPr>
        <w:t>等设施临时占用土地面积为</w:t>
      </w:r>
      <w:r>
        <w:rPr>
          <w:rFonts w:hint="eastAsia" w:eastAsia="仿宋_GB2312"/>
          <w:color w:val="000000" w:themeColor="text1"/>
          <w:sz w:val="24"/>
          <w:lang w:val="en-US" w:eastAsia="zh-CN"/>
          <w14:textFill>
            <w14:solidFill>
              <w14:schemeClr w14:val="tx1"/>
            </w14:solidFill>
          </w14:textFill>
        </w:rPr>
        <w:t>8.0492</w:t>
      </w:r>
      <w:r>
        <w:rPr>
          <w:rFonts w:hint="eastAsia" w:eastAsia="仿宋_GB2312"/>
          <w:color w:val="000000" w:themeColor="text1"/>
          <w:sz w:val="24"/>
          <w:lang w:eastAsia="zh-CN"/>
          <w14:textFill>
            <w14:solidFill>
              <w14:schemeClr w14:val="tx1"/>
            </w14:solidFill>
          </w14:textFill>
        </w:rPr>
        <w:t>hm2，临时用地将对土地造成一定程度的破坏（</w:t>
      </w:r>
      <w:r>
        <w:rPr>
          <w:rFonts w:hint="eastAsia" w:eastAsia="仿宋_GB2312"/>
          <w:color w:val="000000" w:themeColor="text1"/>
          <w:sz w:val="24"/>
          <w:lang w:val="en-US" w:eastAsia="zh-CN"/>
          <w14:textFill>
            <w14:solidFill>
              <w14:schemeClr w14:val="tx1"/>
            </w14:solidFill>
          </w14:textFill>
        </w:rPr>
        <w:t>本方案针对临时用地叙述，永久性占地未列入本临时用地土地复垦方案</w:t>
      </w:r>
      <w:r>
        <w:rPr>
          <w:rFonts w:hint="eastAsia" w:eastAsia="仿宋_GB2312"/>
          <w:color w:val="000000" w:themeColor="text1"/>
          <w:sz w:val="24"/>
          <w:lang w:eastAsia="zh-CN"/>
          <w14:textFill>
            <w14:solidFill>
              <w14:schemeClr w14:val="tx1"/>
            </w14:solidFill>
          </w14:textFill>
        </w:rPr>
        <w:t>）。</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为贯彻落实</w:t>
      </w:r>
      <w:r>
        <w:rPr>
          <w:rFonts w:eastAsia="仿宋_GB2312"/>
          <w:color w:val="000000" w:themeColor="text1"/>
          <w:sz w:val="24"/>
          <w14:textFill>
            <w14:solidFill>
              <w14:schemeClr w14:val="tx1"/>
            </w14:solidFill>
          </w14:textFill>
        </w:rPr>
        <w:t>国土资源部、发改委、财政部、铁道部、交通部、水利部、环保总局等七部委联合于2006年9月30日下发了国土资发[2006]225号文：《关于加强生产建设项目土地复垦管理工作的通知》及国土资发[2007]81号文件：《关于组织土地复垦方案编报和审查有关问题的通知》，</w:t>
      </w:r>
      <w:r>
        <w:rPr>
          <w:rFonts w:hint="eastAsia" w:eastAsia="仿宋_GB2312"/>
          <w:color w:val="000000" w:themeColor="text1"/>
          <w:sz w:val="24"/>
          <w:lang w:eastAsia="zh-CN"/>
          <w14:textFill>
            <w14:solidFill>
              <w14:schemeClr w14:val="tx1"/>
            </w14:solidFill>
          </w14:textFill>
        </w:rPr>
        <w:t>及时复垦利用被损毁的土地，充分挖掘废弃土地的潜力，促进土地节约集约利用，保护和改善生产建设区域生态环境，实现社会经济和生态环境的可持续发展，喀什地区盖孜库山河流域管理处</w:t>
      </w:r>
      <w:r>
        <w:rPr>
          <w:rFonts w:eastAsia="仿宋_GB2312"/>
          <w:color w:val="000000" w:themeColor="text1"/>
          <w:sz w:val="24"/>
          <w14:textFill>
            <w14:solidFill>
              <w14:schemeClr w14:val="tx1"/>
            </w14:solidFill>
          </w14:textFill>
        </w:rPr>
        <w:t>于</w:t>
      </w:r>
      <w:r>
        <w:rPr>
          <w:rFonts w:hint="eastAsia" w:eastAsia="仿宋_GB2312"/>
          <w:color w:val="000000" w:themeColor="text1"/>
          <w:sz w:val="24"/>
          <w:lang w:eastAsia="zh-CN"/>
          <w14:textFill>
            <w14:solidFill>
              <w14:schemeClr w14:val="tx1"/>
            </w14:solidFill>
          </w14:textFill>
        </w:rPr>
        <w:t>202</w:t>
      </w:r>
      <w:r>
        <w:rPr>
          <w:rFonts w:hint="eastAsia" w:eastAsia="仿宋_GB2312"/>
          <w:color w:val="000000" w:themeColor="text1"/>
          <w:sz w:val="24"/>
          <w:lang w:val="en-US" w:eastAsia="zh-CN"/>
          <w14:textFill>
            <w14:solidFill>
              <w14:schemeClr w14:val="tx1"/>
            </w14:solidFill>
          </w14:textFill>
        </w:rPr>
        <w:t>4</w:t>
      </w:r>
      <w:r>
        <w:rPr>
          <w:rFonts w:hint="eastAsia" w:eastAsia="仿宋_GB2312"/>
          <w:color w:val="000000" w:themeColor="text1"/>
          <w:sz w:val="24"/>
          <w:lang w:eastAsia="zh-CN"/>
          <w14:textFill>
            <w14:solidFill>
              <w14:schemeClr w14:val="tx1"/>
            </w14:solidFill>
          </w14:textFill>
        </w:rPr>
        <w:t>年</w:t>
      </w:r>
      <w:r>
        <w:rPr>
          <w:rFonts w:hint="eastAsia" w:eastAsia="仿宋_GB2312"/>
          <w:color w:val="000000" w:themeColor="text1"/>
          <w:sz w:val="24"/>
          <w:lang w:val="en-US" w:eastAsia="zh-CN"/>
          <w14:textFill>
            <w14:solidFill>
              <w14:schemeClr w14:val="tx1"/>
            </w14:solidFill>
          </w14:textFill>
        </w:rPr>
        <w:t>1</w:t>
      </w:r>
      <w:r>
        <w:rPr>
          <w:rFonts w:hint="eastAsia" w:eastAsia="仿宋_GB2312"/>
          <w:color w:val="000000" w:themeColor="text1"/>
          <w:sz w:val="24"/>
          <w:lang w:eastAsia="zh-CN"/>
          <w14:textFill>
            <w14:solidFill>
              <w14:schemeClr w14:val="tx1"/>
            </w14:solidFill>
          </w14:textFill>
        </w:rPr>
        <w:t>月</w:t>
      </w:r>
      <w:r>
        <w:rPr>
          <w:rFonts w:hint="eastAsia" w:eastAsia="仿宋_GB2312"/>
          <w:color w:val="000000" w:themeColor="text1"/>
          <w:sz w:val="24"/>
          <w:lang w:val="en-US" w:eastAsia="zh-CN"/>
          <w14:textFill>
            <w14:solidFill>
              <w14:schemeClr w14:val="tx1"/>
            </w14:solidFill>
          </w14:textFill>
        </w:rPr>
        <w:t>上</w:t>
      </w:r>
      <w:r>
        <w:rPr>
          <w:rFonts w:hint="eastAsia" w:eastAsia="仿宋_GB2312"/>
          <w:color w:val="000000" w:themeColor="text1"/>
          <w:sz w:val="24"/>
          <w:lang w:eastAsia="zh-CN"/>
          <w14:textFill>
            <w14:solidFill>
              <w14:schemeClr w14:val="tx1"/>
            </w14:solidFill>
          </w14:textFill>
        </w:rPr>
        <w:t>旬</w:t>
      </w:r>
      <w:r>
        <w:rPr>
          <w:rFonts w:eastAsia="仿宋_GB2312"/>
          <w:color w:val="000000" w:themeColor="text1"/>
          <w:sz w:val="24"/>
          <w14:textFill>
            <w14:solidFill>
              <w14:schemeClr w14:val="tx1"/>
            </w14:solidFill>
          </w14:textFill>
        </w:rPr>
        <w:t>委托</w:t>
      </w:r>
      <w:r>
        <w:rPr>
          <w:rFonts w:hint="eastAsia" w:eastAsia="仿宋_GB2312"/>
          <w:color w:val="000000" w:themeColor="text1"/>
          <w:sz w:val="24"/>
          <w:lang w:eastAsia="zh-CN"/>
          <w14:textFill>
            <w14:solidFill>
              <w14:schemeClr w14:val="tx1"/>
            </w14:solidFill>
          </w14:textFill>
        </w:rPr>
        <w:t>新疆国绘信息科技有限公司</w:t>
      </w:r>
      <w:r>
        <w:rPr>
          <w:rFonts w:eastAsia="仿宋_GB2312"/>
          <w:color w:val="000000" w:themeColor="text1"/>
          <w:sz w:val="24"/>
          <w14:textFill>
            <w14:solidFill>
              <w14:schemeClr w14:val="tx1"/>
            </w14:solidFill>
          </w14:textFill>
        </w:rPr>
        <w:t>编制了《</w:t>
      </w:r>
      <w:r>
        <w:rPr>
          <w:rFonts w:hint="eastAsia" w:eastAsia="仿宋_GB2312"/>
          <w:color w:val="000000" w:themeColor="text1"/>
          <w:sz w:val="24"/>
          <w:lang w:eastAsia="zh-CN"/>
          <w14:textFill>
            <w14:solidFill>
              <w14:schemeClr w14:val="tx1"/>
            </w14:solidFill>
          </w14:textFill>
        </w:rPr>
        <w:t>新疆克孜河大桥渠首除险加固工程临时用地土地复垦方案</w:t>
      </w:r>
      <w:r>
        <w:rPr>
          <w:rFonts w:hint="eastAsia" w:eastAsia="仿宋_GB2312"/>
          <w:color w:val="000000" w:themeColor="text1"/>
          <w:sz w:val="24"/>
          <w14:textFill>
            <w14:solidFill>
              <w14:schemeClr w14:val="tx1"/>
            </w14:solidFill>
          </w14:textFill>
        </w:rPr>
        <w:t>报告书</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接受委托后，我单位组织</w:t>
      </w:r>
      <w:r>
        <w:rPr>
          <w:rFonts w:eastAsia="仿宋_GB2312"/>
          <w:color w:val="000000" w:themeColor="text1"/>
          <w:sz w:val="24"/>
          <w14:textFill>
            <w14:solidFill>
              <w14:schemeClr w14:val="tx1"/>
            </w14:solidFill>
          </w14:textFill>
        </w:rPr>
        <w:t>成</w:t>
      </w:r>
      <w:r>
        <w:rPr>
          <w:rFonts w:hint="eastAsia" w:eastAsia="仿宋_GB2312"/>
          <w:color w:val="000000" w:themeColor="text1"/>
          <w:sz w:val="24"/>
          <w:lang w:eastAsia="zh-CN"/>
          <w14:textFill>
            <w14:solidFill>
              <w14:schemeClr w14:val="tx1"/>
            </w14:solidFill>
          </w14:textFill>
        </w:rPr>
        <w:t>立</w:t>
      </w:r>
      <w:r>
        <w:rPr>
          <w:rFonts w:eastAsia="仿宋_GB2312"/>
          <w:color w:val="000000" w:themeColor="text1"/>
          <w:sz w:val="24"/>
          <w14:textFill>
            <w14:solidFill>
              <w14:schemeClr w14:val="tx1"/>
            </w14:solidFill>
          </w14:textFill>
        </w:rPr>
        <w:t>项目</w:t>
      </w:r>
      <w:r>
        <w:rPr>
          <w:rFonts w:hint="eastAsia" w:eastAsia="仿宋_GB2312"/>
          <w:color w:val="000000" w:themeColor="text1"/>
          <w:sz w:val="24"/>
          <w:lang w:eastAsia="zh-CN"/>
          <w14:textFill>
            <w14:solidFill>
              <w14:schemeClr w14:val="tx1"/>
            </w14:solidFill>
          </w14:textFill>
        </w:rPr>
        <w:t>组，多次对现场进行实地踏勘，对项目区土地利用现状与规划进行调查，收集相关基础资料，并严格按照《土地复垦方案编制规程》和</w:t>
      </w:r>
      <w:r>
        <w:rPr>
          <w:rFonts w:eastAsia="仿宋_GB2312"/>
          <w:color w:val="000000" w:themeColor="text1"/>
          <w:sz w:val="24"/>
          <w14:textFill>
            <w14:solidFill>
              <w14:schemeClr w14:val="tx1"/>
            </w14:solidFill>
          </w14:textFill>
        </w:rPr>
        <w:t>《关于组织土地复垦方案编报和审查有关问题的通知》国土资发[2007]81号文件</w:t>
      </w:r>
      <w:r>
        <w:rPr>
          <w:rFonts w:hint="eastAsia" w:eastAsia="仿宋_GB2312"/>
          <w:color w:val="000000" w:themeColor="text1"/>
          <w:sz w:val="24"/>
          <w:lang w:eastAsia="zh-CN"/>
          <w14:textFill>
            <w14:solidFill>
              <w14:schemeClr w14:val="tx1"/>
            </w14:solidFill>
          </w14:textFill>
        </w:rPr>
        <w:t>的相关规定，经过反复讨论修改，最终编制完成</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新疆克孜河大桥渠首除险加固工程临时用地土地复垦方案</w:t>
      </w:r>
      <w:r>
        <w:rPr>
          <w:rFonts w:hint="eastAsia" w:eastAsia="仿宋_GB2312"/>
          <w:color w:val="000000" w:themeColor="text1"/>
          <w:sz w:val="24"/>
          <w14:textFill>
            <w14:solidFill>
              <w14:schemeClr w14:val="tx1"/>
            </w14:solidFill>
          </w14:textFill>
        </w:rPr>
        <w:t>报告书</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在</w:t>
      </w:r>
      <w:r>
        <w:rPr>
          <w:rFonts w:hint="eastAsia" w:eastAsia="仿宋_GB2312"/>
          <w:color w:val="000000" w:themeColor="text1"/>
          <w:sz w:val="24"/>
          <w:lang w:eastAsia="zh-CN"/>
          <w14:textFill>
            <w14:solidFill>
              <w14:schemeClr w14:val="tx1"/>
            </w14:solidFill>
          </w14:textFill>
        </w:rPr>
        <w:t>本方案</w:t>
      </w:r>
      <w:r>
        <w:rPr>
          <w:rFonts w:eastAsia="仿宋_GB2312"/>
          <w:color w:val="000000" w:themeColor="text1"/>
          <w:sz w:val="24"/>
          <w14:textFill>
            <w14:solidFill>
              <w14:schemeClr w14:val="tx1"/>
            </w14:solidFill>
          </w14:textFill>
        </w:rPr>
        <w:t>编制</w:t>
      </w:r>
      <w:r>
        <w:rPr>
          <w:rFonts w:hint="eastAsia" w:eastAsia="仿宋_GB2312"/>
          <w:color w:val="000000" w:themeColor="text1"/>
          <w:sz w:val="24"/>
          <w:lang w:eastAsia="zh-CN"/>
          <w14:textFill>
            <w14:solidFill>
              <w14:schemeClr w14:val="tx1"/>
            </w14:solidFill>
          </w14:textFill>
        </w:rPr>
        <w:t>期间</w:t>
      </w:r>
      <w:r>
        <w:rPr>
          <w:rFonts w:eastAsia="仿宋_GB2312"/>
          <w:color w:val="000000" w:themeColor="text1"/>
          <w:sz w:val="24"/>
          <w14:textFill>
            <w14:solidFill>
              <w14:schemeClr w14:val="tx1"/>
            </w14:solidFill>
          </w14:textFill>
        </w:rPr>
        <w:t>，我们得到了</w:t>
      </w:r>
      <w:r>
        <w:rPr>
          <w:rFonts w:hint="eastAsia" w:eastAsia="仿宋_GB2312"/>
          <w:color w:val="000000" w:themeColor="text1"/>
          <w:sz w:val="24"/>
          <w:lang w:eastAsia="zh-CN"/>
          <w14:textFill>
            <w14:solidFill>
              <w14:schemeClr w14:val="tx1"/>
            </w14:solidFill>
          </w14:textFill>
        </w:rPr>
        <w:t>疏勒县自然资源局、疏</w:t>
      </w:r>
      <w:r>
        <w:rPr>
          <w:rFonts w:hint="eastAsia" w:eastAsia="仿宋_GB2312"/>
          <w:color w:val="000000" w:themeColor="text1"/>
          <w:sz w:val="24"/>
          <w:lang w:val="en-US" w:eastAsia="zh-CN"/>
          <w14:textFill>
            <w14:solidFill>
              <w14:schemeClr w14:val="tx1"/>
            </w14:solidFill>
          </w14:textFill>
        </w:rPr>
        <w:t>附</w:t>
      </w:r>
      <w:r>
        <w:rPr>
          <w:rFonts w:hint="eastAsia" w:eastAsia="仿宋_GB2312"/>
          <w:color w:val="000000" w:themeColor="text1"/>
          <w:sz w:val="24"/>
          <w:lang w:eastAsia="zh-CN"/>
          <w14:textFill>
            <w14:solidFill>
              <w14:schemeClr w14:val="tx1"/>
            </w14:solidFill>
          </w14:textFill>
        </w:rPr>
        <w:t>县自然资源局、喀什</w:t>
      </w:r>
      <w:r>
        <w:rPr>
          <w:rFonts w:hint="eastAsia" w:eastAsia="仿宋_GB2312"/>
          <w:color w:val="000000" w:themeColor="text1"/>
          <w:sz w:val="24"/>
          <w:lang w:val="en-US" w:eastAsia="zh-CN"/>
          <w14:textFill>
            <w14:solidFill>
              <w14:schemeClr w14:val="tx1"/>
            </w14:solidFill>
          </w14:textFill>
        </w:rPr>
        <w:t>市</w:t>
      </w:r>
      <w:r>
        <w:rPr>
          <w:rFonts w:hint="eastAsia" w:eastAsia="仿宋_GB2312"/>
          <w:color w:val="000000" w:themeColor="text1"/>
          <w:sz w:val="24"/>
          <w:lang w:eastAsia="zh-CN"/>
          <w14:textFill>
            <w14:solidFill>
              <w14:schemeClr w14:val="tx1"/>
            </w14:solidFill>
          </w14:textFill>
        </w:rPr>
        <w:t>自然资源局、喀什地区盖孜库山河流域管理处等</w:t>
      </w:r>
      <w:r>
        <w:rPr>
          <w:rFonts w:eastAsia="仿宋_GB2312"/>
          <w:color w:val="000000" w:themeColor="text1"/>
          <w:sz w:val="24"/>
          <w14:textFill>
            <w14:solidFill>
              <w14:schemeClr w14:val="tx1"/>
            </w14:solidFill>
          </w14:textFill>
        </w:rPr>
        <w:t>有关部门和专家的</w:t>
      </w:r>
      <w:r>
        <w:rPr>
          <w:rFonts w:hint="eastAsia" w:eastAsia="仿宋_GB2312"/>
          <w:color w:val="000000" w:themeColor="text1"/>
          <w:sz w:val="24"/>
          <w:lang w:eastAsia="zh-CN"/>
          <w14:textFill>
            <w14:solidFill>
              <w14:schemeClr w14:val="tx1"/>
            </w14:solidFill>
          </w14:textFill>
        </w:rPr>
        <w:t>悉心</w:t>
      </w:r>
      <w:r>
        <w:rPr>
          <w:rFonts w:eastAsia="仿宋_GB2312"/>
          <w:color w:val="000000" w:themeColor="text1"/>
          <w:sz w:val="24"/>
          <w14:textFill>
            <w14:solidFill>
              <w14:schemeClr w14:val="tx1"/>
            </w14:solidFill>
          </w14:textFill>
        </w:rPr>
        <w:t>指导和</w:t>
      </w:r>
      <w:r>
        <w:rPr>
          <w:rFonts w:hint="eastAsia" w:eastAsia="仿宋_GB2312"/>
          <w:color w:val="000000" w:themeColor="text1"/>
          <w:sz w:val="24"/>
          <w:lang w:eastAsia="zh-CN"/>
          <w14:textFill>
            <w14:solidFill>
              <w14:schemeClr w14:val="tx1"/>
            </w14:solidFill>
          </w14:textFill>
        </w:rPr>
        <w:t>大力支持</w:t>
      </w:r>
      <w:r>
        <w:rPr>
          <w:rFonts w:eastAsia="仿宋_GB2312"/>
          <w:color w:val="000000" w:themeColor="text1"/>
          <w:sz w:val="24"/>
          <w14:textFill>
            <w14:solidFill>
              <w14:schemeClr w14:val="tx1"/>
            </w14:solidFill>
          </w14:textFill>
        </w:rPr>
        <w:t>，在此</w:t>
      </w:r>
      <w:r>
        <w:rPr>
          <w:rFonts w:hint="eastAsia" w:eastAsia="仿宋_GB2312"/>
          <w:color w:val="000000" w:themeColor="text1"/>
          <w:sz w:val="24"/>
          <w:lang w:eastAsia="zh-CN"/>
          <w14:textFill>
            <w14:solidFill>
              <w14:schemeClr w14:val="tx1"/>
            </w14:solidFill>
          </w14:textFill>
        </w:rPr>
        <w:t>一并深表谢意</w:t>
      </w:r>
      <w:r>
        <w:rPr>
          <w:rFonts w:eastAsia="仿宋_GB2312"/>
          <w:color w:val="000000" w:themeColor="text1"/>
          <w:sz w:val="24"/>
          <w14:textFill>
            <w14:solidFill>
              <w14:schemeClr w14:val="tx1"/>
            </w14:solidFill>
          </w14:textFill>
        </w:rPr>
        <w:t>！</w:t>
      </w:r>
    </w:p>
    <w:p>
      <w:pPr>
        <w:pStyle w:val="5"/>
        <w:pageBreakBefore w:val="0"/>
        <w:kinsoku/>
        <w:wordWrap/>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b w:val="0"/>
          <w:color w:val="000000" w:themeColor="text1"/>
          <w:sz w:val="30"/>
          <w:szCs w:val="30"/>
          <w14:textFill>
            <w14:solidFill>
              <w14:schemeClr w14:val="tx1"/>
            </w14:solidFill>
          </w14:textFill>
        </w:rPr>
      </w:pPr>
      <w:bookmarkStart w:id="8" w:name="_Toc28524"/>
      <w:bookmarkStart w:id="9" w:name="_Toc26392"/>
      <w:bookmarkStart w:id="10" w:name="_Toc383531803"/>
      <w:r>
        <w:rPr>
          <w:rFonts w:ascii="Times New Roman" w:hAnsi="Times New Roman" w:eastAsia="仿宋_GB2312"/>
          <w:b w:val="0"/>
          <w:color w:val="000000" w:themeColor="text1"/>
          <w:sz w:val="30"/>
          <w:szCs w:val="30"/>
          <w14:textFill>
            <w14:solidFill>
              <w14:schemeClr w14:val="tx1"/>
            </w14:solidFill>
          </w14:textFill>
        </w:rPr>
        <w:t xml:space="preserve">1.2 </w:t>
      </w:r>
      <w:r>
        <w:rPr>
          <w:rFonts w:hint="eastAsia" w:ascii="黑体" w:hAnsi="黑体" w:cs="黑体"/>
          <w:b w:val="0"/>
          <w:color w:val="000000" w:themeColor="text1"/>
          <w:sz w:val="30"/>
          <w:szCs w:val="30"/>
          <w14:textFill>
            <w14:solidFill>
              <w14:schemeClr w14:val="tx1"/>
            </w14:solidFill>
          </w14:textFill>
        </w:rPr>
        <w:t>复垦方案摘要</w:t>
      </w:r>
      <w:bookmarkEnd w:id="8"/>
      <w:bookmarkEnd w:id="9"/>
      <w:bookmarkEnd w:id="10"/>
    </w:p>
    <w:p>
      <w:pPr>
        <w:pStyle w:val="6"/>
        <w:pageBreakBefore w:val="0"/>
        <w:kinsoku/>
        <w:wordWrap/>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仿宋_GB2312" w:hAnsi="仿宋_GB2312" w:eastAsia="仿宋_GB2312" w:cs="仿宋_GB2312"/>
          <w:color w:val="000000" w:themeColor="text1"/>
          <w:sz w:val="28"/>
          <w14:textFill>
            <w14:solidFill>
              <w14:schemeClr w14:val="tx1"/>
            </w14:solidFill>
          </w14:textFill>
        </w:rPr>
      </w:pPr>
      <w:r>
        <w:rPr>
          <w:color w:val="000000" w:themeColor="text1"/>
          <w:sz w:val="28"/>
          <w14:textFill>
            <w14:solidFill>
              <w14:schemeClr w14:val="tx1"/>
            </w14:solidFill>
          </w14:textFill>
        </w:rPr>
        <w:t>1.2.1</w:t>
      </w:r>
      <w:r>
        <w:rPr>
          <w:rFonts w:hint="eastAsia" w:ascii="黑体" w:hAnsi="黑体" w:eastAsia="黑体" w:cs="黑体"/>
          <w:color w:val="000000" w:themeColor="text1"/>
          <w:sz w:val="28"/>
          <w14:textFill>
            <w14:solidFill>
              <w14:schemeClr w14:val="tx1"/>
            </w14:solidFill>
          </w14:textFill>
        </w:rPr>
        <w:t>服务年限</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该项目为</w:t>
      </w:r>
      <w:r>
        <w:rPr>
          <w:rFonts w:hint="eastAsia" w:eastAsia="仿宋_GB2312" w:cs="Times New Roman"/>
          <w:color w:val="000000" w:themeColor="text1"/>
          <w:sz w:val="24"/>
          <w:lang w:val="en-US" w:eastAsia="zh-CN"/>
          <w14:textFill>
            <w14:solidFill>
              <w14:schemeClr w14:val="tx1"/>
            </w14:solidFill>
          </w14:textFill>
        </w:rPr>
        <w:t>加固</w:t>
      </w:r>
      <w:r>
        <w:rPr>
          <w:rFonts w:hint="eastAsia" w:eastAsia="仿宋_GB2312" w:cs="Times New Roman"/>
          <w:color w:val="000000" w:themeColor="text1"/>
          <w:sz w:val="24"/>
          <w:lang w:eastAsia="zh-CN"/>
          <w14:textFill>
            <w14:solidFill>
              <w14:schemeClr w14:val="tx1"/>
            </w14:solidFill>
          </w14:textFill>
        </w:rPr>
        <w:t>水利设施</w:t>
      </w:r>
      <w:r>
        <w:rPr>
          <w:rFonts w:hint="eastAsia" w:ascii="Times New Roman" w:hAnsi="Times New Roman" w:eastAsia="仿宋_GB2312" w:cs="Times New Roman"/>
          <w:color w:val="000000" w:themeColor="text1"/>
          <w:sz w:val="24"/>
          <w:lang w:eastAsia="zh-CN"/>
          <w14:textFill>
            <w14:solidFill>
              <w14:schemeClr w14:val="tx1"/>
            </w14:solidFill>
          </w14:textFill>
        </w:rPr>
        <w:t>类项目</w:t>
      </w:r>
      <w:r>
        <w:rPr>
          <w:rFonts w:hint="default" w:ascii="Times New Roman" w:hAnsi="Times New Roman" w:eastAsia="仿宋_GB2312" w:cs="Times New Roman"/>
          <w:color w:val="000000" w:themeColor="text1"/>
          <w:sz w:val="24"/>
          <w14:textFill>
            <w14:solidFill>
              <w14:schemeClr w14:val="tx1"/>
            </w14:solidFill>
          </w14:textFill>
        </w:rPr>
        <w:t>，参照《土地复垦条例（2011年3月）》及《土地复垦方案编制规程-第6部分：建设项目</w:t>
      </w:r>
      <w:r>
        <w:rPr>
          <w:rFonts w:hint="default" w:ascii="Times New Roman" w:hAnsi="Times New Roman" w:eastAsia="仿宋_GB2312" w:cs="Times New Roman"/>
          <w:color w:val="000000" w:themeColor="text1"/>
          <w:sz w:val="24"/>
          <w:lang w:eastAsia="zh-CN"/>
          <w14:textFill>
            <w14:solidFill>
              <w14:schemeClr w14:val="tx1"/>
            </w14:solidFill>
          </w14:textFill>
        </w:rPr>
        <w:t>》编制要求，此复垦方案的服务年限为临时用地期限。根据《</w:t>
      </w:r>
      <w:r>
        <w:rPr>
          <w:rFonts w:hint="eastAsia" w:eastAsia="仿宋_GB2312" w:cs="Times New Roman"/>
          <w:color w:val="000000" w:themeColor="text1"/>
          <w:sz w:val="24"/>
          <w:lang w:eastAsia="zh-CN"/>
          <w14:textFill>
            <w14:solidFill>
              <w14:schemeClr w14:val="tx1"/>
            </w14:solidFill>
          </w14:textFill>
        </w:rPr>
        <w:t>新疆克孜河大桥渠首除险加固工程可行性研究报告</w:t>
      </w:r>
      <w:r>
        <w:rPr>
          <w:rFonts w:hint="default" w:ascii="Times New Roman" w:hAnsi="Times New Roman" w:eastAsia="仿宋_GB2312" w:cs="Times New Roman"/>
          <w:color w:val="000000" w:themeColor="text1"/>
          <w:sz w:val="24"/>
          <w:lang w:eastAsia="zh-CN"/>
          <w14:textFill>
            <w14:solidFill>
              <w14:schemeClr w14:val="tx1"/>
            </w14:solidFill>
          </w14:textFill>
        </w:rPr>
        <w:t>》可知，</w:t>
      </w: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default" w:ascii="Times New Roman" w:hAnsi="Times New Roman" w:eastAsia="仿宋_GB2312" w:cs="Times New Roman"/>
          <w:color w:val="000000" w:themeColor="text1"/>
          <w:sz w:val="24"/>
          <w:lang w:eastAsia="zh-CN"/>
          <w14:textFill>
            <w14:solidFill>
              <w14:schemeClr w14:val="tx1"/>
            </w14:solidFill>
          </w14:textFill>
        </w:rPr>
        <w:t>施工总工期为</w:t>
      </w:r>
      <w:r>
        <w:rPr>
          <w:rFonts w:hint="eastAsia" w:eastAsia="仿宋_GB2312" w:cs="Times New Roman"/>
          <w:color w:val="000000" w:themeColor="text1"/>
          <w:sz w:val="24"/>
          <w:lang w:val="en-US" w:eastAsia="zh-CN"/>
          <w14:textFill>
            <w14:solidFill>
              <w14:schemeClr w14:val="tx1"/>
            </w14:solidFill>
          </w14:textFill>
        </w:rPr>
        <w:t>24个月</w:t>
      </w:r>
      <w:r>
        <w:rPr>
          <w:rFonts w:hint="default" w:ascii="Times New Roman" w:hAnsi="Times New Roman" w:eastAsia="仿宋_GB2312" w:cs="Times New Roman"/>
          <w:color w:val="000000" w:themeColor="text1"/>
          <w:sz w:val="24"/>
          <w:lang w:val="zh-CN" w:eastAsia="zh-CN"/>
          <w14:textFill>
            <w14:solidFill>
              <w14:schemeClr w14:val="tx1"/>
            </w14:solidFill>
          </w14:textFill>
        </w:rPr>
        <w:t>。</w:t>
      </w:r>
      <w:r>
        <w:rPr>
          <w:rFonts w:hint="eastAsia" w:ascii="Times New Roman" w:hAnsi="Times New Roman" w:eastAsia="仿宋_GB2312" w:cs="Times New Roman"/>
          <w:color w:val="000000" w:themeColor="text1"/>
          <w:sz w:val="24"/>
          <w:lang w:val="zh-CN" w:eastAsia="zh-CN"/>
          <w14:textFill>
            <w14:solidFill>
              <w14:schemeClr w14:val="tx1"/>
            </w14:solidFill>
          </w14:textFill>
        </w:rPr>
        <w:t>自</w:t>
      </w:r>
      <w:r>
        <w:rPr>
          <w:rFonts w:hint="eastAsia" w:eastAsia="仿宋_GB2312" w:cs="Times New Roman"/>
          <w:color w:val="000000" w:themeColor="text1"/>
          <w:sz w:val="24"/>
          <w:lang w:val="en-US" w:eastAsia="zh-CN"/>
          <w14:textFill>
            <w14:solidFill>
              <w14:schemeClr w14:val="tx1"/>
            </w14:solidFill>
          </w14:textFill>
        </w:rPr>
        <w:t>2024年3月</w:t>
      </w:r>
      <w:r>
        <w:rPr>
          <w:rFonts w:hint="eastAsia" w:ascii="Times New Roman" w:hAnsi="Times New Roman" w:eastAsia="仿宋_GB2312" w:cs="Times New Roman"/>
          <w:color w:val="000000" w:themeColor="text1"/>
          <w:sz w:val="24"/>
          <w:lang w:val="zh-CN" w:eastAsia="zh-CN"/>
          <w14:textFill>
            <w14:solidFill>
              <w14:schemeClr w14:val="tx1"/>
            </w14:solidFill>
          </w14:textFill>
        </w:rPr>
        <w:t>底，完成施工前期准备工作及项目施工招标。从</w:t>
      </w:r>
      <w:r>
        <w:rPr>
          <w:rFonts w:hint="eastAsia" w:eastAsia="仿宋_GB2312" w:cs="Times New Roman"/>
          <w:color w:val="000000" w:themeColor="text1"/>
          <w:sz w:val="24"/>
          <w:lang w:val="en-US" w:eastAsia="zh-CN"/>
          <w14:textFill>
            <w14:solidFill>
              <w14:schemeClr w14:val="tx1"/>
            </w14:solidFill>
          </w14:textFill>
        </w:rPr>
        <w:t>2024年4月初</w:t>
      </w:r>
      <w:r>
        <w:rPr>
          <w:rFonts w:hint="eastAsia" w:ascii="Times New Roman" w:hAnsi="Times New Roman" w:eastAsia="仿宋_GB2312" w:cs="Times New Roman"/>
          <w:color w:val="000000" w:themeColor="text1"/>
          <w:sz w:val="24"/>
          <w:lang w:val="zh-CN" w:eastAsia="zh-CN"/>
          <w14:textFill>
            <w14:solidFill>
              <w14:schemeClr w14:val="tx1"/>
            </w14:solidFill>
          </w14:textFill>
        </w:rPr>
        <w:t>开始，至</w:t>
      </w:r>
      <w:r>
        <w:rPr>
          <w:rFonts w:hint="eastAsia" w:eastAsia="仿宋_GB2312" w:cs="Times New Roman"/>
          <w:color w:val="000000" w:themeColor="text1"/>
          <w:sz w:val="24"/>
          <w:lang w:val="en-US" w:eastAsia="zh-CN"/>
          <w14:textFill>
            <w14:solidFill>
              <w14:schemeClr w14:val="tx1"/>
            </w14:solidFill>
          </w14:textFill>
        </w:rPr>
        <w:t>2026年3月中旬</w:t>
      </w:r>
      <w:r>
        <w:rPr>
          <w:rFonts w:hint="eastAsia" w:ascii="Times New Roman" w:hAnsi="Times New Roman" w:eastAsia="仿宋_GB2312" w:cs="Times New Roman"/>
          <w:color w:val="000000" w:themeColor="text1"/>
          <w:sz w:val="24"/>
          <w:lang w:val="zh-CN" w:eastAsia="zh-CN"/>
          <w14:textFill>
            <w14:solidFill>
              <w14:schemeClr w14:val="tx1"/>
            </w14:solidFill>
          </w14:textFill>
        </w:rPr>
        <w:t>完成施工。</w:t>
      </w:r>
      <w:r>
        <w:rPr>
          <w:rFonts w:hint="default" w:ascii="Times New Roman" w:hAnsi="Times New Roman" w:eastAsia="仿宋_GB2312" w:cs="Times New Roman"/>
          <w:color w:val="000000" w:themeColor="text1"/>
          <w:sz w:val="24"/>
          <w:lang w:eastAsia="zh-CN"/>
          <w14:textFill>
            <w14:solidFill>
              <w14:schemeClr w14:val="tx1"/>
            </w14:solidFill>
          </w14:textFill>
        </w:rPr>
        <w:t>土地复垦工程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施工期</w:t>
      </w:r>
      <w:r>
        <w:rPr>
          <w:rFonts w:hint="eastAsia" w:eastAsia="仿宋_GB2312" w:cs="Times New Roman"/>
          <w:color w:val="000000" w:themeColor="text1"/>
          <w:sz w:val="24"/>
          <w:lang w:val="en-US" w:eastAsia="zh-CN"/>
          <w14:textFill>
            <w14:solidFill>
              <w14:schemeClr w14:val="tx1"/>
            </w14:solidFill>
          </w14:textFill>
        </w:rPr>
        <w:t>2026年4月-2026年7月</w:t>
      </w:r>
      <w:r>
        <w:rPr>
          <w:rFonts w:hint="default" w:ascii="Times New Roman" w:hAnsi="Times New Roman" w:eastAsia="仿宋_GB2312" w:cs="Times New Roman"/>
          <w:color w:val="000000" w:themeColor="text1"/>
          <w:sz w:val="24"/>
          <w:lang w:eastAsia="zh-CN"/>
          <w14:textFill>
            <w14:solidFill>
              <w14:schemeClr w14:val="tx1"/>
            </w14:solidFill>
          </w14:textFill>
        </w:rPr>
        <w:t>，因此该</w:t>
      </w:r>
      <w:r>
        <w:rPr>
          <w:rFonts w:hint="eastAsia" w:eastAsia="仿宋_GB2312" w:cs="Times New Roman"/>
          <w:color w:val="000000" w:themeColor="text1"/>
          <w:sz w:val="24"/>
          <w:lang w:eastAsia="zh-CN"/>
          <w14:textFill>
            <w14:solidFill>
              <w14:schemeClr w14:val="tx1"/>
            </w14:solidFill>
          </w14:textFill>
        </w:rPr>
        <w:t>项目工程</w:t>
      </w:r>
      <w:r>
        <w:rPr>
          <w:rFonts w:hint="default" w:ascii="Times New Roman" w:hAnsi="Times New Roman" w:eastAsia="仿宋_GB2312" w:cs="Times New Roman"/>
          <w:color w:val="000000" w:themeColor="text1"/>
          <w:sz w:val="24"/>
          <w:lang w:eastAsia="zh-CN"/>
          <w14:textFill>
            <w14:solidFill>
              <w14:schemeClr w14:val="tx1"/>
            </w14:solidFill>
          </w14:textFill>
        </w:rPr>
        <w:t>从建设到土地复垦工作结束共用时</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2024年4月-2029年7月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含增设</w:t>
      </w:r>
      <w:r>
        <w:rPr>
          <w:rFonts w:hint="eastAsia" w:eastAsia="仿宋_GB2312" w:cs="Times New Roman"/>
          <w:color w:val="000000" w:themeColor="text1"/>
          <w:sz w:val="24"/>
          <w:lang w:eastAsia="zh-CN"/>
          <w14:textFill>
            <w14:solidFill>
              <w14:schemeClr w14:val="tx1"/>
            </w14:solidFill>
          </w14:textFill>
        </w:rPr>
        <w:t>三年管护期</w:t>
      </w:r>
      <w:r>
        <w:rPr>
          <w:rFonts w:hint="default" w:ascii="Times New Roman" w:hAnsi="Times New Roman" w:eastAsia="仿宋_GB2312" w:cs="Times New Roman"/>
          <w:color w:val="000000" w:themeColor="text1"/>
          <w:sz w:val="24"/>
          <w:lang w:eastAsia="zh-CN"/>
          <w14:textFill>
            <w14:solidFill>
              <w14:schemeClr w14:val="tx1"/>
            </w14:solidFill>
          </w14:textFill>
        </w:rPr>
        <w:t>），故该</w:t>
      </w:r>
      <w:r>
        <w:rPr>
          <w:rFonts w:hint="default" w:ascii="Times New Roman" w:hAnsi="Times New Roman" w:eastAsia="仿宋_GB2312" w:cs="Times New Roman"/>
          <w:color w:val="000000" w:themeColor="text1"/>
          <w:sz w:val="24"/>
          <w:lang w:val="en-US" w:eastAsia="zh-CN"/>
          <w14:textFill>
            <w14:solidFill>
              <w14:schemeClr w14:val="tx1"/>
            </w14:solidFill>
          </w14:textFill>
        </w:rPr>
        <w:t>土地复垦</w:t>
      </w:r>
      <w:r>
        <w:rPr>
          <w:rFonts w:hint="default" w:ascii="Times New Roman" w:hAnsi="Times New Roman" w:eastAsia="仿宋_GB2312" w:cs="Times New Roman"/>
          <w:color w:val="000000" w:themeColor="text1"/>
          <w:sz w:val="24"/>
          <w:lang w:eastAsia="zh-CN"/>
          <w14:textFill>
            <w14:solidFill>
              <w14:schemeClr w14:val="tx1"/>
            </w14:solidFill>
          </w14:textFill>
        </w:rPr>
        <w:t>项目临时用地使用期为</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本复垦方案服务期限为</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2024年4月-2029年7月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含增设</w:t>
      </w:r>
      <w:r>
        <w:rPr>
          <w:rFonts w:hint="eastAsia" w:eastAsia="仿宋_GB2312" w:cs="Times New Roman"/>
          <w:color w:val="000000" w:themeColor="text1"/>
          <w:sz w:val="24"/>
          <w:lang w:eastAsia="zh-CN"/>
          <w14:textFill>
            <w14:solidFill>
              <w14:schemeClr w14:val="tx1"/>
            </w14:solidFill>
          </w14:textFill>
        </w:rPr>
        <w:t>三年管护期</w:t>
      </w:r>
      <w:r>
        <w:rPr>
          <w:rFonts w:hint="default" w:ascii="Times New Roman" w:hAnsi="Times New Roman" w:eastAsia="仿宋_GB2312" w:cs="Times New Roman"/>
          <w:color w:val="000000" w:themeColor="text1"/>
          <w:sz w:val="24"/>
          <w14:textFill>
            <w14:solidFill>
              <w14:schemeClr w14:val="tx1"/>
            </w14:solidFill>
          </w14:textFill>
        </w:rPr>
        <w:t>）。按照土地复垦服务年限的要求，复垦年限应与临时工程服务年限一致</w:t>
      </w:r>
      <w:r>
        <w:rPr>
          <w:rFonts w:hint="default" w:ascii="Times New Roman" w:hAnsi="Times New Roman" w:eastAsia="仿宋_GB2312" w:cs="Times New Roman"/>
          <w:color w:val="000000" w:themeColor="text1"/>
          <w:sz w:val="24"/>
          <w:lang w:eastAsia="zh-CN"/>
          <w14:textFill>
            <w14:solidFill>
              <w14:schemeClr w14:val="tx1"/>
            </w14:solidFill>
          </w14:textFill>
        </w:rPr>
        <w:t>。</w:t>
      </w:r>
    </w:p>
    <w:p>
      <w:pPr>
        <w:pStyle w:val="6"/>
        <w:pageBreakBefore w:val="0"/>
        <w:kinsoku/>
        <w:wordWrap/>
        <w:topLinePunct w:val="0"/>
        <w:autoSpaceDE/>
        <w:autoSpaceDN/>
        <w:bidi w:val="0"/>
        <w:adjustRightInd w:val="0"/>
        <w:snapToGrid w:val="0"/>
        <w:spacing w:before="0" w:beforeAutospacing="0" w:after="0" w:afterAutospacing="0" w:line="360" w:lineRule="auto"/>
        <w:ind w:left="0" w:leftChars="0" w:right="0" w:rightChars="0"/>
        <w:textAlignment w:val="auto"/>
        <w:rPr>
          <w:rFonts w:eastAsia="仿宋_GB2312"/>
          <w:color w:val="000000" w:themeColor="text1"/>
          <w:sz w:val="24"/>
          <w14:textFill>
            <w14:solidFill>
              <w14:schemeClr w14:val="tx1"/>
            </w14:solidFill>
          </w14:textFill>
        </w:rPr>
      </w:pPr>
      <w:r>
        <w:rPr>
          <w:color w:val="000000" w:themeColor="text1"/>
          <w:sz w:val="28"/>
          <w14:textFill>
            <w14:solidFill>
              <w14:schemeClr w14:val="tx1"/>
            </w14:solidFill>
          </w14:textFill>
        </w:rPr>
        <w:t>1.2.2</w:t>
      </w:r>
      <w:r>
        <w:rPr>
          <w:rFonts w:hint="eastAsia" w:ascii="黑体" w:hAnsi="黑体" w:eastAsia="黑体" w:cs="黑体"/>
          <w:color w:val="000000" w:themeColor="text1"/>
          <w:sz w:val="28"/>
          <w14:textFill>
            <w14:solidFill>
              <w14:schemeClr w14:val="tx1"/>
            </w14:solidFill>
          </w14:textFill>
        </w:rPr>
        <w:t>复垦面积</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eastAsia="仿宋_GB2312"/>
          <w:color w:val="000000" w:themeColor="text1"/>
          <w:sz w:val="24"/>
          <w14:textFill>
            <w14:solidFill>
              <w14:schemeClr w14:val="tx1"/>
            </w14:solidFill>
          </w14:textFill>
        </w:rPr>
        <w:t>本次</w:t>
      </w:r>
      <w:r>
        <w:rPr>
          <w:rFonts w:hint="eastAsia" w:eastAsia="仿宋_GB2312"/>
          <w:color w:val="000000" w:themeColor="text1"/>
          <w:sz w:val="24"/>
          <w:lang w:eastAsia="zh-CN"/>
          <w14:textFill>
            <w14:solidFill>
              <w14:schemeClr w14:val="tx1"/>
            </w14:solidFill>
          </w14:textFill>
        </w:rPr>
        <w:t>复垦区总面积为8.0492hm</w:t>
      </w:r>
      <w:r>
        <w:rPr>
          <w:rFonts w:hint="eastAsia" w:eastAsia="仿宋_GB2312"/>
          <w:color w:val="000000" w:themeColor="text1"/>
          <w:sz w:val="24"/>
          <w:vertAlign w:val="superscript"/>
          <w:lang w:eastAsia="zh-CN"/>
          <w14:textFill>
            <w14:solidFill>
              <w14:schemeClr w14:val="tx1"/>
            </w14:solidFill>
          </w14:textFill>
        </w:rPr>
        <w:t>2</w:t>
      </w:r>
      <w:r>
        <w:rPr>
          <w:rFonts w:hint="eastAsia" w:eastAsia="仿宋_GB2312"/>
          <w:color w:val="000000" w:themeColor="text1"/>
          <w:sz w:val="24"/>
          <w:lang w:eastAsia="zh-CN"/>
          <w14:textFill>
            <w14:solidFill>
              <w14:schemeClr w14:val="tx1"/>
            </w14:solidFill>
          </w14:textFill>
        </w:rPr>
        <w:t>；复垦责任范围</w:t>
      </w:r>
      <w:r>
        <w:rPr>
          <w:rFonts w:hint="eastAsia" w:eastAsia="仿宋_GB2312"/>
          <w:color w:val="000000" w:themeColor="text1"/>
          <w:sz w:val="24"/>
          <w:lang w:val="en-US" w:eastAsia="zh-CN"/>
          <w14:textFill>
            <w14:solidFill>
              <w14:schemeClr w14:val="tx1"/>
            </w14:solidFill>
          </w14:textFill>
        </w:rPr>
        <w:t>中材料堆场占地</w:t>
      </w:r>
      <w:r>
        <w:rPr>
          <w:rFonts w:hint="eastAsia" w:eastAsia="仿宋_GB2312"/>
          <w:color w:val="000000" w:themeColor="text1"/>
          <w:sz w:val="24"/>
          <w:lang w:eastAsia="zh-CN"/>
          <w14:textFill>
            <w14:solidFill>
              <w14:schemeClr w14:val="tx1"/>
            </w14:solidFill>
          </w14:textFill>
        </w:rPr>
        <w:t>面积为</w:t>
      </w:r>
      <w:r>
        <w:rPr>
          <w:rFonts w:hint="eastAsia" w:eastAsia="仿宋_GB2312"/>
          <w:color w:val="000000" w:themeColor="text1"/>
          <w:sz w:val="24"/>
          <w:lang w:val="en-US" w:eastAsia="zh-CN"/>
          <w14:textFill>
            <w14:solidFill>
              <w14:schemeClr w14:val="tx1"/>
            </w14:solidFill>
          </w14:textFill>
        </w:rPr>
        <w:t>4.7018</w:t>
      </w:r>
      <w:r>
        <w:rPr>
          <w:rFonts w:eastAsia="仿宋_GB2312"/>
          <w:color w:val="000000" w:themeColor="text1"/>
          <w:sz w:val="24"/>
          <w14:textFill>
            <w14:solidFill>
              <w14:schemeClr w14:val="tx1"/>
            </w14:solidFill>
          </w14:textFill>
        </w:rPr>
        <w:t>hm</w:t>
      </w:r>
      <w:r>
        <w:rPr>
          <w:rFonts w:eastAsia="仿宋_GB2312"/>
          <w:color w:val="000000" w:themeColor="text1"/>
          <w:sz w:val="24"/>
          <w:vertAlign w:val="superscript"/>
          <w14:textFill>
            <w14:solidFill>
              <w14:schemeClr w14:val="tx1"/>
            </w14:solidFill>
          </w14:textFill>
        </w:rPr>
        <w:t>2</w:t>
      </w:r>
      <w:r>
        <w:rPr>
          <w:rFonts w:hint="eastAsia" w:eastAsia="仿宋_GB2312"/>
          <w:color w:val="000000" w:themeColor="text1"/>
          <w:sz w:val="24"/>
          <w:vertAlign w:val="baseline"/>
          <w:lang w:eastAsia="zh-CN"/>
          <w14:textFill>
            <w14:solidFill>
              <w14:schemeClr w14:val="tx1"/>
            </w14:solidFill>
          </w14:textFill>
        </w:rPr>
        <w:t>，</w:t>
      </w:r>
      <w:r>
        <w:rPr>
          <w:rFonts w:hint="eastAsia" w:eastAsia="仿宋_GB2312"/>
          <w:color w:val="000000" w:themeColor="text1"/>
          <w:sz w:val="24"/>
          <w:vertAlign w:val="baseline"/>
          <w:lang w:val="en-US" w:eastAsia="zh-CN"/>
          <w14:textFill>
            <w14:solidFill>
              <w14:schemeClr w14:val="tx1"/>
            </w14:solidFill>
          </w14:textFill>
        </w:rPr>
        <w:t>制梁厂</w:t>
      </w:r>
      <w:r>
        <w:rPr>
          <w:rFonts w:hint="eastAsia" w:eastAsia="仿宋_GB2312"/>
          <w:color w:val="000000" w:themeColor="text1"/>
          <w:sz w:val="24"/>
          <w:lang w:val="en-US" w:eastAsia="zh-CN"/>
          <w14:textFill>
            <w14:solidFill>
              <w14:schemeClr w14:val="tx1"/>
            </w14:solidFill>
          </w14:textFill>
        </w:rPr>
        <w:t>占地</w:t>
      </w:r>
      <w:r>
        <w:rPr>
          <w:rFonts w:hint="eastAsia" w:eastAsia="仿宋_GB2312"/>
          <w:color w:val="000000" w:themeColor="text1"/>
          <w:sz w:val="24"/>
          <w:lang w:eastAsia="zh-CN"/>
          <w14:textFill>
            <w14:solidFill>
              <w14:schemeClr w14:val="tx1"/>
            </w14:solidFill>
          </w14:textFill>
        </w:rPr>
        <w:t>面积为</w:t>
      </w:r>
      <w:r>
        <w:rPr>
          <w:rFonts w:hint="eastAsia" w:eastAsia="仿宋_GB2312"/>
          <w:color w:val="000000" w:themeColor="text1"/>
          <w:sz w:val="24"/>
          <w:lang w:val="en-US" w:eastAsia="zh-CN"/>
          <w14:textFill>
            <w14:solidFill>
              <w14:schemeClr w14:val="tx1"/>
            </w14:solidFill>
          </w14:textFill>
        </w:rPr>
        <w:t>2.5436</w:t>
      </w:r>
      <w:r>
        <w:rPr>
          <w:rFonts w:eastAsia="仿宋_GB2312"/>
          <w:color w:val="000000" w:themeColor="text1"/>
          <w:sz w:val="24"/>
          <w14:textFill>
            <w14:solidFill>
              <w14:schemeClr w14:val="tx1"/>
            </w14:solidFill>
          </w14:textFill>
        </w:rPr>
        <w:t>hm</w:t>
      </w:r>
      <w:r>
        <w:rPr>
          <w:rFonts w:eastAsia="仿宋_GB2312"/>
          <w:color w:val="000000" w:themeColor="text1"/>
          <w:sz w:val="24"/>
          <w:vertAlign w:val="superscript"/>
          <w14:textFill>
            <w14:solidFill>
              <w14:schemeClr w14:val="tx1"/>
            </w14:solidFill>
          </w14:textFill>
        </w:rPr>
        <w:t>2</w:t>
      </w:r>
      <w:r>
        <w:rPr>
          <w:rFonts w:hint="eastAsia" w:eastAsia="仿宋_GB2312"/>
          <w:color w:val="000000" w:themeColor="text1"/>
          <w:sz w:val="24"/>
          <w:vertAlign w:val="baseline"/>
          <w:lang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施工驻地占地</w:t>
      </w:r>
      <w:r>
        <w:rPr>
          <w:rFonts w:hint="eastAsia" w:eastAsia="仿宋_GB2312"/>
          <w:color w:val="000000" w:themeColor="text1"/>
          <w:sz w:val="24"/>
          <w:lang w:eastAsia="zh-CN"/>
          <w14:textFill>
            <w14:solidFill>
              <w14:schemeClr w14:val="tx1"/>
            </w14:solidFill>
          </w14:textFill>
        </w:rPr>
        <w:t>面积为</w:t>
      </w:r>
      <w:r>
        <w:rPr>
          <w:rFonts w:hint="eastAsia" w:eastAsia="仿宋_GB2312"/>
          <w:color w:val="000000" w:themeColor="text1"/>
          <w:sz w:val="24"/>
          <w:lang w:val="en-US" w:eastAsia="zh-CN"/>
          <w14:textFill>
            <w14:solidFill>
              <w14:schemeClr w14:val="tx1"/>
            </w14:solidFill>
          </w14:textFill>
        </w:rPr>
        <w:t>0.8038</w:t>
      </w:r>
      <w:r>
        <w:rPr>
          <w:rFonts w:eastAsia="仿宋_GB2312"/>
          <w:color w:val="000000" w:themeColor="text1"/>
          <w:sz w:val="24"/>
          <w14:textFill>
            <w14:solidFill>
              <w14:schemeClr w14:val="tx1"/>
            </w14:solidFill>
          </w14:textFill>
        </w:rPr>
        <w:t>hm</w:t>
      </w:r>
      <w:r>
        <w:rPr>
          <w:rFonts w:eastAsia="仿宋_GB2312"/>
          <w:color w:val="000000" w:themeColor="text1"/>
          <w:sz w:val="24"/>
          <w:vertAlign w:val="superscript"/>
          <w14:textFill>
            <w14:solidFill>
              <w14:schemeClr w14:val="tx1"/>
            </w14:solidFill>
          </w14:textFill>
        </w:rPr>
        <w:t>2</w:t>
      </w:r>
      <w:r>
        <w:rPr>
          <w:rFonts w:hint="eastAsia" w:eastAsia="仿宋_GB2312"/>
          <w:color w:val="000000" w:themeColor="text1"/>
          <w:sz w:val="24"/>
          <w:vertAlign w:val="baseline"/>
          <w:lang w:eastAsia="zh-CN"/>
          <w14:textFill>
            <w14:solidFill>
              <w14:schemeClr w14:val="tx1"/>
            </w14:solidFill>
          </w14:textFill>
        </w:rPr>
        <w:t>，</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p>
    <w:p>
      <w:pPr>
        <w:pStyle w:val="6"/>
        <w:pageBreakBefore w:val="0"/>
        <w:kinsoku/>
        <w:wordWrap/>
        <w:topLinePunct w:val="0"/>
        <w:autoSpaceDE/>
        <w:autoSpaceDN/>
        <w:bidi w:val="0"/>
        <w:adjustRightInd w:val="0"/>
        <w:snapToGrid w:val="0"/>
        <w:spacing w:before="0" w:beforeAutospacing="0" w:after="0" w:afterAutospacing="0" w:line="360" w:lineRule="auto"/>
        <w:ind w:left="0" w:leftChars="0" w:right="0" w:rightChars="0"/>
        <w:textAlignment w:val="auto"/>
        <w:rPr>
          <w:color w:val="000000" w:themeColor="text1"/>
          <w:sz w:val="28"/>
          <w14:textFill>
            <w14:solidFill>
              <w14:schemeClr w14:val="tx1"/>
            </w14:solidFill>
          </w14:textFill>
        </w:rPr>
      </w:pPr>
      <w:r>
        <w:rPr>
          <w:color w:val="000000" w:themeColor="text1"/>
          <w:sz w:val="28"/>
          <w14:textFill>
            <w14:solidFill>
              <w14:schemeClr w14:val="tx1"/>
            </w14:solidFill>
          </w14:textFill>
        </w:rPr>
        <w:t>1.2.3</w:t>
      </w:r>
      <w:r>
        <w:rPr>
          <w:rFonts w:hint="eastAsia" w:ascii="黑体" w:hAnsi="黑体" w:eastAsia="黑体" w:cs="黑体"/>
          <w:color w:val="000000" w:themeColor="text1"/>
          <w:sz w:val="28"/>
          <w14:textFill>
            <w14:solidFill>
              <w14:schemeClr w14:val="tx1"/>
            </w14:solidFill>
          </w14:textFill>
        </w:rPr>
        <w:t>土地损毁情况</w:t>
      </w:r>
    </w:p>
    <w:p>
      <w:pPr>
        <w:pStyle w:val="25"/>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14:textFill>
            <w14:solidFill>
              <w14:schemeClr w14:val="tx1"/>
            </w14:solidFill>
          </w14:textFill>
        </w:rPr>
      </w:pPr>
      <w:r>
        <w:rPr>
          <w:rFonts w:hint="eastAsia" w:eastAsia="仿宋_GB2312"/>
          <w:color w:val="000000" w:themeColor="text1"/>
          <w:lang w:eastAsia="zh-CN"/>
          <w14:textFill>
            <w14:solidFill>
              <w14:schemeClr w14:val="tx1"/>
            </w14:solidFill>
          </w14:textFill>
        </w:rPr>
        <w:t>本项目临时占地损毁土地总面积为</w:t>
      </w:r>
      <w:r>
        <w:rPr>
          <w:rFonts w:hint="eastAsia" w:eastAsia="仿宋_GB2312"/>
          <w:color w:val="000000" w:themeColor="text1"/>
          <w:sz w:val="24"/>
          <w:lang w:val="en-US" w:eastAsia="zh-CN"/>
          <w14:textFill>
            <w14:solidFill>
              <w14:schemeClr w14:val="tx1"/>
            </w14:solidFill>
          </w14:textFill>
        </w:rPr>
        <w:t>8.0492</w:t>
      </w:r>
      <w:r>
        <w:rPr>
          <w:rFonts w:eastAsia="仿宋_GB2312"/>
          <w:color w:val="000000" w:themeColor="text1"/>
          <w:sz w:val="24"/>
          <w14:textFill>
            <w14:solidFill>
              <w14:schemeClr w14:val="tx1"/>
            </w14:solidFill>
          </w14:textFill>
        </w:rPr>
        <w:t>hm</w:t>
      </w:r>
      <w:r>
        <w:rPr>
          <w:rFonts w:eastAsia="仿宋_GB2312"/>
          <w:color w:val="000000" w:themeColor="text1"/>
          <w:sz w:val="24"/>
          <w:vertAlign w:val="superscript"/>
          <w14:textFill>
            <w14:solidFill>
              <w14:schemeClr w14:val="tx1"/>
            </w14:solidFill>
          </w14:textFill>
        </w:rPr>
        <w:t>2</w:t>
      </w:r>
      <w:r>
        <w:rPr>
          <w:rFonts w:hint="eastAsia" w:eastAsia="仿宋_GB2312"/>
          <w:color w:val="000000" w:themeColor="text1"/>
          <w:sz w:val="24"/>
          <w:vertAlign w:val="baseline"/>
          <w:lang w:eastAsia="zh-CN"/>
          <w14:textFill>
            <w14:solidFill>
              <w14:schemeClr w14:val="tx1"/>
            </w14:solidFill>
          </w14:textFill>
        </w:rPr>
        <w:t>（</w:t>
      </w:r>
      <w:r>
        <w:rPr>
          <w:rFonts w:hint="eastAsia" w:eastAsia="仿宋_GB2312"/>
          <w:color w:val="000000" w:themeColor="text1"/>
          <w:sz w:val="24"/>
          <w:vertAlign w:val="baseline"/>
          <w:lang w:val="en-US" w:eastAsia="zh-CN"/>
          <w14:textFill>
            <w14:solidFill>
              <w14:schemeClr w14:val="tx1"/>
            </w14:solidFill>
          </w14:textFill>
        </w:rPr>
        <w:t>临时用地所占耕地非基本农田）</w:t>
      </w:r>
      <w:r>
        <w:rPr>
          <w:rFonts w:hint="eastAsia" w:eastAsia="仿宋_GB2312"/>
          <w:color w:val="000000" w:themeColor="text1"/>
          <w:lang w:eastAsia="zh-CN"/>
          <w14:textFill>
            <w14:solidFill>
              <w14:schemeClr w14:val="tx1"/>
            </w14:solidFill>
          </w14:textFill>
        </w:rPr>
        <w:t>，其主要包括建设项目建设</w:t>
      </w:r>
      <w:r>
        <w:rPr>
          <w:rFonts w:eastAsia="仿宋_GB2312"/>
          <w:color w:val="000000" w:themeColor="text1"/>
          <w14:textFill>
            <w14:solidFill>
              <w14:schemeClr w14:val="tx1"/>
            </w14:solidFill>
          </w14:textFill>
        </w:rPr>
        <w:t>期间</w:t>
      </w:r>
      <w:r>
        <w:rPr>
          <w:rFonts w:hint="eastAsia" w:eastAsia="仿宋_GB2312"/>
          <w:color w:val="000000" w:themeColor="text1"/>
          <w:lang w:val="en-US" w:eastAsia="zh-CN"/>
          <w14:textFill>
            <w14:solidFill>
              <w14:schemeClr w14:val="tx1"/>
            </w14:solidFill>
          </w14:textFill>
        </w:rPr>
        <w:t>设置的</w:t>
      </w:r>
      <w:r>
        <w:rPr>
          <w:rFonts w:hint="eastAsia" w:eastAsia="仿宋_GB2312"/>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等</w:t>
      </w:r>
      <w:r>
        <w:rPr>
          <w:rFonts w:hint="eastAsia" w:eastAsia="仿宋_GB2312"/>
          <w:color w:val="000000" w:themeColor="text1"/>
          <w:lang w:eastAsia="zh-CN"/>
          <w14:textFill>
            <w14:solidFill>
              <w14:schemeClr w14:val="tx1"/>
            </w14:solidFill>
          </w14:textFill>
        </w:rPr>
        <w:t>；</w:t>
      </w:r>
      <w:r>
        <w:rPr>
          <w:rFonts w:hint="eastAsia" w:eastAsia="仿宋_GB2312"/>
          <w:color w:val="000000" w:themeColor="text1"/>
          <w:lang w:val="en-US" w:eastAsia="zh-CN"/>
          <w14:textFill>
            <w14:solidFill>
              <w14:schemeClr w14:val="tx1"/>
            </w14:solidFill>
          </w14:textFill>
        </w:rPr>
        <w:t>据</w:t>
      </w:r>
      <w:r>
        <w:rPr>
          <w:rFonts w:hint="eastAsia" w:eastAsia="仿宋_GB2312"/>
          <w:color w:val="000000" w:themeColor="text1"/>
          <w:sz w:val="24"/>
          <w:lang w:eastAsia="zh-CN"/>
          <w14:textFill>
            <w14:solidFill>
              <w14:schemeClr w14:val="tx1"/>
            </w14:solidFill>
          </w14:textFill>
        </w:rPr>
        <w:t>第三次全国土地调查成果，</w:t>
      </w:r>
      <w:r>
        <w:rPr>
          <w:rFonts w:hint="eastAsia" w:eastAsia="仿宋_GB2312"/>
          <w:color w:val="000000" w:themeColor="text1"/>
          <w:sz w:val="24"/>
          <w:lang w:val="en-US" w:eastAsia="zh-CN"/>
          <w14:textFill>
            <w14:solidFill>
              <w14:schemeClr w14:val="tx1"/>
            </w14:solidFill>
          </w14:textFill>
        </w:rPr>
        <w:t>该项目</w:t>
      </w:r>
      <w:r>
        <w:rPr>
          <w:rFonts w:hint="eastAsia" w:eastAsia="仿宋_GB2312"/>
          <w:color w:val="000000" w:themeColor="text1"/>
          <w:lang w:eastAsia="zh-CN"/>
          <w14:textFill>
            <w14:solidFill>
              <w14:schemeClr w14:val="tx1"/>
            </w14:solidFill>
          </w14:textFill>
        </w:rPr>
        <w:t>共计临时占用</w:t>
      </w:r>
      <w:r>
        <w:rPr>
          <w:rFonts w:hint="eastAsia" w:eastAsia="仿宋_GB2312" w:cs="Times New Roman"/>
          <w:i w:val="0"/>
          <w:color w:val="000000" w:themeColor="text1"/>
          <w:kern w:val="0"/>
          <w:sz w:val="24"/>
          <w:szCs w:val="24"/>
          <w:u w:val="none"/>
          <w:lang w:val="en-US" w:eastAsia="zh-CN" w:bidi="ar"/>
          <w14:textFill>
            <w14:solidFill>
              <w14:schemeClr w14:val="tx1"/>
            </w14:solidFill>
          </w14:textFill>
        </w:rPr>
        <w:t>土地面积8.0492</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eastAsia" w:eastAsia="仿宋_GB2312" w:cs="Times New Roman"/>
          <w:color w:val="000000" w:themeColor="text1"/>
          <w:sz w:val="24"/>
          <w:szCs w:val="24"/>
          <w:lang w:eastAsia="zh-CN"/>
          <w14:textFill>
            <w14:solidFill>
              <w14:schemeClr w14:val="tx1"/>
            </w14:solidFill>
          </w14:textFill>
        </w:rPr>
        <w:t>截至目前</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eastAsia" w:eastAsia="仿宋_GB2312" w:cs="Times New Roman"/>
          <w:color w:val="000000" w:themeColor="text1"/>
          <w:sz w:val="24"/>
          <w:szCs w:val="24"/>
          <w:lang w:eastAsia="zh-CN"/>
          <w14:textFill>
            <w14:solidFill>
              <w14:schemeClr w14:val="tx1"/>
            </w14:solidFill>
          </w14:textFill>
        </w:rPr>
        <w:t>项目未进行建设，未对土地造成损毁</w:t>
      </w:r>
      <w:r>
        <w:rPr>
          <w:rFonts w:hint="default" w:ascii="Times New Roman" w:hAnsi="Times New Roman" w:eastAsia="仿宋_GB2312" w:cs="Times New Roman"/>
          <w:color w:val="000000" w:themeColor="text1"/>
          <w14:textFill>
            <w14:solidFill>
              <w14:schemeClr w14:val="tx1"/>
            </w14:solidFill>
          </w14:textFill>
        </w:rPr>
        <w:t>。</w:t>
      </w:r>
    </w:p>
    <w:p>
      <w:pPr>
        <w:pageBreakBefore w:val="0"/>
        <w:kinsoku/>
        <w:wordWrap/>
        <w:topLinePunct w:val="0"/>
        <w:bidi w:val="0"/>
        <w:adjustRightInd w:val="0"/>
        <w:snapToGrid w:val="0"/>
        <w:spacing w:line="360" w:lineRule="auto"/>
        <w:jc w:val="center"/>
        <w:rPr>
          <w:rFonts w:hint="eastAsia" w:ascii="黑体" w:hAnsi="黑体" w:eastAsia="黑体"/>
          <w:color w:val="000000" w:themeColor="text1"/>
          <w:szCs w:val="21"/>
          <w:lang w:val="vi-VN"/>
          <w14:textFill>
            <w14:solidFill>
              <w14:schemeClr w14:val="tx1"/>
            </w14:solidFill>
          </w14:textFill>
        </w:rPr>
      </w:pPr>
      <w:r>
        <w:rPr>
          <w:rFonts w:ascii="黑体" w:hAnsi="黑体" w:eastAsia="黑体"/>
          <w:color w:val="000000" w:themeColor="text1"/>
          <w:kern w:val="0"/>
          <w:szCs w:val="21"/>
          <w14:textFill>
            <w14:solidFill>
              <w14:schemeClr w14:val="tx1"/>
            </w14:solidFill>
          </w14:textFill>
        </w:rPr>
        <w:t>表</w:t>
      </w:r>
      <w:r>
        <w:rPr>
          <w:rFonts w:hint="eastAsia" w:ascii="黑体" w:hAnsi="黑体" w:eastAsia="黑体"/>
          <w:color w:val="000000" w:themeColor="text1"/>
          <w:kern w:val="0"/>
          <w:szCs w:val="21"/>
          <w:lang w:val="en-US" w:eastAsia="zh-CN"/>
          <w14:textFill>
            <w14:solidFill>
              <w14:schemeClr w14:val="tx1"/>
            </w14:solidFill>
          </w14:textFill>
        </w:rPr>
        <w:t>1</w:t>
      </w:r>
      <w:r>
        <w:rPr>
          <w:rFonts w:hint="eastAsia" w:ascii="黑体" w:hAnsi="黑体" w:eastAsia="黑体"/>
          <w:color w:val="000000" w:themeColor="text1"/>
          <w:kern w:val="0"/>
          <w:szCs w:val="21"/>
          <w14:textFill>
            <w14:solidFill>
              <w14:schemeClr w14:val="tx1"/>
            </w14:solidFill>
          </w14:textFill>
        </w:rPr>
        <w:t>-</w:t>
      </w:r>
      <w:r>
        <w:rPr>
          <w:rFonts w:hint="eastAsia" w:ascii="黑体" w:hAnsi="黑体" w:eastAsia="黑体"/>
          <w:color w:val="000000" w:themeColor="text1"/>
          <w:kern w:val="0"/>
          <w:szCs w:val="21"/>
          <w:lang w:val="en-US" w:eastAsia="zh-CN"/>
          <w14:textFill>
            <w14:solidFill>
              <w14:schemeClr w14:val="tx1"/>
            </w14:solidFill>
          </w14:textFill>
        </w:rPr>
        <w:t>1</w:t>
      </w:r>
      <w:r>
        <w:rPr>
          <w:rFonts w:ascii="黑体" w:hAnsi="黑体" w:eastAsia="黑体"/>
          <w:color w:val="000000" w:themeColor="text1"/>
          <w:kern w:val="0"/>
          <w:szCs w:val="21"/>
          <w14:textFill>
            <w14:solidFill>
              <w14:schemeClr w14:val="tx1"/>
            </w14:solidFill>
          </w14:textFill>
        </w:rPr>
        <w:t xml:space="preserve"> 项目</w:t>
      </w:r>
      <w:r>
        <w:rPr>
          <w:rFonts w:hint="eastAsia" w:ascii="黑体" w:hAnsi="黑体" w:eastAsia="黑体"/>
          <w:color w:val="000000" w:themeColor="text1"/>
          <w:kern w:val="0"/>
          <w:szCs w:val="21"/>
          <w14:textFill>
            <w14:solidFill>
              <w14:schemeClr w14:val="tx1"/>
            </w14:solidFill>
          </w14:textFill>
        </w:rPr>
        <w:t>临时占地</w:t>
      </w:r>
      <w:r>
        <w:rPr>
          <w:rFonts w:hint="eastAsia" w:ascii="黑体" w:hAnsi="黑体" w:eastAsia="黑体"/>
          <w:color w:val="000000" w:themeColor="text1"/>
          <w:kern w:val="0"/>
          <w:szCs w:val="21"/>
          <w:lang w:eastAsia="zh-CN"/>
          <w14:textFill>
            <w14:solidFill>
              <w14:schemeClr w14:val="tx1"/>
            </w14:solidFill>
          </w14:textFill>
        </w:rPr>
        <w:t>损毁</w:t>
      </w:r>
      <w:r>
        <w:rPr>
          <w:rFonts w:hint="eastAsia" w:ascii="黑体" w:hAnsi="黑体" w:eastAsia="黑体"/>
          <w:color w:val="000000" w:themeColor="text1"/>
          <w:kern w:val="0"/>
          <w:szCs w:val="21"/>
          <w:lang w:val="en-US" w:eastAsia="zh-CN"/>
          <w14:textFill>
            <w14:solidFill>
              <w14:schemeClr w14:val="tx1"/>
            </w14:solidFill>
          </w14:textFill>
        </w:rPr>
        <w:t>面积</w:t>
      </w:r>
      <w:r>
        <w:rPr>
          <w:rFonts w:hint="eastAsia" w:ascii="黑体" w:hAnsi="黑体" w:eastAsia="黑体"/>
          <w:color w:val="000000" w:themeColor="text1"/>
          <w:kern w:val="0"/>
          <w:szCs w:val="21"/>
          <w14:textFill>
            <w14:solidFill>
              <w14:schemeClr w14:val="tx1"/>
            </w14:solidFill>
          </w14:textFill>
        </w:rPr>
        <w:t>统计</w:t>
      </w:r>
      <w:r>
        <w:rPr>
          <w:rFonts w:ascii="黑体" w:hAnsi="黑体" w:eastAsia="黑体"/>
          <w:color w:val="000000" w:themeColor="text1"/>
          <w:kern w:val="0"/>
          <w:szCs w:val="21"/>
          <w14:textFill>
            <w14:solidFill>
              <w14:schemeClr w14:val="tx1"/>
            </w14:solidFill>
          </w14:textFill>
        </w:rPr>
        <w:t>表</w:t>
      </w:r>
      <w:r>
        <w:rPr>
          <w:rFonts w:hint="eastAsia" w:ascii="黑体" w:hAnsi="黑体" w:eastAsia="黑体"/>
          <w:color w:val="000000" w:themeColor="text1"/>
          <w:kern w:val="0"/>
          <w:szCs w:val="21"/>
          <w14:textFill>
            <w14:solidFill>
              <w14:schemeClr w14:val="tx1"/>
            </w14:solidFill>
          </w14:textFill>
        </w:rPr>
        <w:t xml:space="preserve">           </w:t>
      </w:r>
      <w:r>
        <w:rPr>
          <w:rFonts w:ascii="黑体" w:hAnsi="黑体" w:eastAsia="黑体"/>
          <w:color w:val="000000" w:themeColor="text1"/>
          <w:szCs w:val="21"/>
          <w:lang w:val="vi-VN"/>
          <w14:textFill>
            <w14:solidFill>
              <w14:schemeClr w14:val="tx1"/>
            </w14:solidFill>
          </w14:textFill>
        </w:rPr>
        <w:t>单位：</w:t>
      </w:r>
      <w:r>
        <w:rPr>
          <w:rFonts w:hint="default" w:ascii="Times New Roman" w:hAnsi="Times New Roman" w:eastAsia="黑体" w:cs="Times New Roman"/>
          <w:color w:val="000000" w:themeColor="text1"/>
          <w:szCs w:val="21"/>
          <w:lang w:val="en-US" w:eastAsia="zh-CN"/>
          <w14:textFill>
            <w14:solidFill>
              <w14:schemeClr w14:val="tx1"/>
            </w14:solidFill>
          </w14:textFill>
        </w:rPr>
        <w:t>hm</w:t>
      </w:r>
      <w:r>
        <w:rPr>
          <w:rFonts w:hint="default" w:ascii="Times New Roman" w:hAnsi="Times New Roman" w:eastAsia="黑体" w:cs="Times New Roman"/>
          <w:color w:val="000000" w:themeColor="text1"/>
          <w:szCs w:val="21"/>
          <w:vertAlign w:val="superscript"/>
          <w:lang w:val="en-US" w:eastAsia="zh-CN"/>
          <w14:textFill>
            <w14:solidFill>
              <w14:schemeClr w14:val="tx1"/>
            </w14:solidFill>
          </w14:textFill>
        </w:rPr>
        <w:t>2</w:t>
      </w:r>
    </w:p>
    <w:tbl>
      <w:tblPr>
        <w:tblStyle w:val="20"/>
        <w:tblW w:w="85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6"/>
        <w:gridCol w:w="2126"/>
        <w:gridCol w:w="212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占地区域</w:t>
            </w:r>
          </w:p>
        </w:tc>
        <w:tc>
          <w:tcPr>
            <w:tcW w:w="42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地类</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材料堆场</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种植园用地（02）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3.3382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制梁厂</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1.0988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1.2581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施工驻地</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0.3218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63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合计</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8.0492</w:t>
            </w:r>
          </w:p>
        </w:tc>
      </w:tr>
    </w:tbl>
    <w:p>
      <w:pPr>
        <w:pStyle w:val="6"/>
        <w:pageBreakBefore w:val="0"/>
        <w:kinsoku/>
        <w:wordWrap/>
        <w:topLinePunct w:val="0"/>
        <w:autoSpaceDE/>
        <w:autoSpaceDN/>
        <w:bidi w:val="0"/>
        <w:adjustRightInd w:val="0"/>
        <w:snapToGrid w:val="0"/>
        <w:spacing w:before="0" w:beforeAutospacing="0" w:after="0" w:afterAutospacing="0" w:line="360" w:lineRule="auto"/>
        <w:ind w:left="0" w:leftChars="0" w:right="0" w:rightChars="0"/>
        <w:textAlignment w:val="auto"/>
        <w:rPr>
          <w:color w:val="000000" w:themeColor="text1"/>
          <w14:textFill>
            <w14:solidFill>
              <w14:schemeClr w14:val="tx1"/>
            </w14:solidFill>
          </w14:textFill>
        </w:rPr>
      </w:pPr>
      <w:r>
        <w:rPr>
          <w:color w:val="000000" w:themeColor="text1"/>
          <w:sz w:val="28"/>
          <w14:textFill>
            <w14:solidFill>
              <w14:schemeClr w14:val="tx1"/>
            </w14:solidFill>
          </w14:textFill>
        </w:rPr>
        <w:t>1.2.4</w:t>
      </w:r>
      <w:r>
        <w:rPr>
          <w:rFonts w:hint="eastAsia" w:ascii="黑体" w:hAnsi="黑体" w:eastAsia="黑体" w:cs="黑体"/>
          <w:color w:val="000000" w:themeColor="text1"/>
          <w:sz w:val="28"/>
          <w14:textFill>
            <w14:solidFill>
              <w14:schemeClr w14:val="tx1"/>
            </w14:solidFill>
          </w14:textFill>
        </w:rPr>
        <w:t>土地复垦目标</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）使复垦后的土地能与自然条件作用形成的地形保持一致，其景观地貌与周围未被破坏的土地相协调；</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w:t>
      </w:r>
      <w:r>
        <w:rPr>
          <w:rFonts w:eastAsia="仿宋_GB2312"/>
          <w:color w:val="000000" w:themeColor="text1"/>
          <w:sz w:val="24"/>
          <w14:textFill>
            <w14:solidFill>
              <w14:schemeClr w14:val="tx1"/>
            </w14:solidFill>
          </w14:textFill>
        </w:rPr>
        <w:t>）使复垦后的土地表层具有可供植物生长的土壤环境；</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c</w:t>
      </w:r>
      <w:r>
        <w:rPr>
          <w:rFonts w:eastAsia="仿宋_GB2312"/>
          <w:color w:val="000000" w:themeColor="text1"/>
          <w:sz w:val="24"/>
          <w14:textFill>
            <w14:solidFill>
              <w14:schemeClr w14:val="tx1"/>
            </w14:solidFill>
          </w14:textFill>
        </w:rPr>
        <w:t>）使复垦区</w:t>
      </w:r>
      <w:r>
        <w:rPr>
          <w:rFonts w:hint="eastAsia" w:eastAsia="仿宋_GB2312"/>
          <w:color w:val="000000" w:themeColor="text1"/>
          <w:sz w:val="24"/>
          <w:lang w:eastAsia="zh-CN"/>
          <w14:textFill>
            <w14:solidFill>
              <w14:schemeClr w14:val="tx1"/>
            </w14:solidFill>
          </w14:textFill>
        </w:rPr>
        <w:t>新建</w:t>
      </w:r>
      <w:r>
        <w:rPr>
          <w:rFonts w:eastAsia="仿宋_GB2312"/>
          <w:color w:val="000000" w:themeColor="text1"/>
          <w:sz w:val="24"/>
          <w14:textFill>
            <w14:solidFill>
              <w14:schemeClr w14:val="tx1"/>
            </w14:solidFill>
          </w14:textFill>
        </w:rPr>
        <w:t>立的生态系统基本稳定；</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d</w:t>
      </w:r>
      <w:r>
        <w:rPr>
          <w:rFonts w:eastAsia="仿宋_GB2312"/>
          <w:color w:val="000000" w:themeColor="text1"/>
          <w:sz w:val="24"/>
          <w14:textFill>
            <w14:solidFill>
              <w14:schemeClr w14:val="tx1"/>
            </w14:solidFill>
          </w14:textFill>
        </w:rPr>
        <w:t>）使土壤侵蚀和水土流失得到有效控制；</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本项目</w:t>
      </w:r>
      <w:r>
        <w:rPr>
          <w:rFonts w:eastAsia="仿宋_GB2312"/>
          <w:color w:val="000000" w:themeColor="text1"/>
          <w:sz w:val="24"/>
          <w:szCs w:val="24"/>
          <w14:textFill>
            <w14:solidFill>
              <w14:schemeClr w14:val="tx1"/>
            </w14:solidFill>
          </w14:textFill>
        </w:rPr>
        <w:t>复垦责任范围面积</w:t>
      </w:r>
      <w:r>
        <w:rPr>
          <w:rFonts w:hint="eastAsia" w:eastAsia="仿宋_GB2312"/>
          <w:color w:val="000000" w:themeColor="text1"/>
          <w:sz w:val="24"/>
          <w:szCs w:val="24"/>
          <w:lang w:val="en-US" w:eastAsia="zh-CN"/>
          <w14:textFill>
            <w14:solidFill>
              <w14:schemeClr w14:val="tx1"/>
            </w14:solidFill>
          </w14:textFill>
        </w:rPr>
        <w:t>8.0492</w:t>
      </w:r>
      <w:r>
        <w:rPr>
          <w:rFonts w:eastAsia="仿宋_GB2312"/>
          <w:color w:val="000000" w:themeColor="text1"/>
          <w:sz w:val="24"/>
          <w:szCs w:val="24"/>
          <w14:textFill>
            <w14:solidFill>
              <w14:schemeClr w14:val="tx1"/>
            </w14:solidFill>
          </w14:textFill>
        </w:rPr>
        <w:t>hm</w:t>
      </w:r>
      <w:r>
        <w:rPr>
          <w:rFonts w:eastAsia="仿宋_GB2312"/>
          <w:color w:val="000000" w:themeColor="text1"/>
          <w:sz w:val="24"/>
          <w:szCs w:val="24"/>
          <w:vertAlign w:val="superscript"/>
          <w14:textFill>
            <w14:solidFill>
              <w14:schemeClr w14:val="tx1"/>
            </w14:solidFill>
          </w14:textFill>
        </w:rPr>
        <w:t>2</w:t>
      </w:r>
      <w:r>
        <w:rPr>
          <w:rFonts w:eastAsia="仿宋_GB2312"/>
          <w:color w:val="000000" w:themeColor="text1"/>
          <w:sz w:val="24"/>
          <w:szCs w:val="24"/>
          <w14:textFill>
            <w14:solidFill>
              <w14:schemeClr w14:val="tx1"/>
            </w14:solidFill>
          </w14:textFill>
        </w:rPr>
        <w:t>，拟复垦土地面积</w:t>
      </w:r>
      <w:r>
        <w:rPr>
          <w:rFonts w:hint="eastAsia" w:eastAsia="仿宋_GB2312"/>
          <w:color w:val="000000" w:themeColor="text1"/>
          <w:sz w:val="24"/>
          <w:szCs w:val="24"/>
          <w:lang w:val="en-US" w:eastAsia="zh-CN"/>
          <w14:textFill>
            <w14:solidFill>
              <w14:schemeClr w14:val="tx1"/>
            </w14:solidFill>
          </w14:textFill>
        </w:rPr>
        <w:t>8.0492</w:t>
      </w:r>
      <w:r>
        <w:rPr>
          <w:rFonts w:eastAsia="仿宋_GB2312"/>
          <w:color w:val="000000" w:themeColor="text1"/>
          <w:sz w:val="24"/>
          <w:szCs w:val="24"/>
          <w14:textFill>
            <w14:solidFill>
              <w14:schemeClr w14:val="tx1"/>
            </w14:solidFill>
          </w14:textFill>
        </w:rPr>
        <w:t>hm</w:t>
      </w:r>
      <w:r>
        <w:rPr>
          <w:rFonts w:eastAsia="仿宋_GB2312"/>
          <w:color w:val="000000" w:themeColor="text1"/>
          <w:sz w:val="24"/>
          <w:szCs w:val="24"/>
          <w:vertAlign w:val="superscript"/>
          <w14:textFill>
            <w14:solidFill>
              <w14:schemeClr w14:val="tx1"/>
            </w14:solidFill>
          </w14:textFill>
        </w:rPr>
        <w:t>2</w:t>
      </w:r>
      <w:r>
        <w:rPr>
          <w:rFonts w:eastAsia="仿宋_GB2312"/>
          <w:color w:val="000000" w:themeColor="text1"/>
          <w:sz w:val="24"/>
          <w:szCs w:val="24"/>
          <w14:textFill>
            <w14:solidFill>
              <w14:schemeClr w14:val="tx1"/>
            </w14:solidFill>
          </w14:textFill>
        </w:rPr>
        <w:t>，复垦率为100%，其中复垦为</w:t>
      </w:r>
      <w:r>
        <w:rPr>
          <w:rFonts w:hint="eastAsia" w:eastAsia="仿宋_GB2312" w:cs="Times New Roman"/>
          <w:color w:val="000000" w:themeColor="text1"/>
          <w:sz w:val="24"/>
          <w:szCs w:val="24"/>
          <w:lang w:val="en-US" w:eastAsia="zh-CN"/>
          <w14:textFill>
            <w14:solidFill>
              <w14:schemeClr w14:val="tx1"/>
            </w14:solidFill>
          </w14:textFill>
        </w:rPr>
        <w:t>水浇地(0102)面积0.1754hm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，果园（0201）面积0.7050hm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灌木林地 (0305)面积0.0601hm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，农村宅基地 (0702)面积0.2788hm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，公路用地 (1003)面积0.0508hm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，农村道路 (1006)面积0.2616hm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，河流水面 (1101)面积1.5254hm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，坑塘水面 (1104)面积4.9181hm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，沟渠(1107)面积0.0740hm</w:t>
      </w:r>
      <w:r>
        <w:rPr>
          <w:rFonts w:hint="eastAsia" w:eastAsia="仿宋_GB2312" w:cs="Times New Roman"/>
          <w:color w:val="000000" w:themeColor="text1"/>
          <w:sz w:val="24"/>
          <w:szCs w:val="24"/>
          <w:vertAlign w:val="superscript"/>
          <w:lang w:val="en-US" w:eastAsia="zh-CN"/>
          <w14:textFill>
            <w14:solidFill>
              <w14:schemeClr w14:val="tx1"/>
            </w14:solidFill>
          </w14:textFill>
        </w:rPr>
        <w:t>2</w:t>
      </w:r>
      <w:r>
        <w:rPr>
          <w:rFonts w:eastAsia="仿宋_GB2312"/>
          <w:color w:val="000000" w:themeColor="text1"/>
          <w:sz w:val="24"/>
          <w:szCs w:val="24"/>
          <w14:textFill>
            <w14:solidFill>
              <w14:schemeClr w14:val="tx1"/>
            </w14:solidFill>
          </w14:textFill>
        </w:rPr>
        <w:t>。</w:t>
      </w:r>
    </w:p>
    <w:p>
      <w:pPr>
        <w:pStyle w:val="6"/>
        <w:pageBreakBefore w:val="0"/>
        <w:kinsoku/>
        <w:wordWrap/>
        <w:topLinePunct w:val="0"/>
        <w:autoSpaceDE/>
        <w:autoSpaceDN/>
        <w:bidi w:val="0"/>
        <w:adjustRightInd w:val="0"/>
        <w:snapToGrid w:val="0"/>
        <w:spacing w:before="0" w:beforeAutospacing="0" w:after="0" w:afterAutospacing="0" w:line="360" w:lineRule="auto"/>
        <w:ind w:left="0" w:leftChars="0" w:right="0" w:rightChars="0"/>
        <w:textAlignment w:val="auto"/>
        <w:rPr>
          <w:color w:val="000000" w:themeColor="text1"/>
          <w:sz w:val="28"/>
          <w14:textFill>
            <w14:solidFill>
              <w14:schemeClr w14:val="tx1"/>
            </w14:solidFill>
          </w14:textFill>
        </w:rPr>
      </w:pPr>
      <w:r>
        <w:rPr>
          <w:color w:val="000000" w:themeColor="text1"/>
          <w:sz w:val="28"/>
          <w14:textFill>
            <w14:solidFill>
              <w14:schemeClr w14:val="tx1"/>
            </w14:solidFill>
          </w14:textFill>
        </w:rPr>
        <w:t>1.2.5</w:t>
      </w:r>
      <w:r>
        <w:rPr>
          <w:rFonts w:hint="eastAsia" w:ascii="黑体" w:hAnsi="黑体" w:eastAsia="黑体" w:cs="黑体"/>
          <w:color w:val="000000" w:themeColor="text1"/>
          <w:sz w:val="28"/>
          <w14:textFill>
            <w14:solidFill>
              <w14:schemeClr w14:val="tx1"/>
            </w14:solidFill>
          </w14:textFill>
        </w:rPr>
        <w:t>土地复垦投资情况</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本项目土地复垦投资依据复垦工程内容及工程量进行估算，土地复垦静态总投资26.31万元。其中，工程施工费19.14万元，所占静态总投资的72.74%；其他费用3.59万元，占静态总投资13.66%；基本预备费用0.68万元，占静态总投资2.59%；监测费用2.70万元，占静态总投资10.26%；管护费用0.20万元，占静态总投资0.75%</w:t>
      </w:r>
      <w:r>
        <w:rPr>
          <w:rFonts w:hint="eastAsia" w:eastAsia="仿宋_GB2312"/>
          <w:color w:val="000000" w:themeColor="text1"/>
          <w:sz w:val="24"/>
          <w14:textFill>
            <w14:solidFill>
              <w14:schemeClr w14:val="tx1"/>
            </w14:solidFill>
          </w14:textFill>
        </w:rPr>
        <w:t>。</w:t>
      </w:r>
      <w:bookmarkStart w:id="11" w:name="_Toc31780"/>
    </w:p>
    <w:p>
      <w:pPr>
        <w:pageBreakBefore w:val="0"/>
        <w:kinsoku/>
        <w:wordWrap/>
        <w:topLinePunct w:val="0"/>
        <w:autoSpaceDE/>
        <w:autoSpaceDN/>
        <w:bidi w:val="0"/>
        <w:adjustRightInd w:val="0"/>
        <w:snapToGrid w:val="0"/>
        <w:spacing w:line="360" w:lineRule="auto"/>
        <w:ind w:left="0" w:leftChars="0" w:right="0" w:rightChars="0" w:firstLine="480" w:firstLineChars="200"/>
        <w:jc w:val="center"/>
        <w:textAlignment w:val="auto"/>
        <w:rPr>
          <w:rFonts w:eastAsia="黑体"/>
          <w:b/>
          <w:bCs/>
          <w:color w:val="000000" w:themeColor="text1"/>
          <w:kern w:val="44"/>
          <w:sz w:val="32"/>
          <w:szCs w:val="32"/>
          <w:lang w:val="en-US" w:eastAsia="zh-CN" w:bidi="ar-SA"/>
          <w14:textFill>
            <w14:solidFill>
              <w14:schemeClr w14:val="tx1"/>
            </w14:solidFill>
          </w14:textFill>
        </w:rPr>
      </w:pPr>
      <w:r>
        <w:rPr>
          <w:rFonts w:hint="eastAsia" w:eastAsia="仿宋_GB2312"/>
          <w:color w:val="000000" w:themeColor="text1"/>
          <w:sz w:val="24"/>
          <w14:textFill>
            <w14:solidFill>
              <w14:schemeClr w14:val="tx1"/>
            </w14:solidFill>
          </w14:textFill>
        </w:rPr>
        <w:br w:type="page"/>
      </w:r>
      <w:r>
        <w:rPr>
          <w:rFonts w:eastAsia="黑体"/>
          <w:b w:val="0"/>
          <w:bCs w:val="0"/>
          <w:color w:val="000000" w:themeColor="text1"/>
          <w:kern w:val="44"/>
          <w:sz w:val="32"/>
          <w:szCs w:val="32"/>
          <w:lang w:val="en-US" w:eastAsia="zh-CN" w:bidi="ar-SA"/>
          <w14:textFill>
            <w14:solidFill>
              <w14:schemeClr w14:val="tx1"/>
            </w14:solidFill>
          </w14:textFill>
        </w:rPr>
        <w:t>2 编制总则</w:t>
      </w:r>
      <w:bookmarkEnd w:id="11"/>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ascii="Times New Roman" w:hAnsi="Times New Roman"/>
          <w:b w:val="0"/>
          <w:color w:val="000000" w:themeColor="text1"/>
          <w:sz w:val="30"/>
          <w:szCs w:val="30"/>
          <w14:textFill>
            <w14:solidFill>
              <w14:schemeClr w14:val="tx1"/>
            </w14:solidFill>
          </w14:textFill>
        </w:rPr>
      </w:pPr>
      <w:bookmarkStart w:id="12" w:name="_Toc31301"/>
      <w:bookmarkStart w:id="13" w:name="_Toc31903"/>
      <w:r>
        <w:rPr>
          <w:rFonts w:ascii="Times New Roman" w:hAnsi="Times New Roman"/>
          <w:b w:val="0"/>
          <w:color w:val="000000" w:themeColor="text1"/>
          <w:sz w:val="30"/>
          <w:szCs w:val="30"/>
          <w14:textFill>
            <w14:solidFill>
              <w14:schemeClr w14:val="tx1"/>
            </w14:solidFill>
          </w14:textFill>
        </w:rPr>
        <w:t>2.1 编制目的</w:t>
      </w:r>
      <w:bookmarkEnd w:id="12"/>
      <w:bookmarkEnd w:id="13"/>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长期以来，在我国工业化、城镇化进程中，土地、矿产资源开发支持了各项生产建设，但也留下了大量废弃地，未得到及时复垦利用。随着各地经济建设步伐的加快，工矿废弃地的数量依然持续增加，导致土地复垦“旧账未还、新账又欠”，严重破坏了生态环境，加剧了人地矛盾，影响了经济社会的可持续发展。</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为贯彻落实“谁损毁、谁复垦”的土地复垦原则，坚持最严格的集约用地制度，</w:t>
      </w:r>
      <w:r>
        <w:rPr>
          <w:rFonts w:hint="eastAsia" w:ascii="Times New Roman" w:hAnsi="Times New Roman" w:eastAsia="仿宋_GB2312" w:cs="Times New Roman"/>
          <w:color w:val="000000" w:themeColor="text1"/>
          <w:sz w:val="24"/>
          <w:lang w:val="en-US" w:eastAsia="zh-CN"/>
          <w14:textFill>
            <w14:solidFill>
              <w14:schemeClr w14:val="tx1"/>
            </w14:solidFill>
          </w14:textFill>
        </w:rPr>
        <w:t>坚持工程建设尽量不占或者少占耕地、林地、草原等农用地，积极保护修复生态环境</w:t>
      </w:r>
      <w:r>
        <w:rPr>
          <w:rFonts w:hint="default" w:ascii="Times New Roman" w:hAnsi="Times New Roman" w:eastAsia="仿宋_GB2312" w:cs="Times New Roman"/>
          <w:color w:val="000000" w:themeColor="text1"/>
          <w:sz w:val="24"/>
          <w14:textFill>
            <w14:solidFill>
              <w14:schemeClr w14:val="tx1"/>
            </w14:solidFill>
          </w14:textFill>
        </w:rPr>
        <w:t>，使</w:t>
      </w:r>
      <w:r>
        <w:rPr>
          <w:rFonts w:hint="default" w:ascii="Times New Roman" w:hAnsi="Times New Roman" w:eastAsia="仿宋_GB2312" w:cs="Times New Roman"/>
          <w:color w:val="000000" w:themeColor="text1"/>
          <w:sz w:val="24"/>
          <w:lang w:eastAsia="zh-CN"/>
          <w14:textFill>
            <w14:solidFill>
              <w14:schemeClr w14:val="tx1"/>
            </w14:solidFill>
          </w14:textFill>
        </w:rPr>
        <w:t>该</w:t>
      </w:r>
      <w:r>
        <w:rPr>
          <w:rFonts w:hint="default" w:ascii="Times New Roman" w:hAnsi="Times New Roman" w:eastAsia="仿宋_GB2312" w:cs="Times New Roman"/>
          <w:color w:val="000000" w:themeColor="text1"/>
          <w:sz w:val="24"/>
          <w14:textFill>
            <w14:solidFill>
              <w14:schemeClr w14:val="tx1"/>
            </w14:solidFill>
          </w14:textFill>
        </w:rPr>
        <w:t>工程在建设过程中，减少土地损毁面积，并保证损毁土地得到及时复垦，</w:t>
      </w:r>
      <w:r>
        <w:rPr>
          <w:rFonts w:hint="eastAsia" w:ascii="Times New Roman" w:hAnsi="Times New Roman" w:eastAsia="仿宋_GB2312" w:cs="Times New Roman"/>
          <w:color w:val="000000" w:themeColor="text1"/>
          <w:sz w:val="24"/>
          <w:lang w:eastAsia="zh-CN"/>
          <w14:textFill>
            <w14:solidFill>
              <w14:schemeClr w14:val="tx1"/>
            </w14:solidFill>
          </w14:textFill>
        </w:rPr>
        <w:t>将建设单位的土地复垦目标、任务、措施和计划等落实到实处，为土地复垦的实施管理、监督检查以及土地复垦费用的征收等提供依据，确保土地复垦工作落实到实处，</w:t>
      </w:r>
      <w:r>
        <w:rPr>
          <w:rFonts w:hint="default" w:ascii="Times New Roman" w:hAnsi="Times New Roman" w:eastAsia="仿宋_GB2312" w:cs="Times New Roman"/>
          <w:color w:val="000000" w:themeColor="text1"/>
          <w:sz w:val="24"/>
          <w14:textFill>
            <w14:solidFill>
              <w14:schemeClr w14:val="tx1"/>
            </w14:solidFill>
          </w14:textFill>
        </w:rPr>
        <w:t>特编制本土地复垦方案。</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ascii="Times New Roman" w:hAnsi="Times New Roman" w:eastAsia="仿宋_GB2312"/>
          <w:b w:val="0"/>
          <w:color w:val="000000" w:themeColor="text1"/>
          <w:sz w:val="30"/>
          <w:szCs w:val="30"/>
          <w14:textFill>
            <w14:solidFill>
              <w14:schemeClr w14:val="tx1"/>
            </w14:solidFill>
          </w14:textFill>
        </w:rPr>
      </w:pPr>
      <w:bookmarkStart w:id="14" w:name="_Toc25221"/>
      <w:bookmarkStart w:id="15" w:name="_Toc17212"/>
      <w:r>
        <w:rPr>
          <w:rFonts w:ascii="Times New Roman" w:hAnsi="Times New Roman" w:eastAsia="仿宋_GB2312"/>
          <w:b w:val="0"/>
          <w:color w:val="000000" w:themeColor="text1"/>
          <w:sz w:val="30"/>
          <w:szCs w:val="30"/>
          <w14:textFill>
            <w14:solidFill>
              <w14:schemeClr w14:val="tx1"/>
            </w14:solidFill>
          </w14:textFill>
        </w:rPr>
        <w:t xml:space="preserve">2.2 </w:t>
      </w:r>
      <w:r>
        <w:rPr>
          <w:rFonts w:hint="eastAsia" w:ascii="黑体" w:hAnsi="黑体" w:cs="黑体"/>
          <w:b w:val="0"/>
          <w:color w:val="000000" w:themeColor="text1"/>
          <w:sz w:val="30"/>
          <w:szCs w:val="30"/>
          <w14:textFill>
            <w14:solidFill>
              <w14:schemeClr w14:val="tx1"/>
            </w14:solidFill>
          </w14:textFill>
        </w:rPr>
        <w:t>编制原则</w:t>
      </w:r>
      <w:bookmarkEnd w:id="14"/>
      <w:bookmarkEnd w:id="15"/>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根据项目区自然环境与社会经济发展情况，结合</w:t>
      </w:r>
      <w:r>
        <w:rPr>
          <w:rFonts w:hint="eastAsia" w:eastAsia="仿宋_GB2312"/>
          <w:color w:val="000000" w:themeColor="text1"/>
          <w:sz w:val="24"/>
          <w:lang w:eastAsia="zh-CN"/>
          <w14:textFill>
            <w14:solidFill>
              <w14:schemeClr w14:val="tx1"/>
            </w14:solidFill>
          </w14:textFill>
        </w:rPr>
        <w:t>该工程</w:t>
      </w:r>
      <w:r>
        <w:rPr>
          <w:rFonts w:eastAsia="仿宋_GB2312"/>
          <w:color w:val="000000" w:themeColor="text1"/>
          <w:sz w:val="24"/>
          <w14:textFill>
            <w14:solidFill>
              <w14:schemeClr w14:val="tx1"/>
            </w14:solidFill>
          </w14:textFill>
        </w:rPr>
        <w:t>特点，按照经济可行、技术科学合理、综合效益最佳和便于操作的要求，按照以下相关原则进行土地复垦方案的编制：</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a</w:t>
      </w:r>
      <w:r>
        <w:rPr>
          <w:rFonts w:eastAsia="仿宋_GB2312"/>
          <w:color w:val="000000" w:themeColor="text1"/>
          <w:sz w:val="24"/>
          <w14:textFill>
            <w14:solidFill>
              <w14:schemeClr w14:val="tx1"/>
            </w14:solidFill>
          </w14:textFill>
        </w:rPr>
        <w:t>）坚持源头控制、预防与复垦相结合的原则。通过对项目用地合理性分析，制定建设用地预防控制措施，在工程建设过程中，尽量少占地，从源头杜绝建设用地单位过渡或无序用地现象的发生，使土地损毁面积和损毁程度控制在最小范围内，对损毁土地采取整治措施，使其达到可供利用状态，项目区生态环境得到改善。</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b</w:t>
      </w:r>
      <w:r>
        <w:rPr>
          <w:rFonts w:eastAsia="仿宋_GB2312"/>
          <w:color w:val="000000" w:themeColor="text1"/>
          <w:sz w:val="24"/>
          <w14:textFill>
            <w14:solidFill>
              <w14:schemeClr w14:val="tx1"/>
            </w14:solidFill>
          </w14:textFill>
        </w:rPr>
        <w:t>）坚持土地复垦方案与生产建设单位生产进度相结合的原则。将土地复垦方案与本项目工程建设方案相结合，做到土地复垦与工程建设同步设计、同步施工，努力实现</w:t>
      </w:r>
      <w:r>
        <w:rPr>
          <w:rFonts w:hint="eastAsia" w:ascii="仿宋_GB2312" w:hAnsi="仿宋_GB2312" w:eastAsia="仿宋_GB2312" w:cs="仿宋_GB2312"/>
          <w:color w:val="000000" w:themeColor="text1"/>
          <w:sz w:val="24"/>
          <w14:textFill>
            <w14:solidFill>
              <w14:schemeClr w14:val="tx1"/>
            </w14:solidFill>
          </w14:textFill>
        </w:rPr>
        <w:t>“边建设、边生产、边复垦”，</w:t>
      </w:r>
      <w:r>
        <w:rPr>
          <w:rFonts w:eastAsia="仿宋_GB2312"/>
          <w:color w:val="000000" w:themeColor="text1"/>
          <w:sz w:val="24"/>
          <w14:textFill>
            <w14:solidFill>
              <w14:schemeClr w14:val="tx1"/>
            </w14:solidFill>
          </w14:textFill>
        </w:rPr>
        <w:t>使项目建设与复垦统一规划，统筹安排。</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c</w:t>
      </w:r>
      <w:r>
        <w:rPr>
          <w:rFonts w:eastAsia="仿宋_GB2312"/>
          <w:color w:val="000000" w:themeColor="text1"/>
          <w:sz w:val="24"/>
          <w14:textFill>
            <w14:solidFill>
              <w14:schemeClr w14:val="tx1"/>
            </w14:solidFill>
          </w14:textFill>
        </w:rPr>
        <w:t>）坚持统一规划、统筹安排的原则。在土地复垦规划设计和实施过程中，结合国家政策及新疆维吾尔自治区</w:t>
      </w:r>
      <w:r>
        <w:rPr>
          <w:rFonts w:hint="eastAsia"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喀什地区</w:t>
      </w:r>
      <w:r>
        <w:rPr>
          <w:rFonts w:hint="eastAsia" w:eastAsia="仿宋_GB2312"/>
          <w:color w:val="000000" w:themeColor="text1"/>
          <w:sz w:val="24"/>
          <w:lang w:val="en-US" w:eastAsia="zh-CN"/>
          <w14:textFill>
            <w14:solidFill>
              <w14:schemeClr w14:val="tx1"/>
            </w14:solidFill>
          </w14:textFill>
        </w:rPr>
        <w:t>喀什市、</w:t>
      </w:r>
      <w:r>
        <w:rPr>
          <w:rFonts w:hint="eastAsia" w:eastAsia="仿宋_GB2312"/>
          <w:color w:val="000000" w:themeColor="text1"/>
          <w:sz w:val="24"/>
          <w:lang w:eastAsia="zh-CN"/>
          <w14:textFill>
            <w14:solidFill>
              <w14:schemeClr w14:val="tx1"/>
            </w14:solidFill>
          </w14:textFill>
        </w:rPr>
        <w:t>疏勒县、</w:t>
      </w:r>
      <w:r>
        <w:rPr>
          <w:rFonts w:hint="eastAsia" w:eastAsia="仿宋_GB2312"/>
          <w:color w:val="000000" w:themeColor="text1"/>
          <w:sz w:val="24"/>
          <w:lang w:val="en-US" w:eastAsia="zh-CN"/>
          <w14:textFill>
            <w14:solidFill>
              <w14:schemeClr w14:val="tx1"/>
            </w14:solidFill>
          </w14:textFill>
        </w:rPr>
        <w:t>疏附县</w:t>
      </w:r>
      <w:r>
        <w:rPr>
          <w:rFonts w:eastAsia="仿宋_GB2312"/>
          <w:color w:val="000000" w:themeColor="text1"/>
          <w:sz w:val="24"/>
          <w14:textFill>
            <w14:solidFill>
              <w14:schemeClr w14:val="tx1"/>
            </w14:solidFill>
          </w14:textFill>
        </w:rPr>
        <w:t>相关规划，合理确定复垦用途。</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d</w:t>
      </w:r>
      <w:r>
        <w:rPr>
          <w:rFonts w:eastAsia="仿宋_GB2312"/>
          <w:color w:val="000000" w:themeColor="text1"/>
          <w:sz w:val="24"/>
          <w14:textFill>
            <w14:solidFill>
              <w14:schemeClr w14:val="tx1"/>
            </w14:solidFill>
          </w14:textFill>
        </w:rPr>
        <w:t>）坚持实事求是、因地制宜、以农为主，优先用于农业的原则。</w:t>
      </w:r>
      <w:r>
        <w:rPr>
          <w:rFonts w:hint="eastAsia" w:ascii="仿宋_GB2312" w:hAnsi="仿宋_GB2312" w:eastAsia="仿宋_GB2312" w:cs="仿宋_GB2312"/>
          <w:color w:val="000000" w:themeColor="text1"/>
          <w:sz w:val="24"/>
          <w14:textFill>
            <w14:solidFill>
              <w14:schemeClr w14:val="tx1"/>
            </w14:solidFill>
          </w14:textFill>
        </w:rPr>
        <w:t>按照“因地制宜、综合利用”的原</w:t>
      </w:r>
      <w:r>
        <w:rPr>
          <w:rFonts w:eastAsia="仿宋_GB2312"/>
          <w:color w:val="000000" w:themeColor="text1"/>
          <w:sz w:val="24"/>
          <w14:textFill>
            <w14:solidFill>
              <w14:schemeClr w14:val="tx1"/>
            </w14:solidFill>
          </w14:textFill>
        </w:rPr>
        <w:t>则，因地制宜，宜农则农、宜林则林、宜草则草、宜建则建，紧密结合项目所在地区域自然环境和社会经济发展状况，制定科学合理的复垦方向和复垦措施，使土地复垦方案具有较强的操作性。</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e</w:t>
      </w:r>
      <w:r>
        <w:rPr>
          <w:rFonts w:eastAsia="仿宋_GB2312"/>
          <w:color w:val="000000" w:themeColor="text1"/>
          <w:sz w:val="24"/>
          <w14:textFill>
            <w14:solidFill>
              <w14:schemeClr w14:val="tx1"/>
            </w14:solidFill>
          </w14:textFill>
        </w:rPr>
        <w:t>）坚持综合效益最佳的原则。根据当地自然环境与社会经济发展情况，按经济可行、技术方案科学合理、便于操作，充分体现土地复垦在社会、经济和环境保护方面的综合效益。</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f</w:t>
      </w:r>
      <w:r>
        <w:rPr>
          <w:rFonts w:eastAsia="仿宋_GB2312"/>
          <w:color w:val="000000" w:themeColor="text1"/>
          <w:sz w:val="24"/>
          <w14:textFill>
            <w14:solidFill>
              <w14:schemeClr w14:val="tx1"/>
            </w14:solidFill>
          </w14:textFill>
        </w:rPr>
        <w:t>）坚持近期规划与远期预测相结合的原则。</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ascii="Times New Roman" w:hAnsi="Times New Roman" w:eastAsia="仿宋_GB2312"/>
          <w:b w:val="0"/>
          <w:color w:val="000000" w:themeColor="text1"/>
          <w:sz w:val="30"/>
          <w:szCs w:val="30"/>
          <w14:textFill>
            <w14:solidFill>
              <w14:schemeClr w14:val="tx1"/>
            </w14:solidFill>
          </w14:textFill>
        </w:rPr>
      </w:pPr>
      <w:bookmarkStart w:id="16" w:name="_Toc29321"/>
      <w:bookmarkStart w:id="17" w:name="_Toc9204"/>
      <w:r>
        <w:rPr>
          <w:rFonts w:ascii="Times New Roman" w:hAnsi="Times New Roman" w:eastAsia="仿宋_GB2312"/>
          <w:b w:val="0"/>
          <w:color w:val="000000" w:themeColor="text1"/>
          <w:sz w:val="30"/>
          <w:szCs w:val="30"/>
          <w14:textFill>
            <w14:solidFill>
              <w14:schemeClr w14:val="tx1"/>
            </w14:solidFill>
          </w14:textFill>
        </w:rPr>
        <w:t>2.3</w:t>
      </w:r>
      <w:r>
        <w:rPr>
          <w:rFonts w:hint="eastAsia" w:ascii="黑体" w:hAnsi="黑体" w:cs="黑体"/>
          <w:b w:val="0"/>
          <w:color w:val="000000" w:themeColor="text1"/>
          <w:sz w:val="30"/>
          <w:szCs w:val="30"/>
          <w14:textFill>
            <w14:solidFill>
              <w14:schemeClr w14:val="tx1"/>
            </w14:solidFill>
          </w14:textFill>
        </w:rPr>
        <w:t xml:space="preserve"> 编制依据</w:t>
      </w:r>
      <w:bookmarkEnd w:id="16"/>
      <w:bookmarkEnd w:id="17"/>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eastAsia="仿宋_GB2312"/>
          <w:b w:val="0"/>
          <w:bCs/>
          <w:color w:val="000000" w:themeColor="text1"/>
          <w:sz w:val="28"/>
          <w14:textFill>
            <w14:solidFill>
              <w14:schemeClr w14:val="tx1"/>
            </w14:solidFill>
          </w14:textFill>
        </w:rPr>
      </w:pPr>
      <w:r>
        <w:rPr>
          <w:rFonts w:eastAsia="仿宋_GB2312"/>
          <w:b w:val="0"/>
          <w:bCs/>
          <w:color w:val="000000" w:themeColor="text1"/>
          <w:sz w:val="28"/>
          <w14:textFill>
            <w14:solidFill>
              <w14:schemeClr w14:val="tx1"/>
            </w14:solidFill>
          </w14:textFill>
        </w:rPr>
        <w:t xml:space="preserve">2.3.1 </w:t>
      </w:r>
      <w:r>
        <w:rPr>
          <w:rFonts w:hint="eastAsia" w:ascii="黑体" w:hAnsi="黑体" w:eastAsia="黑体" w:cs="黑体"/>
          <w:b w:val="0"/>
          <w:bCs/>
          <w:color w:val="000000" w:themeColor="text1"/>
          <w:sz w:val="28"/>
          <w14:textFill>
            <w14:solidFill>
              <w14:schemeClr w14:val="tx1"/>
            </w14:solidFill>
          </w14:textFill>
        </w:rPr>
        <w:t>法律法规</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2" w:firstLineChars="200"/>
        <w:jc w:val="both"/>
        <w:textAlignment w:val="auto"/>
        <w:rPr>
          <w:rFonts w:hint="default" w:ascii="Times New Roman" w:hAnsi="Times New Roman" w:eastAsia="仿宋_GB2312" w:cs="Times New Roman"/>
          <w:b/>
          <w:bCs w:val="0"/>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bCs w:val="0"/>
          <w:color w:val="000000" w:themeColor="text1"/>
          <w:kern w:val="2"/>
          <w:sz w:val="24"/>
          <w:lang w:val="en-US" w:eastAsia="zh-CN" w:bidi="ar-SA"/>
          <w14:textFill>
            <w14:solidFill>
              <w14:schemeClr w14:val="tx1"/>
            </w14:solidFill>
          </w14:textFill>
        </w:rPr>
        <w:t>A、法律</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a）《中华人民共和国土地管理法》（</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8</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26</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日第十三届全国人民代表大会常务委员会第十二次会议修正）；</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b</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）《中华人民共和国水土保持法》（</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2010</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12</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25</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日第十一届全国人民代表大会常务委员会第十八次会议修订，自</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3</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日起施行）；</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c</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）《中华人民共和国环境保护法》（</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2014</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4</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24</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日第</w:t>
      </w:r>
      <w:bookmarkStart w:id="267" w:name="_GoBack"/>
      <w:bookmarkEnd w:id="267"/>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十二届全国人民</w:t>
      </w:r>
      <w:r>
        <w:rPr>
          <w:rFonts w:hint="eastAsia" w:eastAsia="仿宋_GB2312" w:cs="Times New Roman"/>
          <w:b w:val="0"/>
          <w:bCs/>
          <w:color w:val="000000" w:themeColor="text1"/>
          <w:kern w:val="2"/>
          <w:sz w:val="24"/>
          <w:lang w:val="en-US" w:eastAsia="zh-CN" w:bidi="ar-SA"/>
          <w14:textFill>
            <w14:solidFill>
              <w14:schemeClr w14:val="tx1"/>
            </w14:solidFill>
          </w14:textFill>
        </w:rPr>
        <w:t>代表</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大会常务委员会第八次会议修订，自</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2015</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日起施行）；</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d</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）《中华人民共和国草原法》（2013年6月29日第二次修正）</w:t>
      </w:r>
      <w:r>
        <w:rPr>
          <w:rFonts w:hint="eastAsia" w:eastAsia="仿宋_GB2312" w:cs="Times New Roman"/>
          <w:b w:val="0"/>
          <w:bCs/>
          <w:color w:val="000000" w:themeColor="text1"/>
          <w:kern w:val="2"/>
          <w:sz w:val="24"/>
          <w:lang w:val="en-US" w:eastAsia="zh-CN" w:bidi="ar-SA"/>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2" w:firstLineChars="200"/>
        <w:jc w:val="both"/>
        <w:textAlignment w:val="auto"/>
        <w:rPr>
          <w:rFonts w:hint="default" w:ascii="Times New Roman" w:hAnsi="Times New Roman" w:eastAsia="仿宋_GB2312" w:cs="Times New Roman"/>
          <w:b/>
          <w:bCs w:val="0"/>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bCs w:val="0"/>
          <w:color w:val="000000" w:themeColor="text1"/>
          <w:kern w:val="2"/>
          <w:sz w:val="24"/>
          <w:lang w:val="en-US" w:eastAsia="zh-CN" w:bidi="ar-SA"/>
          <w14:textFill>
            <w14:solidFill>
              <w14:schemeClr w14:val="tx1"/>
            </w14:solidFill>
          </w14:textFill>
        </w:rPr>
        <w:t>B、条例</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a</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）《中华人民共和国土地管理法实施条例》（中华人民共和国国务院令第</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256</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号，2021年已进行修订）；</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b</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）《建设项目环境保护管理条例》（</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6</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日国务院第</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177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次常务会议通过修改，自</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10</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日起施行）；</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c</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）《新疆维吾尔自治区环境保护条例》（</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2018</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日新疆维吾尔自治区第十三届人民代表大会常务委员会第六次会议修正）。</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2" w:firstLineChars="200"/>
        <w:jc w:val="both"/>
        <w:textAlignment w:val="auto"/>
        <w:rPr>
          <w:rFonts w:hint="default" w:ascii="Times New Roman" w:hAnsi="Times New Roman" w:eastAsia="仿宋_GB2312" w:cs="Times New Roman"/>
          <w:b/>
          <w:bCs w:val="0"/>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bCs w:val="0"/>
          <w:color w:val="000000" w:themeColor="text1"/>
          <w:kern w:val="2"/>
          <w:sz w:val="24"/>
          <w:lang w:val="en-US" w:eastAsia="zh-CN" w:bidi="ar-SA"/>
          <w14:textFill>
            <w14:solidFill>
              <w14:schemeClr w14:val="tx1"/>
            </w14:solidFill>
          </w14:textFill>
        </w:rPr>
        <w:t>C、办法</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a</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）《土地复垦条例实施办法》（国土资源部第</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56</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号令，</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16</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日自然资源部第二次部务会议修正）；</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b</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）《新疆维吾尔自治区实施（中华人民共和国草原法）办法》，2011年；</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kern w:val="2"/>
          <w:sz w:val="24"/>
          <w:lang w:val="en-US" w:eastAsia="zh-CN" w:bidi="ar-SA"/>
          <w14:textFill>
            <w14:solidFill>
              <w14:schemeClr w14:val="tx1"/>
            </w14:solidFill>
          </w14:textFill>
        </w:rPr>
        <w:t>c</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)《新疆维吾尔自治区土地开发整理复垦项目管理办法》，2001年。</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b w:val="0"/>
          <w:bCs/>
          <w:color w:val="000000" w:themeColor="text1"/>
          <w:sz w:val="28"/>
          <w14:textFill>
            <w14:solidFill>
              <w14:schemeClr w14:val="tx1"/>
            </w14:solidFill>
          </w14:textFill>
        </w:rPr>
      </w:pPr>
      <w:r>
        <w:rPr>
          <w:b w:val="0"/>
          <w:bCs/>
          <w:color w:val="000000" w:themeColor="text1"/>
          <w:sz w:val="28"/>
          <w14:textFill>
            <w14:solidFill>
              <w14:schemeClr w14:val="tx1"/>
            </w14:solidFill>
          </w14:textFill>
        </w:rPr>
        <w:t>2.3</w:t>
      </w:r>
      <w:r>
        <w:rPr>
          <w:rFonts w:hint="eastAsia" w:ascii="黑体" w:hAnsi="黑体" w:eastAsia="黑体" w:cs="黑体"/>
          <w:b w:val="0"/>
          <w:bCs/>
          <w:color w:val="000000" w:themeColor="text1"/>
          <w:sz w:val="28"/>
          <w14:textFill>
            <w14:solidFill>
              <w14:schemeClr w14:val="tx1"/>
            </w14:solidFill>
          </w14:textFill>
        </w:rPr>
        <w:t>.2 政策文件</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a）原国土资源部《关于推进土地节约集约利用的指导意见》（国土资发〔</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2014</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b）原国土资源部《关于贯彻实施〈土地复垦条例〉的通知》（国土资发〔</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50</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c）财政部 原国土资源部《关于印发〈土地开发整理项目预算定额标准〉的通知》（财综〔</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128</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d）财政部税务总局海关总署《关于深化增值税改革有关政策的公告》（财政部税务总局海关总署公告</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年第</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39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e）《自治区住房和城乡建设厅关于调整我区建设工程计价依据增值税税率的通知》（新建标〔</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4</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f）《住房城乡建设部办公厅关于重新调整建设工程计价依据增值税税率的通知》（建办标函〔</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193</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g）《国土资源部办公厅关于印发土地整治工程营业税改增值税计价依据调整过度实施方案的通知》（国土资厅发〔</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h）《关于加强自治区生产建设项目土地复垦管理工作的通知》（</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2021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3</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23</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i）《关于印发新疆维吾尔自治区土地整治项目补充预算定额（试行）的通知》（新财综〔</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j）关于颁发《水土保持工程概（估）算编制规定和定额》的通知（水总〔</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2003</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67</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k）《国土空间调查、规划、用途管制用地用海分类指南》的通知（自然资发〔2023〕234号</w:t>
      </w:r>
      <w:r>
        <w:rPr>
          <w:rFonts w:hint="eastAsia" w:eastAsia="仿宋_GB2312" w:cs="Times New Roman"/>
          <w:b w:val="0"/>
          <w:bCs/>
          <w:color w:val="000000" w:themeColor="text1"/>
          <w:kern w:val="2"/>
          <w:sz w:val="24"/>
          <w:lang w:val="en-US" w:eastAsia="zh-CN" w:bidi="ar-SA"/>
          <w14:textFill>
            <w14:solidFill>
              <w14:schemeClr w14:val="tx1"/>
            </w14:solidFill>
          </w14:textFill>
        </w:rPr>
        <w:t>）</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l）《自治区自然资源厅关于印发〈自治区生产建设项目土地复垦管理办法〉</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m）〈自治区生产建设项目土地复垦方案审查暂行办法〉〈自治区生产建设项目土地复垦验收办法〉的通知》（新自然资规〔</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2018</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号）；</w:t>
      </w:r>
    </w:p>
    <w:p>
      <w:pPr>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n）《关于进一步规范临时用地管理的通知》（新自然资规〔2022〕2号，2022年5月自治区自然资源厅公布）。</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eastAsia="黑体"/>
          <w:b w:val="0"/>
          <w:bCs/>
          <w:color w:val="000000" w:themeColor="text1"/>
          <w:sz w:val="28"/>
          <w14:textFill>
            <w14:solidFill>
              <w14:schemeClr w14:val="tx1"/>
            </w14:solidFill>
          </w14:textFill>
        </w:rPr>
      </w:pPr>
      <w:r>
        <w:rPr>
          <w:rFonts w:eastAsia="黑体"/>
          <w:b w:val="0"/>
          <w:bCs/>
          <w:color w:val="000000" w:themeColor="text1"/>
          <w:sz w:val="28"/>
          <w14:textFill>
            <w14:solidFill>
              <w14:schemeClr w14:val="tx1"/>
            </w14:solidFill>
          </w14:textFill>
        </w:rPr>
        <w:t>2.3.3 规程规范</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color w:val="000000" w:themeColor="text1"/>
          <w:sz w:val="24"/>
          <w:lang w:val="en-US" w:eastAsia="zh-CN"/>
          <w14:textFill>
            <w14:solidFill>
              <w14:schemeClr w14:val="tx1"/>
            </w14:solidFill>
          </w14:textFill>
        </w:rPr>
        <w:t>）《土地复垦方案编制规程第</w:t>
      </w:r>
      <w:r>
        <w:rPr>
          <w:rFonts w:hint="default" w:ascii="Times New Roman" w:hAnsi="Times New Roman" w:eastAsia="仿宋_GB2312" w:cs="Times New Roman"/>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lang w:val="en-US" w:eastAsia="zh-CN"/>
          <w14:textFill>
            <w14:solidFill>
              <w14:schemeClr w14:val="tx1"/>
            </w14:solidFill>
          </w14:textFill>
        </w:rPr>
        <w:t>部分：通则》（</w:t>
      </w:r>
      <w:r>
        <w:rPr>
          <w:rFonts w:hint="default" w:ascii="Times New Roman" w:hAnsi="Times New Roman" w:eastAsia="仿宋_GB2312" w:cs="Times New Roman"/>
          <w:color w:val="000000" w:themeColor="text1"/>
          <w:sz w:val="24"/>
          <w:lang w:val="en-US" w:eastAsia="zh-CN"/>
          <w14:textFill>
            <w14:solidFill>
              <w14:schemeClr w14:val="tx1"/>
            </w14:solidFill>
          </w14:textFill>
        </w:rPr>
        <w:t>TD/T1031.1-2011</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b</w:t>
      </w:r>
      <w:r>
        <w:rPr>
          <w:rFonts w:hint="eastAsia" w:ascii="Times New Roman" w:hAnsi="Times New Roman" w:eastAsia="仿宋_GB2312" w:cs="Times New Roman"/>
          <w:color w:val="000000" w:themeColor="text1"/>
          <w:sz w:val="24"/>
          <w:lang w:val="en-US" w:eastAsia="zh-CN"/>
          <w14:textFill>
            <w14:solidFill>
              <w14:schemeClr w14:val="tx1"/>
            </w14:solidFill>
          </w14:textFill>
        </w:rPr>
        <w:t>）《土地复垦方案编制规程第</w:t>
      </w:r>
      <w:r>
        <w:rPr>
          <w:rFonts w:hint="default" w:ascii="Times New Roman" w:hAnsi="Times New Roman" w:eastAsia="仿宋_GB2312" w:cs="Times New Roman"/>
          <w:color w:val="000000" w:themeColor="text1"/>
          <w:sz w:val="24"/>
          <w:lang w:val="en-US" w:eastAsia="zh-CN"/>
          <w14:textFill>
            <w14:solidFill>
              <w14:schemeClr w14:val="tx1"/>
            </w14:solidFill>
          </w14:textFill>
        </w:rPr>
        <w:t>6</w:t>
      </w:r>
      <w:r>
        <w:rPr>
          <w:rFonts w:hint="eastAsia" w:ascii="Times New Roman" w:hAnsi="Times New Roman" w:eastAsia="仿宋_GB2312" w:cs="Times New Roman"/>
          <w:color w:val="000000" w:themeColor="text1"/>
          <w:sz w:val="24"/>
          <w:lang w:val="en-US" w:eastAsia="zh-CN"/>
          <w14:textFill>
            <w14:solidFill>
              <w14:schemeClr w14:val="tx1"/>
            </w14:solidFill>
          </w14:textFill>
        </w:rPr>
        <w:t>部分：建设项目》（</w:t>
      </w:r>
      <w:r>
        <w:rPr>
          <w:rFonts w:hint="default" w:ascii="Times New Roman" w:hAnsi="Times New Roman" w:eastAsia="仿宋_GB2312" w:cs="Times New Roman"/>
          <w:color w:val="000000" w:themeColor="text1"/>
          <w:sz w:val="24"/>
          <w:lang w:val="en-US" w:eastAsia="zh-CN"/>
          <w14:textFill>
            <w14:solidFill>
              <w14:schemeClr w14:val="tx1"/>
            </w14:solidFill>
          </w14:textFill>
        </w:rPr>
        <w:t>TD/T1031.6-2011</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c）《第三次全国国土调查技术规程》（</w:t>
      </w:r>
      <w:r>
        <w:rPr>
          <w:rFonts w:hint="default" w:ascii="Times New Roman" w:hAnsi="Times New Roman" w:eastAsia="仿宋_GB2312" w:cs="Times New Roman"/>
          <w:color w:val="000000" w:themeColor="text1"/>
          <w:sz w:val="24"/>
          <w:lang w:val="en-US" w:eastAsia="zh-CN"/>
          <w14:textFill>
            <w14:solidFill>
              <w14:schemeClr w14:val="tx1"/>
            </w14:solidFill>
          </w14:textFill>
        </w:rPr>
        <w:t>TD/T1055-2019</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d）《国土空间调查、规划、用途管制用地用海分类指南》（自然资发〔2023〕234号）；</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e）</w:t>
      </w:r>
      <w:r>
        <w:rPr>
          <w:rFonts w:hint="eastAsia" w:ascii="Times New Roman" w:hAnsi="Times New Roman" w:eastAsia="仿宋_GB2312" w:cs="Times New Roman"/>
          <w:color w:val="000000" w:themeColor="text1"/>
          <w:sz w:val="24"/>
          <w:lang w:eastAsia="zh-CN"/>
          <w14:textFill>
            <w14:solidFill>
              <w14:schemeClr w14:val="tx1"/>
            </w14:solidFill>
          </w14:textFill>
        </w:rPr>
        <w:t>《土壤环境监测技术规范》（HJ/T 166-2004)</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f）《水土保持综合治理技术规范》（</w:t>
      </w:r>
      <w:r>
        <w:rPr>
          <w:rFonts w:hint="default" w:ascii="Times New Roman" w:hAnsi="Times New Roman" w:eastAsia="仿宋_GB2312" w:cs="Times New Roman"/>
          <w:color w:val="000000" w:themeColor="text1"/>
          <w:sz w:val="24"/>
          <w:lang w:val="en-US" w:eastAsia="zh-CN"/>
          <w14:textFill>
            <w14:solidFill>
              <w14:schemeClr w14:val="tx1"/>
            </w14:solidFill>
          </w14:textFill>
        </w:rPr>
        <w:t>GB/T16453-2008</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g</w:t>
      </w:r>
      <w:r>
        <w:rPr>
          <w:rFonts w:hint="eastAsia" w:ascii="Times New Roman" w:hAnsi="Times New Roman" w:eastAsia="仿宋_GB2312" w:cs="Times New Roman"/>
          <w:color w:val="000000" w:themeColor="text1"/>
          <w:sz w:val="24"/>
          <w:lang w:val="en-US" w:eastAsia="zh-CN"/>
          <w14:textFill>
            <w14:solidFill>
              <w14:schemeClr w14:val="tx1"/>
            </w14:solidFill>
          </w14:textFill>
        </w:rPr>
        <w:t>）《开发建设项目水土保持方案技术规范》（</w:t>
      </w:r>
      <w:r>
        <w:rPr>
          <w:rFonts w:hint="default" w:ascii="Times New Roman" w:hAnsi="Times New Roman" w:eastAsia="仿宋_GB2312" w:cs="Times New Roman"/>
          <w:color w:val="000000" w:themeColor="text1"/>
          <w:sz w:val="24"/>
          <w:lang w:val="en-US" w:eastAsia="zh-CN"/>
          <w14:textFill>
            <w14:solidFill>
              <w14:schemeClr w14:val="tx1"/>
            </w14:solidFill>
          </w14:textFill>
        </w:rPr>
        <w:t>GB50433-2008</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h</w:t>
      </w:r>
      <w:r>
        <w:rPr>
          <w:rFonts w:hint="eastAsia" w:ascii="Times New Roman" w:hAnsi="Times New Roman" w:eastAsia="仿宋_GB2312" w:cs="Times New Roman"/>
          <w:color w:val="000000" w:themeColor="text1"/>
          <w:sz w:val="24"/>
          <w:lang w:val="en-US" w:eastAsia="zh-CN"/>
          <w14:textFill>
            <w14:solidFill>
              <w14:schemeClr w14:val="tx1"/>
            </w14:solidFill>
          </w14:textFill>
        </w:rPr>
        <w:t>）《开发建设项目水土流失防治标准》（</w:t>
      </w:r>
      <w:r>
        <w:rPr>
          <w:rFonts w:hint="default" w:ascii="Times New Roman" w:hAnsi="Times New Roman" w:eastAsia="仿宋_GB2312" w:cs="Times New Roman"/>
          <w:color w:val="000000" w:themeColor="text1"/>
          <w:sz w:val="24"/>
          <w:lang w:val="en-US" w:eastAsia="zh-CN"/>
          <w14:textFill>
            <w14:solidFill>
              <w14:schemeClr w14:val="tx1"/>
            </w14:solidFill>
          </w14:textFill>
        </w:rPr>
        <w:t>GB50434-2008</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i</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《土地开发整理项目预算定额标准》（财综〔2011〕128号）；</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j）《土地复垦质量控制标准》（</w:t>
      </w:r>
      <w:r>
        <w:rPr>
          <w:rFonts w:hint="default" w:ascii="Times New Roman" w:hAnsi="Times New Roman" w:eastAsia="仿宋_GB2312" w:cs="Times New Roman"/>
          <w:color w:val="000000" w:themeColor="text1"/>
          <w:sz w:val="24"/>
          <w:lang w:val="en-US" w:eastAsia="zh-CN"/>
          <w14:textFill>
            <w14:solidFill>
              <w14:schemeClr w14:val="tx1"/>
            </w14:solidFill>
          </w14:textFill>
        </w:rPr>
        <w:t>TD/T1036-2013</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k）《生产项目土地复垦验收规程》（</w:t>
      </w:r>
      <w:r>
        <w:rPr>
          <w:rFonts w:hint="default" w:ascii="Times New Roman" w:hAnsi="Times New Roman" w:eastAsia="仿宋_GB2312" w:cs="Times New Roman"/>
          <w:color w:val="000000" w:themeColor="text1"/>
          <w:sz w:val="24"/>
          <w:lang w:val="en-US" w:eastAsia="zh-CN"/>
          <w14:textFill>
            <w14:solidFill>
              <w14:schemeClr w14:val="tx1"/>
            </w14:solidFill>
          </w14:textFill>
        </w:rPr>
        <w:t>TD/T1044-2014</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l</w:t>
      </w:r>
      <w:r>
        <w:rPr>
          <w:rFonts w:hint="eastAsia" w:ascii="Times New Roman" w:hAnsi="Times New Roman" w:eastAsia="仿宋_GB2312" w:cs="Times New Roman"/>
          <w:color w:val="000000" w:themeColor="text1"/>
          <w:sz w:val="24"/>
          <w:lang w:eastAsia="zh-CN"/>
          <w14:textFill>
            <w14:solidFill>
              <w14:schemeClr w14:val="tx1"/>
            </w14:solidFill>
          </w14:textFill>
        </w:rPr>
        <w:t>）《土壤环境质量 建设用地土壤污染风险管控标准（试行）》（GB36600-2018）</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b/>
          <w:bCs w:val="0"/>
          <w:color w:val="000000" w:themeColor="text1"/>
          <w:sz w:val="28"/>
          <w14:textFill>
            <w14:solidFill>
              <w14:schemeClr w14:val="tx1"/>
            </w14:solidFill>
          </w14:textFill>
        </w:rPr>
      </w:pPr>
      <w:r>
        <w:rPr>
          <w:b/>
          <w:bCs w:val="0"/>
          <w:color w:val="000000" w:themeColor="text1"/>
          <w:sz w:val="28"/>
          <w14:textFill>
            <w14:solidFill>
              <w14:schemeClr w14:val="tx1"/>
            </w14:solidFill>
          </w14:textFill>
        </w:rPr>
        <w:t xml:space="preserve">2.3.4 </w:t>
      </w:r>
      <w:r>
        <w:rPr>
          <w:rFonts w:hint="eastAsia" w:ascii="黑体" w:hAnsi="黑体" w:eastAsia="黑体" w:cs="黑体"/>
          <w:b w:val="0"/>
          <w:bCs/>
          <w:color w:val="000000" w:themeColor="text1"/>
          <w:sz w:val="28"/>
          <w14:textFill>
            <w14:solidFill>
              <w14:schemeClr w14:val="tx1"/>
            </w14:solidFill>
          </w14:textFill>
        </w:rPr>
        <w:t>相关基础资料</w:t>
      </w:r>
    </w:p>
    <w:p>
      <w:pPr>
        <w:pageBreakBefore w:val="0"/>
        <w:widowControl w:val="0"/>
        <w:tabs>
          <w:tab w:val="left" w:pos="0"/>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喀什地区喀什市、疏勒县、疏附县</w:t>
      </w:r>
      <w:r>
        <w:rPr>
          <w:rFonts w:eastAsia="仿宋_GB2312"/>
          <w:color w:val="000000" w:themeColor="text1"/>
          <w:sz w:val="24"/>
          <w14:textFill>
            <w14:solidFill>
              <w14:schemeClr w14:val="tx1"/>
            </w14:solidFill>
          </w14:textFill>
        </w:rPr>
        <w:t>地形图及有关资料；</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b</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新疆克孜河大桥渠首除险加固工程土地</w:t>
      </w:r>
      <w:r>
        <w:rPr>
          <w:rFonts w:hint="eastAsia" w:eastAsia="仿宋_GB2312"/>
          <w:color w:val="000000" w:themeColor="text1"/>
          <w:sz w:val="24"/>
          <w14:textFill>
            <w14:solidFill>
              <w14:schemeClr w14:val="tx1"/>
            </w14:solidFill>
          </w14:textFill>
        </w:rPr>
        <w:t>勘界报告</w:t>
      </w:r>
      <w:r>
        <w:rPr>
          <w:rFonts w:hint="eastAsia" w:eastAsia="仿宋_GB2312"/>
          <w:color w:val="000000" w:themeColor="text1"/>
          <w:sz w:val="24"/>
          <w:lang w:eastAsia="zh-CN"/>
          <w14:textFill>
            <w14:solidFill>
              <w14:schemeClr w14:val="tx1"/>
            </w14:solidFill>
          </w14:textFill>
        </w:rPr>
        <w:t>书</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及相关图件</w:t>
      </w:r>
      <w:r>
        <w:rPr>
          <w:rFonts w:eastAsia="仿宋_GB2312"/>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c</w:t>
      </w:r>
      <w:r>
        <w:rPr>
          <w:rFonts w:hint="eastAsia" w:eastAsia="仿宋_GB2312"/>
          <w:color w:val="000000" w:themeColor="text1"/>
          <w:sz w:val="24"/>
          <w:lang w:eastAsia="zh-CN"/>
          <w14:textFill>
            <w14:solidFill>
              <w14:schemeClr w14:val="tx1"/>
            </w14:solidFill>
          </w14:textFill>
        </w:rPr>
        <w:t>）《新疆克孜河大桥渠首除险加固工程可行性研究报告》；</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  其他有关资料。</w:t>
      </w:r>
    </w:p>
    <w:bookmarkEnd w:id="2"/>
    <w:bookmarkEnd w:id="3"/>
    <w:bookmarkEnd w:id="4"/>
    <w:p>
      <w:pPr>
        <w:pStyle w:val="5"/>
        <w:pageBreakBefore w:val="0"/>
        <w:kinsoku/>
        <w:wordWrap/>
        <w:topLinePunct w:val="0"/>
        <w:bidi w:val="0"/>
        <w:adjustRightInd w:val="0"/>
        <w:snapToGrid w:val="0"/>
        <w:spacing w:before="0" w:after="0" w:line="360" w:lineRule="auto"/>
        <w:rPr>
          <w:rFonts w:hint="eastAsia" w:ascii="黑体" w:hAnsi="黑体" w:cs="黑体"/>
          <w:b w:val="0"/>
          <w:color w:val="000000" w:themeColor="text1"/>
          <w:sz w:val="30"/>
          <w:szCs w:val="30"/>
          <w14:textFill>
            <w14:solidFill>
              <w14:schemeClr w14:val="tx1"/>
            </w14:solidFill>
          </w14:textFill>
        </w:rPr>
      </w:pPr>
      <w:bookmarkStart w:id="18" w:name="_Toc26252"/>
      <w:bookmarkStart w:id="19" w:name="_Toc10514"/>
      <w:r>
        <w:rPr>
          <w:rFonts w:hint="eastAsia" w:ascii="黑体" w:hAnsi="黑体" w:cs="黑体"/>
          <w:b w:val="0"/>
          <w:color w:val="000000" w:themeColor="text1"/>
          <w:sz w:val="30"/>
          <w:szCs w:val="30"/>
          <w14:textFill>
            <w14:solidFill>
              <w14:schemeClr w14:val="tx1"/>
            </w14:solidFill>
          </w14:textFill>
        </w:rPr>
        <w:t>2.</w:t>
      </w:r>
      <w:r>
        <w:rPr>
          <w:rFonts w:hint="eastAsia" w:ascii="黑体" w:hAnsi="黑体" w:cs="黑体"/>
          <w:b w:val="0"/>
          <w:color w:val="000000" w:themeColor="text1"/>
          <w:sz w:val="30"/>
          <w:szCs w:val="30"/>
          <w:lang w:val="en-US" w:eastAsia="zh-CN"/>
          <w14:textFill>
            <w14:solidFill>
              <w14:schemeClr w14:val="tx1"/>
            </w14:solidFill>
          </w14:textFill>
        </w:rPr>
        <w:t>4</w:t>
      </w:r>
      <w:r>
        <w:rPr>
          <w:rFonts w:hint="eastAsia" w:ascii="黑体" w:hAnsi="黑体" w:cs="黑体"/>
          <w:b w:val="0"/>
          <w:color w:val="000000" w:themeColor="text1"/>
          <w:sz w:val="30"/>
          <w:szCs w:val="30"/>
          <w14:textFill>
            <w14:solidFill>
              <w14:schemeClr w14:val="tx1"/>
            </w14:solidFill>
          </w14:textFill>
        </w:rPr>
        <w:t>主要计量单位</w:t>
      </w:r>
      <w:bookmarkEnd w:id="18"/>
      <w:bookmarkEnd w:id="19"/>
    </w:p>
    <w:p>
      <w:pPr>
        <w:pageBreakBefore w:val="0"/>
        <w:kinsoku/>
        <w:wordWrap/>
        <w:topLinePunct w:val="0"/>
        <w:bidi w:val="0"/>
        <w:adjustRightInd w:val="0"/>
        <w:snapToGrid w:val="0"/>
        <w:spacing w:line="360" w:lineRule="auto"/>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本方案所涉及到的主要计量单位具体见表</w:t>
      </w:r>
      <w:r>
        <w:rPr>
          <w:rFonts w:eastAsia="仿宋_GB2312"/>
          <w:color w:val="000000" w:themeColor="text1"/>
          <w:sz w:val="24"/>
          <w14:textFill>
            <w14:solidFill>
              <w14:schemeClr w14:val="tx1"/>
            </w14:solidFill>
          </w14:textFill>
        </w:rPr>
        <w:t>2－1</w:t>
      </w:r>
      <w:r>
        <w:rPr>
          <w:rFonts w:hint="eastAsia" w:ascii="仿宋_GB2312" w:hAnsi="宋体"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jc w:val="center"/>
        <w:rPr>
          <w:rFonts w:hint="eastAsia" w:ascii="黑体" w:hAnsi="黑体" w:eastAsia="黑体"/>
          <w:bCs/>
          <w:color w:val="000000" w:themeColor="text1"/>
          <w:szCs w:val="21"/>
          <w14:textFill>
            <w14:solidFill>
              <w14:schemeClr w14:val="tx1"/>
            </w14:solidFill>
          </w14:textFill>
        </w:rPr>
      </w:pPr>
      <w:r>
        <w:rPr>
          <w:rFonts w:hint="eastAsia" w:ascii="黑体" w:hAnsi="黑体" w:eastAsia="黑体"/>
          <w:bCs/>
          <w:color w:val="000000" w:themeColor="text1"/>
          <w:szCs w:val="21"/>
          <w14:textFill>
            <w14:solidFill>
              <w14:schemeClr w14:val="tx1"/>
            </w14:solidFill>
          </w14:textFill>
        </w:rPr>
        <w:t>表2-1 主要计量单位表</w:t>
      </w:r>
    </w:p>
    <w:tbl>
      <w:tblPr>
        <w:tblStyle w:val="20"/>
        <w:tblW w:w="85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118"/>
        <w:gridCol w:w="4133"/>
        <w:gridCol w:w="25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序号</w:t>
            </w:r>
          </w:p>
        </w:tc>
        <w:tc>
          <w:tcPr>
            <w:tcW w:w="1118"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名称</w:t>
            </w:r>
          </w:p>
        </w:tc>
        <w:tc>
          <w:tcPr>
            <w:tcW w:w="4133"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计量名称</w:t>
            </w:r>
          </w:p>
        </w:tc>
        <w:tc>
          <w:tcPr>
            <w:tcW w:w="2517"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计量符号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1</w:t>
            </w:r>
          </w:p>
        </w:tc>
        <w:tc>
          <w:tcPr>
            <w:tcW w:w="1118"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面积</w:t>
            </w:r>
          </w:p>
        </w:tc>
        <w:tc>
          <w:tcPr>
            <w:tcW w:w="4133"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公顷</w:t>
            </w:r>
            <w:r>
              <w:rPr>
                <w:rFonts w:eastAsia="仿宋_GB2312"/>
                <w:color w:val="000000" w:themeColor="text1"/>
                <w:kern w:val="0"/>
                <w:szCs w:val="21"/>
                <w14:textFill>
                  <w14:solidFill>
                    <w14:schemeClr w14:val="tx1"/>
                  </w14:solidFill>
                </w14:textFill>
              </w:rPr>
              <w:t>、平方公里</w:t>
            </w:r>
          </w:p>
        </w:tc>
        <w:tc>
          <w:tcPr>
            <w:tcW w:w="2517"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hm</w:t>
            </w:r>
            <w:r>
              <w:rPr>
                <w:rFonts w:eastAsia="仿宋_GB2312"/>
                <w:color w:val="000000" w:themeColor="text1"/>
                <w:kern w:val="0"/>
                <w:szCs w:val="21"/>
                <w:vertAlign w:val="superscript"/>
                <w14:textFill>
                  <w14:solidFill>
                    <w14:schemeClr w14:val="tx1"/>
                  </w14:solidFill>
                </w14:textFill>
              </w:rPr>
              <w:t>2</w:t>
            </w:r>
            <w:r>
              <w:rPr>
                <w:rFonts w:eastAsia="仿宋_GB2312"/>
                <w:color w:val="000000" w:themeColor="text1"/>
                <w:kern w:val="0"/>
                <w:szCs w:val="21"/>
                <w14:textFill>
                  <w14:solidFill>
                    <w14:schemeClr w14:val="tx1"/>
                  </w14:solidFill>
                </w14:textFill>
              </w:rPr>
              <w:t>、km</w:t>
            </w:r>
            <w:r>
              <w:rPr>
                <w:rFonts w:eastAsia="仿宋_GB2312"/>
                <w:color w:val="000000" w:themeColor="text1"/>
                <w:kern w:val="0"/>
                <w:szCs w:val="2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2</w:t>
            </w:r>
          </w:p>
        </w:tc>
        <w:tc>
          <w:tcPr>
            <w:tcW w:w="1118"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长度</w:t>
            </w:r>
          </w:p>
        </w:tc>
        <w:tc>
          <w:tcPr>
            <w:tcW w:w="4133"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米、公里</w:t>
            </w:r>
          </w:p>
        </w:tc>
        <w:tc>
          <w:tcPr>
            <w:tcW w:w="2517"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m</w:t>
            </w:r>
            <w:r>
              <w:rPr>
                <w:rFonts w:eastAsia="仿宋_GB2312"/>
                <w:color w:val="000000" w:themeColor="text1"/>
                <w:kern w:val="0"/>
                <w:szCs w:val="21"/>
                <w14:textFill>
                  <w14:solidFill>
                    <w14:schemeClr w14:val="tx1"/>
                  </w14:solidFill>
                </w14:textFill>
              </w:rPr>
              <w:t>、km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3</w:t>
            </w:r>
          </w:p>
        </w:tc>
        <w:tc>
          <w:tcPr>
            <w:tcW w:w="1118"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体积</w:t>
            </w:r>
          </w:p>
        </w:tc>
        <w:tc>
          <w:tcPr>
            <w:tcW w:w="4133"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立方米</w:t>
            </w:r>
          </w:p>
        </w:tc>
        <w:tc>
          <w:tcPr>
            <w:tcW w:w="2517"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m</w:t>
            </w:r>
            <w:r>
              <w:rPr>
                <w:rFonts w:eastAsia="仿宋_GB2312"/>
                <w:color w:val="000000" w:themeColor="text1"/>
                <w:kern w:val="0"/>
                <w:szCs w:val="2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4</w:t>
            </w:r>
          </w:p>
        </w:tc>
        <w:tc>
          <w:tcPr>
            <w:tcW w:w="1118"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单价</w:t>
            </w:r>
          </w:p>
        </w:tc>
        <w:tc>
          <w:tcPr>
            <w:tcW w:w="4133"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万元/</w:t>
            </w:r>
            <w:r>
              <w:rPr>
                <w:rFonts w:hint="eastAsia" w:eastAsia="仿宋_GB2312"/>
                <w:color w:val="000000" w:themeColor="text1"/>
                <w:kern w:val="0"/>
                <w:szCs w:val="21"/>
                <w:lang w:eastAsia="zh-CN"/>
                <w14:textFill>
                  <w14:solidFill>
                    <w14:schemeClr w14:val="tx1"/>
                  </w14:solidFill>
                </w14:textFill>
              </w:rPr>
              <w:t>hm</w:t>
            </w:r>
            <w:r>
              <w:rPr>
                <w:rFonts w:hint="eastAsia" w:eastAsia="仿宋_GB2312"/>
                <w:color w:val="000000" w:themeColor="text1"/>
                <w:kern w:val="0"/>
                <w:szCs w:val="21"/>
                <w:vertAlign w:val="superscript"/>
                <w:lang w:eastAsia="zh-CN"/>
                <w14:textFill>
                  <w14:solidFill>
                    <w14:schemeClr w14:val="tx1"/>
                  </w14:solidFill>
                </w14:textFill>
              </w:rPr>
              <w:t>2</w:t>
            </w:r>
            <w:r>
              <w:rPr>
                <w:rFonts w:eastAsia="仿宋_GB2312"/>
                <w:color w:val="000000" w:themeColor="text1"/>
                <w:kern w:val="0"/>
                <w:szCs w:val="21"/>
                <w14:textFill>
                  <w14:solidFill>
                    <w14:schemeClr w14:val="tx1"/>
                  </w14:solidFill>
                </w14:textFill>
              </w:rPr>
              <w:t>、元/吨、元/立方米</w:t>
            </w:r>
          </w:p>
        </w:tc>
        <w:tc>
          <w:tcPr>
            <w:tcW w:w="2517"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万元/ hm</w:t>
            </w:r>
            <w:r>
              <w:rPr>
                <w:rFonts w:eastAsia="仿宋_GB2312"/>
                <w:color w:val="000000" w:themeColor="text1"/>
                <w:kern w:val="0"/>
                <w:szCs w:val="21"/>
                <w:vertAlign w:val="superscript"/>
                <w14:textFill>
                  <w14:solidFill>
                    <w14:schemeClr w14:val="tx1"/>
                  </w14:solidFill>
                </w14:textFill>
              </w:rPr>
              <w:t>2</w:t>
            </w:r>
            <w:r>
              <w:rPr>
                <w:rFonts w:eastAsia="仿宋_GB2312"/>
                <w:color w:val="000000" w:themeColor="text1"/>
                <w:kern w:val="0"/>
                <w:szCs w:val="21"/>
                <w14:textFill>
                  <w14:solidFill>
                    <w14:schemeClr w14:val="tx1"/>
                  </w14:solidFill>
                </w14:textFill>
              </w:rPr>
              <w:t>、元/t、元/ m</w:t>
            </w:r>
            <w:r>
              <w:rPr>
                <w:rFonts w:eastAsia="仿宋_GB2312"/>
                <w:color w:val="000000" w:themeColor="text1"/>
                <w:kern w:val="0"/>
                <w:szCs w:val="2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jc w:val="center"/>
        </w:trPr>
        <w:tc>
          <w:tcPr>
            <w:tcW w:w="760"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5</w:t>
            </w:r>
          </w:p>
        </w:tc>
        <w:tc>
          <w:tcPr>
            <w:tcW w:w="1118" w:type="dxa"/>
            <w:noWrap w:val="0"/>
            <w:vAlign w:val="center"/>
          </w:tcPr>
          <w:p>
            <w:pPr>
              <w:pageBreakBefore w:val="0"/>
              <w:kinsoku/>
              <w:wordWrap/>
              <w:topLinePunct w:val="0"/>
              <w:bidi w:val="0"/>
              <w:adjustRightInd w:val="0"/>
              <w:snapToGrid w:val="0"/>
              <w:spacing w:line="360" w:lineRule="auto"/>
              <w:jc w:val="center"/>
              <w:rPr>
                <w:rFonts w:hint="eastAsia" w:eastAsia="仿宋_GB2312"/>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金额</w:t>
            </w:r>
          </w:p>
        </w:tc>
        <w:tc>
          <w:tcPr>
            <w:tcW w:w="4133" w:type="dxa"/>
            <w:noWrap w:val="0"/>
            <w:vAlign w:val="center"/>
          </w:tcPr>
          <w:p>
            <w:pPr>
              <w:pageBreakBefore w:val="0"/>
              <w:widowControl/>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亿元（人民币）、万元（人民币）</w:t>
            </w:r>
          </w:p>
        </w:tc>
        <w:tc>
          <w:tcPr>
            <w:tcW w:w="2517" w:type="dxa"/>
            <w:noWrap w:val="0"/>
            <w:vAlign w:val="center"/>
          </w:tcPr>
          <w:p>
            <w:pPr>
              <w:pageBreakBefore w:val="0"/>
              <w:kinsoku/>
              <w:wordWrap/>
              <w:topLinePunct w:val="0"/>
              <w:bidi w:val="0"/>
              <w:adjustRightInd w:val="0"/>
              <w:snapToGrid w:val="0"/>
              <w:spacing w:line="360" w:lineRule="auto"/>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w:t>
            </w:r>
          </w:p>
        </w:tc>
      </w:tr>
    </w:tbl>
    <w:p>
      <w:pPr>
        <w:pageBreakBefore w:val="0"/>
        <w:kinsoku/>
        <w:wordWrap/>
        <w:topLinePunct w:val="0"/>
        <w:bidi w:val="0"/>
        <w:adjustRightInd w:val="0"/>
        <w:snapToGrid w:val="0"/>
        <w:spacing w:line="360" w:lineRule="auto"/>
        <w:ind w:firstLine="480" w:firstLineChars="200"/>
        <w:rPr>
          <w:rFonts w:hint="eastAsia" w:ascii="仿宋_GB2312" w:eastAsia="仿宋_GB2312"/>
          <w:color w:val="000000" w:themeColor="text1"/>
          <w:sz w:val="24"/>
          <w14:textFill>
            <w14:solidFill>
              <w14:schemeClr w14:val="tx1"/>
            </w14:solidFill>
          </w14:textFill>
        </w:r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0"/>
        <w:rPr>
          <w:rFonts w:eastAsia="黑体"/>
          <w:b w:val="0"/>
          <w:bCs w:val="0"/>
          <w:color w:val="000000" w:themeColor="text1"/>
          <w:sz w:val="32"/>
          <w:szCs w:val="32"/>
          <w14:textFill>
            <w14:solidFill>
              <w14:schemeClr w14:val="tx1"/>
            </w14:solidFill>
          </w14:textFill>
        </w:rPr>
      </w:pPr>
      <w:bookmarkStart w:id="20" w:name="_Toc22638"/>
      <w:bookmarkStart w:id="21" w:name="_Toc24858"/>
      <w:r>
        <w:rPr>
          <w:rFonts w:eastAsia="黑体"/>
          <w:b w:val="0"/>
          <w:bCs w:val="0"/>
          <w:color w:val="000000" w:themeColor="text1"/>
          <w:sz w:val="32"/>
          <w:szCs w:val="32"/>
          <w14:textFill>
            <w14:solidFill>
              <w14:schemeClr w14:val="tx1"/>
            </w14:solidFill>
          </w14:textFill>
        </w:rPr>
        <w:t>3 项目概况</w:t>
      </w:r>
      <w:bookmarkEnd w:id="20"/>
      <w:bookmarkEnd w:id="21"/>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b w:val="0"/>
          <w:color w:val="000000" w:themeColor="text1"/>
          <w:sz w:val="30"/>
          <w:szCs w:val="30"/>
          <w14:textFill>
            <w14:solidFill>
              <w14:schemeClr w14:val="tx1"/>
            </w14:solidFill>
          </w14:textFill>
        </w:rPr>
      </w:pPr>
      <w:bookmarkStart w:id="22" w:name="_Toc25598"/>
      <w:bookmarkStart w:id="23" w:name="_Toc5581"/>
      <w:r>
        <w:rPr>
          <w:rFonts w:ascii="Times New Roman" w:hAnsi="Times New Roman" w:eastAsia="仿宋_GB2312"/>
          <w:b w:val="0"/>
          <w:color w:val="000000" w:themeColor="text1"/>
          <w:sz w:val="30"/>
          <w:szCs w:val="30"/>
          <w14:textFill>
            <w14:solidFill>
              <w14:schemeClr w14:val="tx1"/>
            </w14:solidFill>
          </w14:textFill>
        </w:rPr>
        <w:t xml:space="preserve">3.1 </w:t>
      </w:r>
      <w:r>
        <w:rPr>
          <w:rFonts w:hint="eastAsia" w:ascii="黑体" w:hAnsi="黑体" w:cs="黑体"/>
          <w:b w:val="0"/>
          <w:color w:val="000000" w:themeColor="text1"/>
          <w:sz w:val="30"/>
          <w:szCs w:val="30"/>
          <w14:textFill>
            <w14:solidFill>
              <w14:schemeClr w14:val="tx1"/>
            </w14:solidFill>
          </w14:textFill>
        </w:rPr>
        <w:t>项目简介</w:t>
      </w:r>
      <w:bookmarkEnd w:id="22"/>
      <w:bookmarkEnd w:id="23"/>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eastAsia="仿宋_GB2312"/>
          <w:bCs w:val="0"/>
          <w:color w:val="000000" w:themeColor="text1"/>
          <w:sz w:val="28"/>
          <w14:textFill>
            <w14:solidFill>
              <w14:schemeClr w14:val="tx1"/>
            </w14:solidFill>
          </w14:textFill>
        </w:rPr>
      </w:pPr>
      <w:r>
        <w:rPr>
          <w:rFonts w:eastAsia="仿宋_GB2312"/>
          <w:bCs w:val="0"/>
          <w:color w:val="000000" w:themeColor="text1"/>
          <w:sz w:val="28"/>
          <w14:textFill>
            <w14:solidFill>
              <w14:schemeClr w14:val="tx1"/>
            </w14:solidFill>
          </w14:textFill>
        </w:rPr>
        <w:t>3.1.1</w:t>
      </w:r>
      <w:bookmarkStart w:id="24" w:name="_Toc233032161"/>
      <w:bookmarkStart w:id="25" w:name="_Toc234532075"/>
      <w:r>
        <w:rPr>
          <w:rFonts w:hint="eastAsia" w:ascii="黑体" w:hAnsi="黑体" w:eastAsia="黑体" w:cs="黑体"/>
          <w:bCs w:val="0"/>
          <w:color w:val="000000" w:themeColor="text1"/>
          <w:sz w:val="28"/>
          <w14:textFill>
            <w14:solidFill>
              <w14:schemeClr w14:val="tx1"/>
            </w14:solidFill>
          </w14:textFill>
        </w:rPr>
        <w:t>项目名称、性质及隶属关系</w:t>
      </w:r>
      <w:bookmarkEnd w:id="24"/>
      <w:bookmarkEnd w:id="25"/>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bookmarkStart w:id="26" w:name="_Toc233032162"/>
      <w:bookmarkStart w:id="27" w:name="_Toc234532076"/>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项目名称：</w:t>
      </w:r>
      <w:r>
        <w:rPr>
          <w:rFonts w:hint="eastAsia" w:eastAsia="仿宋_GB2312"/>
          <w:color w:val="000000" w:themeColor="text1"/>
          <w:sz w:val="24"/>
          <w:lang w:eastAsia="zh-CN"/>
          <w14:textFill>
            <w14:solidFill>
              <w14:schemeClr w14:val="tx1"/>
            </w14:solidFill>
          </w14:textFill>
        </w:rPr>
        <w:t>新疆克孜河大桥渠首除险加固工程</w:t>
      </w:r>
      <w:r>
        <w:rPr>
          <w:rFonts w:eastAsia="仿宋_GB2312"/>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项目性质：</w:t>
      </w:r>
      <w:r>
        <w:rPr>
          <w:rFonts w:hint="eastAsia" w:eastAsia="仿宋_GB2312"/>
          <w:color w:val="000000" w:themeColor="text1"/>
          <w:sz w:val="24"/>
          <w:lang w:eastAsia="zh-CN"/>
          <w14:textFill>
            <w14:solidFill>
              <w14:schemeClr w14:val="tx1"/>
            </w14:solidFill>
          </w14:textFill>
        </w:rPr>
        <w:t>该工程</w:t>
      </w:r>
      <w:r>
        <w:rPr>
          <w:rFonts w:hint="eastAsia" w:eastAsia="仿宋_GB2312"/>
          <w:color w:val="000000" w:themeColor="text1"/>
          <w:sz w:val="24"/>
          <w14:textFill>
            <w14:solidFill>
              <w14:schemeClr w14:val="tx1"/>
            </w14:solidFill>
          </w14:textFill>
        </w:rPr>
        <w:t>建设性质为</w:t>
      </w:r>
      <w:r>
        <w:rPr>
          <w:rFonts w:hint="eastAsia" w:eastAsia="仿宋_GB2312"/>
          <w:color w:val="000000" w:themeColor="text1"/>
          <w:sz w:val="24"/>
          <w:lang w:val="en-US" w:eastAsia="zh-CN"/>
          <w14:textFill>
            <w14:solidFill>
              <w14:schemeClr w14:val="tx1"/>
            </w14:solidFill>
          </w14:textFill>
        </w:rPr>
        <w:t>加固</w:t>
      </w:r>
      <w:r>
        <w:rPr>
          <w:rFonts w:hint="eastAsia" w:eastAsia="仿宋_GB2312"/>
          <w:color w:val="000000" w:themeColor="text1"/>
          <w:sz w:val="24"/>
          <w:lang w:eastAsia="zh-CN"/>
          <w14:textFill>
            <w14:solidFill>
              <w14:schemeClr w14:val="tx1"/>
            </w14:solidFill>
          </w14:textFill>
        </w:rPr>
        <w:t>水利设施类项目</w:t>
      </w:r>
      <w:r>
        <w:rPr>
          <w:rFonts w:hint="eastAsia" w:eastAsia="仿宋_GB2312"/>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val="vi-VN"/>
          <w14:textFill>
            <w14:solidFill>
              <w14:schemeClr w14:val="tx1"/>
            </w14:solidFill>
          </w14:textFill>
        </w:rPr>
      </w:pPr>
      <w:r>
        <w:rPr>
          <w:rFonts w:hint="eastAsia" w:eastAsia="仿宋_GB2312"/>
          <w:color w:val="000000" w:themeColor="text1"/>
          <w:sz w:val="24"/>
          <w14:textFill>
            <w14:solidFill>
              <w14:schemeClr w14:val="tx1"/>
            </w14:solidFill>
          </w14:textFill>
        </w:rPr>
        <w:t>c</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建设单位：</w:t>
      </w:r>
      <w:r>
        <w:rPr>
          <w:rFonts w:hint="eastAsia" w:eastAsia="仿宋_GB2312"/>
          <w:color w:val="000000" w:themeColor="text1"/>
          <w:sz w:val="24"/>
          <w:lang w:val="vi-VN"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val="vi-VN"/>
          <w14:textFill>
            <w14:solidFill>
              <w14:schemeClr w14:val="tx1"/>
            </w14:solidFill>
          </w14:textFill>
        </w:rPr>
      </w:pPr>
      <w:r>
        <w:rPr>
          <w:rFonts w:hint="eastAsia" w:eastAsia="仿宋_GB2312"/>
          <w:color w:val="000000" w:themeColor="text1"/>
          <w:sz w:val="24"/>
          <w14:textFill>
            <w14:solidFill>
              <w14:schemeClr w14:val="tx1"/>
            </w14:solidFill>
          </w14:textFill>
        </w:rPr>
        <w:t>d</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建设地点：</w:t>
      </w:r>
      <w:r>
        <w:rPr>
          <w:rFonts w:hint="eastAsia" w:eastAsia="仿宋_GB2312"/>
          <w:color w:val="000000" w:themeColor="text1"/>
          <w:sz w:val="24"/>
          <w:lang w:eastAsia="zh-CN"/>
          <w14:textFill>
            <w14:solidFill>
              <w14:schemeClr w14:val="tx1"/>
            </w14:solidFill>
          </w14:textFill>
        </w:rPr>
        <w:t>新疆喀什地区喀什市、疏勒县、疏附县境内</w:t>
      </w:r>
      <w:r>
        <w:rPr>
          <w:rFonts w:hint="eastAsia" w:eastAsia="仿宋_GB2312"/>
          <w:color w:val="000000" w:themeColor="text1"/>
          <w:sz w:val="24"/>
          <w14:textFill>
            <w14:solidFill>
              <w14:schemeClr w14:val="tx1"/>
            </w14:solidFill>
          </w14:textFill>
        </w:rPr>
        <w:t>。</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eastAsia="仿宋_GB2312"/>
          <w:color w:val="000000" w:themeColor="text1"/>
          <w:sz w:val="24"/>
          <w:lang w:eastAsia="zh-CN"/>
          <w14:textFill>
            <w14:solidFill>
              <w14:schemeClr w14:val="tx1"/>
            </w14:solidFill>
          </w14:textFill>
        </w:rPr>
      </w:pPr>
      <w:bookmarkStart w:id="28" w:name="_Toc233032163"/>
      <w:bookmarkStart w:id="29" w:name="_Toc234532077"/>
      <w:r>
        <w:rPr>
          <w:rFonts w:eastAsia="仿宋_GB2312"/>
          <w:bCs w:val="0"/>
          <w:color w:val="000000" w:themeColor="text1"/>
          <w:sz w:val="28"/>
          <w14:textFill>
            <w14:solidFill>
              <w14:schemeClr w14:val="tx1"/>
            </w14:solidFill>
          </w14:textFill>
        </w:rPr>
        <w:t>3.1.</w:t>
      </w:r>
      <w:r>
        <w:rPr>
          <w:rFonts w:hint="eastAsia" w:eastAsia="仿宋_GB2312"/>
          <w:bCs w:val="0"/>
          <w:color w:val="000000" w:themeColor="text1"/>
          <w:sz w:val="28"/>
          <w14:textFill>
            <w14:solidFill>
              <w14:schemeClr w14:val="tx1"/>
            </w14:solidFill>
          </w14:textFill>
        </w:rPr>
        <w:t>2</w:t>
      </w:r>
      <w:r>
        <w:rPr>
          <w:rFonts w:hint="eastAsia" w:ascii="黑体" w:hAnsi="黑体" w:eastAsia="黑体" w:cs="黑体"/>
          <w:bCs w:val="0"/>
          <w:color w:val="000000" w:themeColor="text1"/>
          <w:sz w:val="28"/>
          <w14:textFill>
            <w14:solidFill>
              <w14:schemeClr w14:val="tx1"/>
            </w14:solidFill>
          </w14:textFill>
        </w:rPr>
        <w:t>工程简介</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default"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lang w:val="en-US" w:eastAsia="zh-CN"/>
          <w14:textFill>
            <w14:solidFill>
              <w14:schemeClr w14:val="tx1"/>
            </w14:solidFill>
          </w14:textFill>
        </w:rPr>
        <w:t>主要任务是</w:t>
      </w:r>
      <w:r>
        <w:rPr>
          <w:rFonts w:hint="eastAsia" w:eastAsia="仿宋_GB2312"/>
          <w:color w:val="000000" w:themeColor="text1"/>
          <w:sz w:val="24"/>
          <w:lang w:eastAsia="zh-CN"/>
          <w14:textFill>
            <w14:solidFill>
              <w14:schemeClr w14:val="tx1"/>
            </w14:solidFill>
          </w14:textFill>
        </w:rPr>
        <w:t>对渠首进水闸、泄洪冲砂闸底板、闸墩进行加固处理，上部结构中工作桥重建，并在工作桥上设闸房，泄洪闸上游右岸导流堤、护坦、海漫、防冲槽及下游 导流堤重建，引克济勒渠进水闸新建消力池、海漫、扭面及渠道衬砌300m，拆除重建南岸干渠进水闸后消力池、直墙连接段、交通桥、扭面连接段及渠道衬砌 300m，更新配套闸门、启闭机，新增电气设备及闸门监测视频系统</w:t>
      </w:r>
      <w:r>
        <w:rPr>
          <w:rFonts w:hint="eastAsia" w:eastAsia="仿宋_GB2312"/>
          <w:color w:val="000000" w:themeColor="text1"/>
          <w:sz w:val="24"/>
          <w:lang w:val="en-US" w:eastAsia="zh-CN"/>
          <w14:textFill>
            <w14:solidFill>
              <w14:schemeClr w14:val="tx1"/>
            </w14:solidFill>
          </w14:textFill>
        </w:rPr>
        <w:t>。本项目概算总金额5380.74万元。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本项目所经地区属于喀什经济发达地带，公路交通也相对发达，</w:t>
      </w:r>
      <w:r>
        <w:rPr>
          <w:rFonts w:hint="eastAsia" w:eastAsia="仿宋_GB2312" w:cs="Times New Roman"/>
          <w:color w:val="000000" w:themeColor="text1"/>
          <w:sz w:val="24"/>
          <w:szCs w:val="24"/>
          <w:highlight w:val="none"/>
          <w:lang w:val="en-US" w:eastAsia="zh-CN"/>
          <w14:textFill>
            <w14:solidFill>
              <w14:schemeClr w14:val="tx1"/>
            </w14:solidFill>
          </w14:textFill>
        </w:rPr>
        <w:t>与本项目相邻的公路主要有G315、G314等</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可依托既有公路路网进行运输</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工程区周边有柏油路通过</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，交通便利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项目设置临时用地</w:t>
      </w:r>
      <w:r>
        <w:rPr>
          <w:rFonts w:hint="eastAsia" w:eastAsia="仿宋_GB2312" w:cs="Times New Roman"/>
          <w:color w:val="000000" w:themeColor="text1"/>
          <w:sz w:val="24"/>
          <w:szCs w:val="24"/>
          <w:highlight w:val="none"/>
          <w:lang w:val="en-US" w:eastAsia="zh-CN"/>
          <w14:textFill>
            <w14:solidFill>
              <w14:schemeClr w14:val="tx1"/>
            </w14:solidFill>
          </w14:textFill>
        </w:rPr>
        <w:t>9宗</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其中喀什市境内4宗、疏附县境内3宗、疏勒县境内2宗</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Times New Roman" w:hAnsi="Times New Roman" w:eastAsia="仿宋_GB2312" w:cs="Times New Roman"/>
          <w:bCs/>
          <w:color w:val="000000" w:themeColor="text1"/>
          <w:sz w:val="24"/>
          <w:lang w:eastAsia="zh-CN"/>
          <w14:textFill>
            <w14:solidFill>
              <w14:schemeClr w14:val="tx1"/>
            </w14:solidFill>
          </w14:textFill>
        </w:rPr>
      </w:pPr>
      <w:r>
        <w:rPr>
          <w:rFonts w:eastAsia="仿宋_GB2312"/>
          <w:bCs w:val="0"/>
          <w:color w:val="000000" w:themeColor="text1"/>
          <w:sz w:val="28"/>
          <w14:textFill>
            <w14:solidFill>
              <w14:schemeClr w14:val="tx1"/>
            </w14:solidFill>
          </w14:textFill>
        </w:rPr>
        <w:t>3.1.</w:t>
      </w:r>
      <w:r>
        <w:rPr>
          <w:rFonts w:hint="eastAsia" w:eastAsia="仿宋_GB2312"/>
          <w:bCs w:val="0"/>
          <w:color w:val="000000" w:themeColor="text1"/>
          <w:sz w:val="28"/>
          <w:lang w:val="en-US" w:eastAsia="zh-CN"/>
          <w14:textFill>
            <w14:solidFill>
              <w14:schemeClr w14:val="tx1"/>
            </w14:solidFill>
          </w14:textFill>
        </w:rPr>
        <w:t>3</w:t>
      </w:r>
      <w:r>
        <w:rPr>
          <w:rFonts w:hint="eastAsia" w:ascii="黑体" w:hAnsi="黑体" w:eastAsia="黑体" w:cs="黑体"/>
          <w:bCs/>
          <w:color w:val="000000" w:themeColor="text1"/>
          <w:sz w:val="28"/>
          <w:lang w:eastAsia="zh-CN"/>
          <w14:textFill>
            <w14:solidFill>
              <w14:schemeClr w14:val="tx1"/>
            </w14:solidFill>
          </w14:textFill>
        </w:rPr>
        <w:t>项目总体布置</w:t>
      </w:r>
    </w:p>
    <w:bookmarkEnd w:id="28"/>
    <w:bookmarkEnd w:id="29"/>
    <w:p>
      <w:pPr>
        <w:keepNext w:val="0"/>
        <w:keepLines w:val="0"/>
        <w:pageBreakBefore w:val="0"/>
        <w:widowControl w:val="0"/>
        <w:kinsoku/>
        <w:wordWrap/>
        <w:overflowPunct/>
        <w:topLinePunct w:val="0"/>
        <w:autoSpaceDE/>
        <w:autoSpaceDN/>
        <w:bidi w:val="0"/>
        <w:adjustRightInd w:val="0"/>
        <w:snapToGrid w:val="0"/>
        <w:spacing w:beforeLines="-2147483648" w:afterLines="-2147483648"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本项目由主体工程及临时用地组成。</w:t>
      </w:r>
    </w:p>
    <w:p>
      <w:pPr>
        <w:keepNext w:val="0"/>
        <w:keepLines w:val="0"/>
        <w:pageBreakBefore w:val="0"/>
        <w:widowControl w:val="0"/>
        <w:kinsoku/>
        <w:wordWrap/>
        <w:overflowPunct/>
        <w:topLinePunct w:val="0"/>
        <w:autoSpaceDE/>
        <w:autoSpaceDN/>
        <w:bidi w:val="0"/>
        <w:adjustRightInd w:val="0"/>
        <w:snapToGrid w:val="0"/>
        <w:spacing w:beforeLines="-2147483648" w:afterLines="-2147483648"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a）主体工程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bookmarkStart w:id="30" w:name="_Toc76692115"/>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1、工程任务</w:t>
      </w:r>
      <w:bookmarkEnd w:id="3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对渠首进水闸、泄洪冲砂闸底板、闸墩进行加固处理，上部结构中工作桥重建，并在工作桥上设闸房，泄洪闸上游右岸导流堤、护坦、海漫、防冲槽及下游 导流堤重建，引克济勒渠进水闸新建消力池、海漫、扭面及渠道衬砌300m，拆除重建南岸干渠进水闸后消力池、直墙连接段、交通桥、扭面连接段及渠道衬砌 300m，更新配套闸门、启闭机，新增电气设备及闸门监测视频系统</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bookmarkStart w:id="31" w:name="_Toc76692116"/>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2、工程规模</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克孜河南岸干渠校核引水流量为48立方米/秒;引克济勒抗旱渠进水闸引水流量为15立方米/秒;校核对应最大洪峰流量100立方米/秒。工程等别为IⅢ等，规模为中型，主要建筑物级别为3级，次要建筑物为4级，临时建筑物为5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bookmarkStart w:id="32" w:name="_Toc76692117"/>
      <w:bookmarkStart w:id="33" w:name="_Toc76937002"/>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3、工程设计</w:t>
      </w:r>
      <w:bookmarkEnd w:id="32"/>
      <w:bookmarkEnd w:id="3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1</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闸室补强加固，上游铺盖维修并加长，下游消力池维修。闸室先将表层砼凿除，底板补强厚度为0.2m，闸墩补强厚度为0.25m，对闸室牛腿进行砼加固处理。底板及闸墩下部0.75m补强材料采用C60F350W8硅粉砼，闸墩上部补强及牛腿加固采用C45F350W8砼。上游闸前铺盖现状为浆砌石结构，宽54m，长15m，厚0.5m，底板高程为1274.61m，采用现浇砼加高至1274.81m，铺盖前增设20m铺盖，铺盖前新建斜板式基础防冲深度4m。泄洪闸后保留消力池底板及边墙等部位砼脱落厚度小于3cm，采用薄层环氧砂浆作为补强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泄洪闸海漫拆除改建为消力池，拆除海漫段作为重建消力池的斜坡段，长度为31m，新建长15m深1.0m的水平消力池。消力池边墙为重力式挡土墙，消力池出口高程为1271.46m，消力池采用C45F350W8现浇砼。保留现有梢捆，将现有河道缩窄，河底和河坎采用格宾石笼防护，防护长度为55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3</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拆除重建闸室上部结构，重建交通桥、检修桥、排架及工作桥台，并新增闸房。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4</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在南岸干渠进水闸和引克济勒渠进水闸前设拦沙坎坎高0.75m，坎顶宽度0.3m，坎顶高程1275.56m。重建引克济勒渠进水闸后直墙段及扭面连接段、重建南岸干渠进水闸后消力池边墙及连接段。引克济勒渠进水闸后重建消力池，池长15.2m，池深0.7m，池底高程为1274.42m，末端增设15.7m弧形连接段与15米扭面连接段，扭面末端与改建渠道连接，扭面末端设置重力式防冲墙。重建南岸干渠进水闸后消力池，将折线型改建为弧形连接段，改建后消力池长24.1m，池底高程为1275.83m，消力池后设连接段，长21.4m，连接段接改建交通桥，桥后通过20m扭面与渠道相接，扭面末端设置重力式防冲墙。混凝土等级采用C45F350W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5</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改建上游右岸导流堤93m，拆除改建上游左岸导流堤约36m，下游两岸不设导流堤。上游堤顶宽6m，高3.8m，基础下深4.0m，坡脚处设1m*1m阻滑墙。迎水面河床以上护坡坡比1：1.75，河床以下护坡坡比1：1.75，背水面坡比为1：1.75、现浇砼护坡板厚20cm，砼板下设厚50~80cm砂砾石渐变垫层。上游导流堤堤顶铺设砂砾石路面，厚度0.3m，下设SNG-PET-15-6涤纶短纤针刺非织造土工布。混凝土等级采用C45F350W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6</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地基液化处理：上游铺盖、下游消力池及闸室两侧基础新增地震液化围封处理方案。采用高压旋喷灌浆防渗墙围封防地震液化处理，沿上游铺盖、下游消力池及闸室两侧边缘线布置，距离建筑物基础边缘1~2m，底部伸入非液化土层1.0m，单排孔布置，孔距为0.6m，成墙厚度不小于0.8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7</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对闸后引克济勒渠改建300m，渠道横断面型式采用梯形断面型式，内边坡为1：2，外边坡为1：1.5，底宽为6m，渠深2.7m，渠道全断面采用23cm厚雷诺护垫衬砌。渠道边坡及底板下铺设20cm厚天然砂砾石垫层，护脚底部铺设30cm厚砂砾石垫层，下设SNG-PET-15-6涤纶短纤针刺非织造土工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8</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对闸后克孜河南岸干渠改建300m，渠道横断面型式采用梯形断面型式，内边坡为1：2.5，外边坡为1：1.5，底宽为10m，渠深3.1m，渠道全断面采用23cm厚雷诺护垫衬砌。渠道边坡及底板下铺设20cm厚天然砂砾石垫层，护脚底部铺设30cm厚砂砾石垫层。砂砾石垫层下设SNG-PET-15-6涤纶短纤针刺非织造土工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9</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增设监测设施：置闸墩表面变形监测设施，并设置渗流监测设施。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10</w:t>
      </w:r>
      <w:r>
        <w:rPr>
          <w:rFonts w:hint="eastAsia"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闸室外围新增高压旋喷桩处理闸室地震液化，旋喷桩直径为0.6m，旋喷桩伸入粘土层1.0m，即处理至1270.14m</w:t>
      </w:r>
      <w:r>
        <w:rPr>
          <w:rFonts w:hint="eastAsia" w:eastAsia="仿宋_GB2312"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根据地质资料，大桥渠地表水对砼结构弱-强腐蚀；泉水对砼结构强腐蚀，地下水对砼结构有强腐蚀；地基土对砼结构有中等-强腐蚀。本次改建于水、土接触部位砼均采用抗硫水泥，其余部位采用普硅水泥。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bookmarkStart w:id="34" w:name="_Toc76692118"/>
      <w:bookmarkStart w:id="35" w:name="_Toc76937003"/>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4、金属结构</w:t>
      </w:r>
      <w:bookmarkEnd w:id="34"/>
      <w:bookmarkEnd w:id="3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根据本工程的布置形式，金属结构设备主要布置在泄洪冲砂闸、进水闸处，共7孔。其中弧形工作钢闸门7扇，检修闸门2扇，启闭设备为QH-2×80KN-8m固定卷扬式弧门启闭机7台，电动葫芦2台，闸门门叶总重约46.25t，埋件总重约8.84t，本工程金属结构总耗钢量约为55.27t。</w:t>
      </w:r>
    </w:p>
    <w:bookmarkEnd w:id="26"/>
    <w:bookmarkEnd w:id="27"/>
    <w:p>
      <w:pPr>
        <w:pStyle w:val="6"/>
        <w:pageBreakBefore w:val="0"/>
        <w:widowControl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r>
        <w:rPr>
          <w:rFonts w:hint="eastAsia" w:eastAsia="黑体"/>
          <w:color w:val="000000" w:themeColor="text1"/>
          <w:sz w:val="28"/>
          <w14:textFill>
            <w14:solidFill>
              <w14:schemeClr w14:val="tx1"/>
            </w14:solidFill>
          </w14:textFill>
        </w:rPr>
        <w:t>3.1.</w:t>
      </w:r>
      <w:r>
        <w:rPr>
          <w:rFonts w:hint="eastAsia" w:eastAsia="黑体"/>
          <w:color w:val="000000" w:themeColor="text1"/>
          <w:sz w:val="28"/>
          <w:lang w:val="en-US" w:eastAsia="zh-CN"/>
          <w14:textFill>
            <w14:solidFill>
              <w14:schemeClr w14:val="tx1"/>
            </w14:solidFill>
          </w14:textFill>
        </w:rPr>
        <w:t>4</w:t>
      </w:r>
      <w:r>
        <w:rPr>
          <w:rFonts w:hint="eastAsia" w:eastAsia="黑体"/>
          <w:color w:val="000000" w:themeColor="text1"/>
          <w:sz w:val="28"/>
          <w:lang w:eastAsia="zh-CN"/>
          <w14:textFill>
            <w14:solidFill>
              <w14:schemeClr w14:val="tx1"/>
            </w14:solidFill>
          </w14:textFill>
        </w:rPr>
        <w:t>临时</w:t>
      </w:r>
      <w:r>
        <w:rPr>
          <w:rFonts w:hint="eastAsia" w:ascii="黑体" w:hAnsi="黑体" w:eastAsia="黑体" w:cs="黑体"/>
          <w:color w:val="000000" w:themeColor="text1"/>
          <w:sz w:val="28"/>
          <w14:textFill>
            <w14:solidFill>
              <w14:schemeClr w14:val="tx1"/>
            </w14:solidFill>
          </w14:textFill>
        </w:rPr>
        <w:t>占地</w:t>
      </w:r>
      <w:r>
        <w:rPr>
          <w:rFonts w:hint="eastAsia" w:ascii="黑体" w:hAnsi="黑体" w:eastAsia="黑体" w:cs="黑体"/>
          <w:color w:val="000000" w:themeColor="text1"/>
          <w:sz w:val="28"/>
          <w:lang w:eastAsia="zh-CN"/>
          <w14:textFill>
            <w14:solidFill>
              <w14:schemeClr w14:val="tx1"/>
            </w14:solidFill>
          </w14:textFill>
        </w:rPr>
        <w:t>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eastAsia="仿宋_GB2312"/>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据</w:t>
      </w:r>
      <w:r>
        <w:rPr>
          <w:rFonts w:hint="eastAsia" w:ascii="Times New Roman" w:hAnsi="Times New Roman" w:eastAsia="仿宋_GB2312" w:cs="Times New Roman"/>
          <w:color w:val="000000" w:themeColor="text1"/>
          <w:sz w:val="24"/>
          <w:lang w:eastAsia="zh-CN"/>
          <w14:textFill>
            <w14:solidFill>
              <w14:schemeClr w14:val="tx1"/>
            </w14:solidFill>
          </w14:textFill>
        </w:rPr>
        <w:t>第三次全国土地调查成果，该项</w:t>
      </w:r>
      <w:r>
        <w:rPr>
          <w:rFonts w:hint="eastAsia" w:eastAsia="仿宋_GB2312"/>
          <w:color w:val="000000" w:themeColor="text1"/>
          <w:sz w:val="24"/>
          <w:lang w:eastAsia="zh-CN"/>
          <w14:textFill>
            <w14:solidFill>
              <w14:schemeClr w14:val="tx1"/>
            </w14:solidFill>
          </w14:textFill>
        </w:rPr>
        <w:t>目材料堆场、制梁厂、施工驻地</w:t>
      </w:r>
      <w:r>
        <w:rPr>
          <w:rFonts w:hint="eastAsia" w:eastAsia="仿宋_GB2312"/>
          <w:color w:val="000000" w:themeColor="text1"/>
          <w:sz w:val="24"/>
          <w14:textFill>
            <w14:solidFill>
              <w14:schemeClr w14:val="tx1"/>
            </w14:solidFill>
          </w14:textFill>
        </w:rPr>
        <w:t>临时占地总面积为</w:t>
      </w:r>
      <w:r>
        <w:rPr>
          <w:rFonts w:hint="eastAsia" w:eastAsia="仿宋_GB2312"/>
          <w:color w:val="000000" w:themeColor="text1"/>
          <w:sz w:val="24"/>
          <w:lang w:val="en-US" w:eastAsia="zh-CN"/>
          <w14:textFill>
            <w14:solidFill>
              <w14:schemeClr w14:val="tx1"/>
            </w14:solidFill>
          </w14:textFill>
        </w:rPr>
        <w:t>8.0492</w:t>
      </w:r>
      <w:r>
        <w:rPr>
          <w:rFonts w:hint="eastAsia" w:eastAsia="仿宋_GB2312"/>
          <w:color w:val="000000" w:themeColor="text1"/>
          <w:sz w:val="24"/>
          <w:lang w:eastAsia="zh-CN"/>
          <w14:textFill>
            <w14:solidFill>
              <w14:schemeClr w14:val="tx1"/>
            </w14:solidFill>
          </w14:textFill>
        </w:rPr>
        <w:t>hm</w:t>
      </w:r>
      <w:r>
        <w:rPr>
          <w:rFonts w:hint="eastAsia" w:eastAsia="仿宋_GB2312"/>
          <w:color w:val="000000" w:themeColor="text1"/>
          <w:sz w:val="24"/>
          <w:vertAlign w:val="superscript"/>
          <w:lang w:eastAsia="zh-CN"/>
          <w14:textFill>
            <w14:solidFill>
              <w14:schemeClr w14:val="tx1"/>
            </w14:solidFill>
          </w14:textFill>
        </w:rPr>
        <w:t>2</w:t>
      </w:r>
      <w:r>
        <w:rPr>
          <w:rFonts w:hint="eastAsia"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该</w:t>
      </w:r>
      <w:r>
        <w:rPr>
          <w:rFonts w:eastAsia="仿宋_GB2312"/>
          <w:color w:val="000000" w:themeColor="text1"/>
          <w:sz w:val="24"/>
          <w14:textFill>
            <w14:solidFill>
              <w14:schemeClr w14:val="tx1"/>
            </w14:solidFill>
          </w14:textFill>
        </w:rPr>
        <w:t>临时占地按照权属及用地类型进行分类统计面积见表3</w:t>
      </w:r>
      <w:r>
        <w:rPr>
          <w:rFonts w:hint="eastAsia" w:eastAsia="仿宋_GB2312"/>
          <w:color w:val="000000" w:themeColor="text1"/>
          <w:sz w:val="24"/>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1，临时用地坐标见表3-2</w:t>
      </w:r>
      <w:r>
        <w:rPr>
          <w:rFonts w:eastAsia="仿宋_GB2312"/>
          <w:color w:val="000000" w:themeColor="text1"/>
          <w:sz w:val="24"/>
          <w14:textFill>
            <w14:solidFill>
              <w14:schemeClr w14:val="tx1"/>
            </w14:solidFill>
          </w14:textFill>
        </w:rPr>
        <w:t>：</w:t>
      </w:r>
    </w:p>
    <w:p>
      <w:pPr>
        <w:jc w:val="center"/>
        <w:rPr>
          <w:rFonts w:ascii="黑体" w:hAnsi="黑体" w:eastAsia="黑体"/>
          <w:color w:val="000000" w:themeColor="text1"/>
          <w:kern w:val="0"/>
          <w:szCs w:val="21"/>
          <w14:textFill>
            <w14:solidFill>
              <w14:schemeClr w14:val="tx1"/>
            </w14:solidFill>
          </w14:textFill>
        </w:rPr>
        <w:sectPr>
          <w:headerReference r:id="rId5" w:type="default"/>
          <w:footerReference r:id="rId6"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p>
    <w:p>
      <w:pPr>
        <w:jc w:val="center"/>
        <w:rPr>
          <w:rFonts w:eastAsia="黑体"/>
          <w:color w:val="000000" w:themeColor="text1"/>
          <w:kern w:val="0"/>
          <w:szCs w:val="21"/>
          <w:vertAlign w:val="superscript"/>
          <w14:textFill>
            <w14:solidFill>
              <w14:schemeClr w14:val="tx1"/>
            </w14:solidFill>
          </w14:textFill>
        </w:rPr>
      </w:pPr>
      <w:r>
        <w:rPr>
          <w:rFonts w:ascii="黑体" w:hAnsi="黑体" w:eastAsia="黑体"/>
          <w:color w:val="000000" w:themeColor="text1"/>
          <w:kern w:val="0"/>
          <w:szCs w:val="21"/>
          <w14:textFill>
            <w14:solidFill>
              <w14:schemeClr w14:val="tx1"/>
            </w14:solidFill>
          </w14:textFill>
        </w:rPr>
        <w:t>表3</w:t>
      </w:r>
      <w:r>
        <w:rPr>
          <w:rFonts w:hint="eastAsia" w:ascii="黑体" w:hAnsi="黑体" w:eastAsia="黑体"/>
          <w:color w:val="000000" w:themeColor="text1"/>
          <w:kern w:val="0"/>
          <w:szCs w:val="21"/>
          <w14:textFill>
            <w14:solidFill>
              <w14:schemeClr w14:val="tx1"/>
            </w14:solidFill>
          </w14:textFill>
        </w:rPr>
        <w:t>-</w:t>
      </w:r>
      <w:r>
        <w:rPr>
          <w:rFonts w:hint="eastAsia" w:ascii="黑体" w:hAnsi="黑体" w:eastAsia="黑体"/>
          <w:color w:val="000000" w:themeColor="text1"/>
          <w:kern w:val="0"/>
          <w:szCs w:val="21"/>
          <w:lang w:val="en-US" w:eastAsia="zh-CN"/>
          <w14:textFill>
            <w14:solidFill>
              <w14:schemeClr w14:val="tx1"/>
            </w14:solidFill>
          </w14:textFill>
        </w:rPr>
        <w:t>1</w:t>
      </w:r>
      <w:r>
        <w:rPr>
          <w:rFonts w:ascii="黑体" w:hAnsi="黑体" w:eastAsia="黑体"/>
          <w:color w:val="000000" w:themeColor="text1"/>
          <w:kern w:val="0"/>
          <w:szCs w:val="21"/>
          <w14:textFill>
            <w14:solidFill>
              <w14:schemeClr w14:val="tx1"/>
            </w14:solidFill>
          </w14:textFill>
        </w:rPr>
        <w:t xml:space="preserve"> 临时工程占地情况一览表     </w:t>
      </w:r>
      <w:r>
        <w:rPr>
          <w:rFonts w:hint="eastAsia" w:ascii="黑体" w:hAnsi="黑体" w:eastAsia="黑体"/>
          <w:color w:val="000000" w:themeColor="text1"/>
          <w:kern w:val="0"/>
          <w:szCs w:val="21"/>
          <w:lang w:val="en-US" w:eastAsia="zh-CN"/>
          <w14:textFill>
            <w14:solidFill>
              <w14:schemeClr w14:val="tx1"/>
            </w14:solidFill>
          </w14:textFill>
        </w:rPr>
        <w:t xml:space="preserve">   </w:t>
      </w:r>
      <w:r>
        <w:rPr>
          <w:rFonts w:ascii="黑体" w:hAnsi="黑体" w:eastAsia="黑体"/>
          <w:color w:val="000000" w:themeColor="text1"/>
          <w:kern w:val="0"/>
          <w:szCs w:val="21"/>
          <w14:textFill>
            <w14:solidFill>
              <w14:schemeClr w14:val="tx1"/>
            </w14:solidFill>
          </w14:textFill>
        </w:rPr>
        <w:t xml:space="preserve">   </w:t>
      </w:r>
      <w:r>
        <w:rPr>
          <w:rFonts w:hint="eastAsia" w:ascii="黑体" w:hAnsi="黑体" w:eastAsia="黑体"/>
          <w:color w:val="000000" w:themeColor="text1"/>
          <w:kern w:val="0"/>
          <w:szCs w:val="21"/>
          <w14:textFill>
            <w14:solidFill>
              <w14:schemeClr w14:val="tx1"/>
            </w14:solidFill>
          </w14:textFill>
        </w:rPr>
        <w:t xml:space="preserve">        </w:t>
      </w:r>
      <w:r>
        <w:rPr>
          <w:rFonts w:eastAsia="黑体"/>
          <w:color w:val="000000" w:themeColor="text1"/>
          <w:kern w:val="0"/>
          <w:szCs w:val="21"/>
          <w14:textFill>
            <w14:solidFill>
              <w14:schemeClr w14:val="tx1"/>
            </w14:solidFill>
          </w14:textFill>
        </w:rPr>
        <w:t xml:space="preserve"> 单位：hm</w:t>
      </w:r>
      <w:r>
        <w:rPr>
          <w:rFonts w:eastAsia="黑体"/>
          <w:color w:val="000000" w:themeColor="text1"/>
          <w:kern w:val="0"/>
          <w:szCs w:val="21"/>
          <w:vertAlign w:val="superscript"/>
          <w14:textFill>
            <w14:solidFill>
              <w14:schemeClr w14:val="tx1"/>
            </w14:solidFill>
          </w14:textFill>
        </w:rPr>
        <w:t>2</w:t>
      </w:r>
    </w:p>
    <w:tbl>
      <w:tblPr>
        <w:tblStyle w:val="20"/>
        <w:tblW w:w="1417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0"/>
        <w:gridCol w:w="1069"/>
        <w:gridCol w:w="1078"/>
        <w:gridCol w:w="1434"/>
        <w:gridCol w:w="1003"/>
        <w:gridCol w:w="1060"/>
        <w:gridCol w:w="1171"/>
        <w:gridCol w:w="1109"/>
        <w:gridCol w:w="1038"/>
        <w:gridCol w:w="1022"/>
        <w:gridCol w:w="956"/>
        <w:gridCol w:w="854"/>
        <w:gridCol w:w="1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37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占地区域</w:t>
            </w:r>
          </w:p>
        </w:tc>
        <w:tc>
          <w:tcPr>
            <w:tcW w:w="2147" w:type="dxa"/>
            <w:gridSpan w:val="2"/>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权属</w:t>
            </w:r>
          </w:p>
        </w:tc>
        <w:tc>
          <w:tcPr>
            <w:tcW w:w="9647" w:type="dxa"/>
            <w:gridSpan w:val="9"/>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地类</w:t>
            </w:r>
          </w:p>
        </w:tc>
        <w:tc>
          <w:tcPr>
            <w:tcW w:w="1010"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37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权属单位</w:t>
            </w:r>
          </w:p>
        </w:tc>
        <w:tc>
          <w:tcPr>
            <w:tcW w:w="107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权属性质</w:t>
            </w:r>
          </w:p>
        </w:tc>
        <w:tc>
          <w:tcPr>
            <w:tcW w:w="143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水浇地（0102）</w:t>
            </w:r>
          </w:p>
        </w:tc>
        <w:tc>
          <w:tcPr>
            <w:tcW w:w="100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果园（0201）</w:t>
            </w:r>
          </w:p>
        </w:tc>
        <w:tc>
          <w:tcPr>
            <w:tcW w:w="10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灌木林地（0305）</w:t>
            </w:r>
          </w:p>
        </w:tc>
        <w:tc>
          <w:tcPr>
            <w:tcW w:w="117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农村宅基地（0702）</w:t>
            </w:r>
          </w:p>
        </w:tc>
        <w:tc>
          <w:tcPr>
            <w:tcW w:w="110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公路用地（1003）</w:t>
            </w:r>
          </w:p>
        </w:tc>
        <w:tc>
          <w:tcPr>
            <w:tcW w:w="103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农村道路（1006）</w:t>
            </w:r>
          </w:p>
        </w:tc>
        <w:tc>
          <w:tcPr>
            <w:tcW w:w="102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河流水面（1101）</w:t>
            </w:r>
          </w:p>
        </w:tc>
        <w:tc>
          <w:tcPr>
            <w:tcW w:w="95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坑塘水面（1104）</w:t>
            </w:r>
          </w:p>
        </w:tc>
        <w:tc>
          <w:tcPr>
            <w:tcW w:w="85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沟渠（1107）</w:t>
            </w:r>
          </w:p>
        </w:tc>
        <w:tc>
          <w:tcPr>
            <w:tcW w:w="1010"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370" w:type="dxa"/>
            <w:vMerge w:val="restart"/>
            <w:tcBorders>
              <w:top w:val="nil"/>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材料堆场、制梁厂、施工驻地</w:t>
            </w:r>
          </w:p>
        </w:tc>
        <w:tc>
          <w:tcPr>
            <w:tcW w:w="1069" w:type="dxa"/>
            <w:vMerge w:val="restart"/>
            <w:tcBorders>
              <w:top w:val="nil"/>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喀什市万克喀库拉村</w:t>
            </w: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国有</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0.0574</w:t>
            </w: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0.0021</w:t>
            </w: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0.1529</w:t>
            </w: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0.5799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1.2617</w:t>
            </w: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2.054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370" w:type="dxa"/>
            <w:vMerge w:val="continue"/>
            <w:tcBorders>
              <w:left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9" w:type="dxa"/>
            <w:vMerge w:val="continue"/>
            <w:tcBorders>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集体</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0.0250</w:t>
            </w: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0.019</w:t>
            </w: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0.0155</w:t>
            </w: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70" w:type="dxa"/>
            <w:vMerge w:val="continue"/>
            <w:tcBorders>
              <w:left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喀什市尤勒古鲁克村</w:t>
            </w: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集体</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0.2717</w:t>
            </w: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0.2717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370" w:type="dxa"/>
            <w:vMerge w:val="continue"/>
            <w:tcBorders>
              <w:left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喀什市尤喀尔克喀库拉村</w:t>
            </w: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国有</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3.6564</w:t>
            </w: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3.6564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70" w:type="dxa"/>
            <w:vMerge w:val="continue"/>
            <w:tcBorders>
              <w:left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疏附县喀库拉村</w:t>
            </w: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国有</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0.0930</w:t>
            </w: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0.7050</w:t>
            </w: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0.0005</w:t>
            </w: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0.0820</w:t>
            </w: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0.3904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0.0740</w:t>
            </w: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1.3449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70" w:type="dxa"/>
            <w:vMerge w:val="continue"/>
            <w:tcBorders>
              <w:left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vMerge w:val="restart"/>
            <w:tcBorders>
              <w:top w:val="nil"/>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疏勒县坎吐曼艾力克村</w:t>
            </w: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国有</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0.0318</w:t>
            </w: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0.0112</w:t>
            </w: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0.5551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0.5981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370" w:type="dxa"/>
            <w:vMerge w:val="continue"/>
            <w:tcBorders>
              <w:left w:val="single" w:color="000000" w:sz="8" w:space="0"/>
              <w:bottom w:val="single" w:color="000000" w:sz="8" w:space="0"/>
              <w:right w:val="single" w:color="000000" w:sz="8" w:space="0"/>
            </w:tcBorders>
            <w:shd w:val="clear" w:color="auto" w:fill="auto"/>
            <w:noWrap/>
            <w:vAlign w:val="center"/>
          </w:tcPr>
          <w:p>
            <w:pPr>
              <w:jc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p>
        </w:tc>
        <w:tc>
          <w:tcPr>
            <w:tcW w:w="1069" w:type="dxa"/>
            <w:vMerge w:val="continue"/>
            <w:tcBorders>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集体</w:t>
            </w:r>
          </w:p>
        </w:tc>
        <w:tc>
          <w:tcPr>
            <w:tcW w:w="1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0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0.0601</w:t>
            </w:r>
          </w:p>
        </w:tc>
        <w:tc>
          <w:tcPr>
            <w:tcW w:w="11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0.0045</w:t>
            </w:r>
          </w:p>
        </w:tc>
        <w:tc>
          <w:tcPr>
            <w:tcW w:w="110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3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2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85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3517" w:type="dxa"/>
            <w:gridSpan w:val="3"/>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sz w:val="21"/>
                <w:szCs w:val="21"/>
                <w:u w:val="none"/>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合计</w:t>
            </w:r>
          </w:p>
        </w:tc>
        <w:tc>
          <w:tcPr>
            <w:tcW w:w="14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0.1754</w:t>
            </w:r>
          </w:p>
        </w:tc>
        <w:tc>
          <w:tcPr>
            <w:tcW w:w="100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0.705</w:t>
            </w:r>
          </w:p>
        </w:tc>
        <w:tc>
          <w:tcPr>
            <w:tcW w:w="106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0.0601</w:t>
            </w:r>
          </w:p>
        </w:tc>
        <w:tc>
          <w:tcPr>
            <w:tcW w:w="117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0.2788</w:t>
            </w:r>
          </w:p>
        </w:tc>
        <w:tc>
          <w:tcPr>
            <w:tcW w:w="110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0.0508</w:t>
            </w:r>
          </w:p>
        </w:tc>
        <w:tc>
          <w:tcPr>
            <w:tcW w:w="103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0.2616</w:t>
            </w:r>
          </w:p>
        </w:tc>
        <w:tc>
          <w:tcPr>
            <w:tcW w:w="1022"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1.5254</w:t>
            </w:r>
          </w:p>
        </w:tc>
        <w:tc>
          <w:tcPr>
            <w:tcW w:w="956"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4.9181</w:t>
            </w:r>
          </w:p>
        </w:tc>
        <w:tc>
          <w:tcPr>
            <w:tcW w:w="8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0.074</w:t>
            </w:r>
          </w:p>
        </w:tc>
        <w:tc>
          <w:tcPr>
            <w:tcW w:w="101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21"/>
                <w:szCs w:val="21"/>
                <w:u w:val="none"/>
                <w:lang w:val="en-US" w:eastAsia="zh-CN" w:bidi="ar"/>
                <w14:textFill>
                  <w14:solidFill>
                    <w14:schemeClr w14:val="tx1"/>
                  </w14:solidFill>
                </w14:textFill>
              </w:rPr>
              <w:t>8.0492</w:t>
            </w:r>
          </w:p>
        </w:tc>
      </w:tr>
    </w:tbl>
    <w:p>
      <w:pPr>
        <w:jc w:val="center"/>
        <w:rPr>
          <w:rFonts w:ascii="黑体" w:hAnsi="黑体" w:eastAsia="黑体" w:cs="Times New Roman"/>
          <w:color w:val="000000" w:themeColor="text1"/>
          <w:kern w:val="0"/>
          <w:szCs w:val="21"/>
          <w14:textFill>
            <w14:solidFill>
              <w14:schemeClr w14:val="tx1"/>
            </w14:solidFill>
          </w14:textFill>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jc w:val="center"/>
        <w:rPr>
          <w:rFonts w:hint="eastAsia" w:ascii="黑体" w:hAnsi="黑体" w:eastAsia="黑体" w:cs="Times New Roman"/>
          <w:color w:val="000000" w:themeColor="text1"/>
          <w:kern w:val="0"/>
          <w:szCs w:val="21"/>
          <w:lang w:eastAsia="zh-CN"/>
          <w14:textFill>
            <w14:solidFill>
              <w14:schemeClr w14:val="tx1"/>
            </w14:solidFill>
          </w14:textFill>
        </w:rPr>
      </w:pPr>
      <w:r>
        <w:rPr>
          <w:rFonts w:ascii="黑体" w:hAnsi="黑体" w:eastAsia="黑体" w:cs="Times New Roman"/>
          <w:color w:val="000000" w:themeColor="text1"/>
          <w:kern w:val="0"/>
          <w:szCs w:val="21"/>
          <w14:textFill>
            <w14:solidFill>
              <w14:schemeClr w14:val="tx1"/>
            </w14:solidFill>
          </w14:textFill>
        </w:rPr>
        <w:t>表3</w:t>
      </w:r>
      <w:r>
        <w:rPr>
          <w:rFonts w:hint="eastAsia" w:ascii="黑体" w:hAnsi="黑体" w:eastAsia="黑体" w:cs="Times New Roman"/>
          <w:color w:val="000000" w:themeColor="text1"/>
          <w:kern w:val="0"/>
          <w:szCs w:val="21"/>
          <w14:textFill>
            <w14:solidFill>
              <w14:schemeClr w14:val="tx1"/>
            </w14:solidFill>
          </w14:textFill>
        </w:rPr>
        <w:t>-</w:t>
      </w:r>
      <w:r>
        <w:rPr>
          <w:rFonts w:hint="eastAsia" w:ascii="黑体" w:hAnsi="黑体" w:eastAsia="黑体" w:cs="Times New Roman"/>
          <w:color w:val="000000" w:themeColor="text1"/>
          <w:kern w:val="0"/>
          <w:szCs w:val="21"/>
          <w:lang w:val="en-US" w:eastAsia="zh-CN"/>
          <w14:textFill>
            <w14:solidFill>
              <w14:schemeClr w14:val="tx1"/>
            </w14:solidFill>
          </w14:textFill>
        </w:rPr>
        <w:t>1</w:t>
      </w:r>
      <w:r>
        <w:rPr>
          <w:rFonts w:ascii="黑体" w:hAnsi="黑体" w:eastAsia="黑体" w:cs="Times New Roman"/>
          <w:color w:val="000000" w:themeColor="text1"/>
          <w:kern w:val="0"/>
          <w:szCs w:val="21"/>
          <w14:textFill>
            <w14:solidFill>
              <w14:schemeClr w14:val="tx1"/>
            </w14:solidFill>
          </w14:textFill>
        </w:rPr>
        <w:t xml:space="preserve"> 临时</w:t>
      </w:r>
      <w:r>
        <w:rPr>
          <w:rFonts w:hint="eastAsia" w:ascii="黑体" w:hAnsi="黑体" w:eastAsia="黑体" w:cs="Times New Roman"/>
          <w:color w:val="000000" w:themeColor="text1"/>
          <w:kern w:val="0"/>
          <w:szCs w:val="21"/>
          <w:lang w:val="en-US" w:eastAsia="zh-CN"/>
          <w14:textFill>
            <w14:solidFill>
              <w14:schemeClr w14:val="tx1"/>
            </w14:solidFill>
          </w14:textFill>
        </w:rPr>
        <w:t>用地拐点坐标表（CGCS2000坐标系，3°带，带号25）</w:t>
      </w:r>
    </w:p>
    <w:tbl>
      <w:tblPr>
        <w:tblStyle w:val="20"/>
        <w:tblW w:w="85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785"/>
        <w:gridCol w:w="1927"/>
        <w:gridCol w:w="1856"/>
        <w:gridCol w:w="1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jc w:val="center"/>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拐点</w:t>
            </w:r>
          </w:p>
        </w:tc>
        <w:tc>
          <w:tcPr>
            <w:tcW w:w="3712" w:type="dxa"/>
            <w:gridSpan w:val="2"/>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直角坐标</w:t>
            </w:r>
          </w:p>
        </w:tc>
        <w:tc>
          <w:tcPr>
            <w:tcW w:w="3712" w:type="dxa"/>
            <w:gridSpan w:val="2"/>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地理坐标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785"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X</w:t>
            </w:r>
          </w:p>
        </w:tc>
        <w:tc>
          <w:tcPr>
            <w:tcW w:w="1927"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Y</w:t>
            </w:r>
          </w:p>
        </w:tc>
        <w:tc>
          <w:tcPr>
            <w:tcW w:w="185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纬度</w:t>
            </w:r>
          </w:p>
        </w:tc>
        <w:tc>
          <w:tcPr>
            <w:tcW w:w="185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经度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25583476.09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4365030.97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39°24′54.18″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25583474.19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4364996.26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39°24′53.06″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25583474.93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4364952.86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39°24′51.65″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25583475.67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4364909.47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39°24′50.24″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25583479.06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4364880.90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39°24′49.31″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25583481.17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4364876.87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39°24′49.18″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25583489.22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4364875.60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39°24′49.14″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25583498.74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4364877.51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25583501.7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4364884.07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39°24′49.41″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25583498.53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4364893.81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39°24′49.73″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25583491.33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4364898.25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39°24′49.87″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25583488.37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4364901.85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39°24′49.99″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25583490.06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4364910.74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39°24′50.28″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25583490.27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4364938.26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39°24′51.17″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25583492.18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4364941.22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39°24′51.26″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25583499.8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4364942.92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39°24′51.32″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25583517.16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4364941.64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39°24′51.27″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25583533.24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4364931.70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39°24′50.94″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25583542.56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4364926.62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39°24′50.77″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25583551.45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4364921.54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39°24′50.61″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25583551.02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4364908.20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39°24′50.17″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25583550.18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4364853.17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39°24′48.39″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25583551.02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4364838.56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39°24′47.92″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25583559.28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4364835.18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39°24′47.80″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25583564.15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4364840.04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39°24′47.96″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25583564.36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4364855.71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39°24′48.47″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25583563.93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4364889.79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39°24′49.57″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25583567.53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4364892.96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39°24′49.67″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25583577.06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4364890.84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39°24′49.60″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25583582.77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4364882.80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39°24′49.34″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25583591.66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4364882.59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39°24′49.33″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25583591.03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4364889.36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39°24′49.55″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25583586.37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4364899.95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39°24′49.89″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25583578.33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4364930.21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39°24′50.88″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25583575.15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4364941.64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39°24′51.25″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25583576.21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4364946.30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39°24′51.40″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25583591.45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4364947.57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39°24′51.44″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25583628.28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4364925.13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39°24′50.70″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J39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25583638.44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4364912.65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39°24′50.29″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4364904.39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39°24′50.02″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25583629.34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4364860.58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39°24′48.60″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25583627.33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4364825.02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39°24′47.45″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25583625.32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4364789.46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39°24′46.30″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25583626.16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4364770.93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39°24′45.70″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25583626.38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4364766.17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39°24′45.54″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25583620.03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4364754.32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39°24′45.16″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25583609.87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4364749.66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39°24′45.01″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25583603.52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4364751.99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39°24′45.09″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J49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25583603.52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4364757.92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25583612.62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4364775.70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39°24′45.86″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25583612.41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4364789.03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39°24′46.29″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25583597.8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4364796.65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39°24′46.54″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25583592.09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4364806.60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39°24′46.87″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25583596.11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4364825.44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39°24′47.47″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25583596.74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4364835.81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39°24′47.81″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25583593.99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4364838.99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39°24′47.91″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25583588.7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4364838.56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39°24′47.90″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25583583.41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4364834.54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39°24′47.77″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J59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25583580.02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4364824.38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39°24′47.45″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25583582.14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4364820.15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39°24′47.31″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25583582.77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4364811.89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39°24′47.04″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25583578.12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4364806.60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39°24′46.87″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25583574.31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4364807.45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39°24′46.90″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25583569.44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4364808.08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39°24′46.92″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4364803.64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39°24′46.78″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25583562.88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4364801.52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39°24′46.71″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25583544.88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4364811.68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39°24′47.05″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25583524.14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4364824.38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39°24′47.47″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J69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25583516.1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4364829.88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39°24′47.65″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25583511.44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4364829.46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39°24′47.63″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25583509.32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4364826.29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39°24′47.53″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25583512.5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4364821.42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39°24′47.37″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25583542.34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4364800.46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39°24′46.68″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25583555.26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4364790.73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39°24′46.36″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25583561.61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4364782.47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39°24′46.09″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25583560.55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4364778.87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39°24′45.98″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25583557.37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4364779.30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39°24′45.99″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25583532.82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4364794.26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39°24′46.49″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J79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25583492.29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4364819.30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39°24′47.31″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25583451.75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4364844.34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39°24′48.14″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25583391.74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4364877.05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39°24′49.22″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25583381.9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4364887.68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39°24′49.57″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25583379.68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4364890.54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39°24′49.66″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25583377.93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4364898.48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39°24′49.92″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25583373.96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4364911.02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39°24′50.33″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25583366.5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4364916.89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39°24′50.52″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25583361.1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4364918.64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39°24′50.58″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25583345.55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4364922.61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39°24′50.71″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J89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25583343.17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4364927.69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39°24′50.88″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25583336.02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4364933.72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39°24′51.08″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25583330.15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4364934.67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39°24′51.11″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25583324.12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4364932.45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39°24′51.04″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25583317.45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4364930.55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39°24′50.98″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25583310.94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4364934.04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39°24′51.10″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25583309.03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4364936.74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39°24′51.18″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25583307.76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4364939.91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39°24′51.29″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25583304.59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4364946.42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25583297.92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4364954.83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39°24′51.77″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J99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25583290.94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4364958.96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39°24′51.91″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25583284.9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4364959.44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39°24′51.93″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25583276.17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4364957.22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39°24′51.86″</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25583268.39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4364952.45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39°24′51.71″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25583263.79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4364952.14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39°24′51.70″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25583260.77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4364953.09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39°24′51.73″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25583251.88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4364960.39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39°24′51.97″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25583237.44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4364967.69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39°24′52.21″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25583232.83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4364973.09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39°24′52.39″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25583230.14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4364977.06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39°24′52.52″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25583229.34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4364980.39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39°24′52.63″</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25583229.66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4364982.62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39°24′52.70″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25583231.56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4364984.20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39°24′52.75″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25583233.23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4364984.99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39°24′52.77″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25583237.33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4364980.17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39°24′52.62″</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25583242.2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4364979.32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39°24′52.59″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25583246.86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4364981.86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39°24′52.67″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75°57′59.92″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25583250.88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4364981.86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39°24′52.67″</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25583254.9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4364985.67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39°24′52.79″</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25583255.96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4364993.72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39°24′53.05″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25583259.13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4364996.68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39°24′53.14″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25583270.14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4364996.68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39°24′53.14″</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25583297.02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4364989.48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39°24′52.90″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25583348.46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4364971.70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39°24′52.30″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25583361.16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4364965.77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39°24′52.11″</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25583363.06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4364955.83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39°24′51.78″</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75°58′4.77″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25583367.08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4364945.67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51.45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4.93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25583378.73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4364938.26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25583386.35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4364935.93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5.73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25583391.43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4364942.92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51.35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25583388.67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4364953.07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51.69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25583382.11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4364961.12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51.95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25583374.92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4364966.20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52.12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25583376.82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4364977.63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52.49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25583378.09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4365018.90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25583378.94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4365025.04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54.02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25583391.64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4365026.31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54.06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25583404.13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4365028.01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54.11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6.52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25583413.02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4365020.17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53.85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6.88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25583416.4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4365011.50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7.02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25583412.38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4364961.33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51.94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6.83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25583409.42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4364926.62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50.82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6.69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25583411.75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4364920.90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50.63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6.79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4364918.15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50.54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25583426.35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4364919.42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50.58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7.40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25583429.1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4364929.37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50.90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4364956.46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51.78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7.45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25583427.83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4364968.10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52.16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7.48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25583426.99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4364980.17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52.55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7.45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25583426.35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4365002.39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7.43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25583429.95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4365007.05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53.42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25583437.36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4365004.51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53.34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7.90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25583449.85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4364999.43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53.17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8.42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25583456.83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4365000.70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8.71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25583458.31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4365008.53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53.46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8.77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25583464.45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4365014.46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53.65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9.03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25583465.3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4365023.14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53.93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9.07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25583470.8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4365033.51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9.31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25583474.61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4365035.63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54.33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9.47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25584657.84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4364385.85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32.85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58.63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25584653.72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4364339.64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31.35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58.43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25584597.31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4364342.90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31.48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56.08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25584599.81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4364367.94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32.29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56.19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25584609.73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4364368.95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32.32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56.61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25584611.25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4364378.49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32.63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56.68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25584607.49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4364384.41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56.52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25584614.94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4364400.27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56.84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25584863.98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4364306.45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25584851.26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4364304.18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6.67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25584805.17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4364295.99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4.74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25584780.38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4364291.58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3.70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25584755.58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4364287.17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2.67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25584747.52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4364287.32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25584747.78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4364337.09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25584747.14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4364343.56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31.45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25584749.12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4364377.29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32.54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25584790.33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4364389.98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32.94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4.16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25584814.13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4364395.15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33.10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5.16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25584841.92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4364393.16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33.02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6.32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25584872.87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4364405.07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33.40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25584908.2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4364418.17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33.81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9.10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25584948.28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4364420.55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33.87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10.78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25584979.01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4364399.62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33.18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12.05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25584993.98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4364395.67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33.05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12.68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25585030.54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4364371.94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25585043.77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4364372.25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25585043.45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4364371.07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32.23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14.74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25585037.04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4364367.23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32.11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14.47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25585035.83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4364366.49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32.09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14.41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25585022.4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4364366.79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32.10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13.85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25585006.52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4364372.91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32.31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13.19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25585005.13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4364374.53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32.36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13.14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25584863.98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4364306.45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25584903.02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4364285.28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29.50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8.83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25584973.64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4364290.28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11.78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25585005.87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4364274.41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29.11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13.12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25585007.67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4364275.47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29.15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25585022.81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4364260.66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28.66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25585037.66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4364274.42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29.10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14.45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25585080.11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4364233.28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27.75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25585057.82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4364227.21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27.57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25585036.68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4364247.48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28.23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14.40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25585036.59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4364247.40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28.23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25584890.07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4364237.03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27.94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8.26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25584819.72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4364270.70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29.06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5.34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25584799.41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4364264.41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28.86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4.49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25584764.99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4364263.08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28.83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25584747.39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4364261.99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28.80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25584747.52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4364287.32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25584755.58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4364287.17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2.67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25584805.17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4364295.99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4.74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25585031.46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4364300.87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25585066.56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4364280.13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15.66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25585062.54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4364272.40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29.03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15.49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25585045.25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4364282.37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29.36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14.77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25585043.47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4364281.42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14.70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25585040.48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4364279.35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25585038.23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4364278.43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14.47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25585034.19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4364277.78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14.31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25585034.57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4364277.41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14.32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25585024.74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4364285.56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29.47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13.91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25585012.11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4364296.01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29.81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25585001.74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4364300.14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29.95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25584997.34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4364301.79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30.00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12.78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25584996.75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4364302.02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30.01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25584998.74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4364309.76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25584999.31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4364309.77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12.86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25584999.99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4364309.77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25585000.19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4364309.78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12.90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25585011.64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4364309.95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13.38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25585143.05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4364249.25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28.25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25585134.49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4364246.96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28.18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18.48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25585131.36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4364248.53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28.23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18.35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25585111.81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4364256.51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17.54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25585066.62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4364280.26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29.28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15.66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25585072.08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4364290.45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25585126.28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4364258.98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18.15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25585126.3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4364258.97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18.15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25585143.05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4364249.25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28.25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25585126.3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4364258.97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18.15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25585126.28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4364258.98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18.15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25585072.08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4364290.45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25585075.57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4364296.96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16.04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25585072.99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4364298.46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29.87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15.94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25585070.09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4364300.15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29.93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25585069.88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4364302.68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30.01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15.81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25585069.27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4364310.37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15.79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25585089.07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4364306.95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30.14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16.61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25585092.57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4364306.63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16.76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25585095.77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4364306.33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30.12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16.89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25585110.63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4364309.14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17.51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25585112.72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4364309.38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17.60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25585122.74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4364310.47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18.02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25585125.66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4364292.68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25585113.29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4364291.33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25585097.16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4364288.04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29.52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16.94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25585091.28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4364288.68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29.55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16.70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25585089.49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4364285.21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29.43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16.62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25585128.65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4364266.84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28.83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18.25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25585147.84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4364259.60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19.05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J23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25585159.75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4364253.71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28.39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19.54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25585246.17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4364360.56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31.82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23.20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25585237.66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4364319.09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30.48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22.83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25585211.93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4364312.36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30.27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21.75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25585173.89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4364313.28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30.31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20.16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25585140.55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4364313.44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30.33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18.77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25585123.14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4364312.83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30.32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18.04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25585120.93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4364351.06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31.56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25585198.03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4364356.60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31.71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21.19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25585212.68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4364356.06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31.69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21.80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25585213.52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4364361.75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31.87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21.84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宗地九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J01</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25585047.51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4364368.17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32.14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14.90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J02</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25585063.84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4364363.57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31.98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15.58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J03</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25585121.02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4364364.48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31.99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17.97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J04</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25585120.73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4364355.77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31.71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J05</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25585120.72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4364355.77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31.71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J06</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25585120.72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4364355.78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31.71</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17.96</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J07</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25585100.86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4364354.82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31.69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17.13</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J08</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25585074.32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4364360.27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31.87</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16.02</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J09</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25585058.91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4364363.79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31.99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15.38</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J10</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25585042.68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 xml:space="preserve">4364366.50 </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24</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32.09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75</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59</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14.70</w:t>
            </w: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leftChars="0" w:right="0" w:rightChars="0" w:firstLine="480" w:firstLineChars="200"/>
        <w:jc w:val="both"/>
        <w:textAlignment w:val="auto"/>
        <w:outlineLvl w:val="9"/>
        <w:rPr>
          <w:rFonts w:hint="eastAsia" w:eastAsia="仿宋_GB2312"/>
          <w:color w:val="000000" w:themeColor="text1"/>
          <w:sz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leftChars="0" w:right="0" w:rightChars="0" w:firstLine="480" w:firstLineChars="200"/>
        <w:jc w:val="both"/>
        <w:textAlignment w:val="auto"/>
        <w:outlineLvl w:val="9"/>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该项目所</w:t>
      </w:r>
      <w:r>
        <w:rPr>
          <w:rFonts w:hint="eastAsia" w:eastAsia="仿宋_GB2312"/>
          <w:color w:val="000000" w:themeColor="text1"/>
          <w:sz w:val="24"/>
          <w:lang w:val="en-US" w:eastAsia="zh-CN"/>
          <w14:textFill>
            <w14:solidFill>
              <w14:schemeClr w14:val="tx1"/>
            </w14:solidFill>
          </w14:textFill>
        </w:rPr>
        <w:t>占用的临时用地，经过喀什市自然资源局、疏附县自然资源局、疏勒县自然资源局及喀什地区盖孜库山河流域管理处沟通协商，由喀什地区盖孜库山河流域管理处根据我国的相关法律、法规及自治区、喀什地区对临时用地相关补偿标准进行补偿，该补偿费用全部由</w:t>
      </w:r>
      <w:r>
        <w:rPr>
          <w:rFonts w:hint="eastAsia" w:eastAsia="仿宋_GB2312"/>
          <w:color w:val="000000" w:themeColor="text1"/>
          <w:sz w:val="24"/>
          <w:lang w:eastAsia="zh-CN"/>
          <w14:textFill>
            <w14:solidFill>
              <w14:schemeClr w14:val="tx1"/>
            </w14:solidFill>
          </w14:textFill>
        </w:rPr>
        <w:t>喀什地区盖孜库山河流域管理处承担。</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ascii="Times New Roman" w:hAnsi="Times New Roman" w:eastAsia="仿宋_GB2312"/>
          <w:b w:val="0"/>
          <w:color w:val="000000" w:themeColor="text1"/>
          <w:sz w:val="30"/>
          <w:szCs w:val="30"/>
          <w14:textFill>
            <w14:solidFill>
              <w14:schemeClr w14:val="tx1"/>
            </w14:solidFill>
          </w14:textFill>
        </w:rPr>
      </w:pPr>
      <w:bookmarkStart w:id="36" w:name="_Toc21388"/>
      <w:bookmarkStart w:id="37" w:name="_Toc31189"/>
      <w:r>
        <w:rPr>
          <w:rFonts w:ascii="Times New Roman" w:hAnsi="Times New Roman" w:eastAsia="仿宋_GB2312"/>
          <w:b w:val="0"/>
          <w:color w:val="000000" w:themeColor="text1"/>
          <w:sz w:val="30"/>
          <w:szCs w:val="30"/>
          <w14:textFill>
            <w14:solidFill>
              <w14:schemeClr w14:val="tx1"/>
            </w14:solidFill>
          </w14:textFill>
        </w:rPr>
        <w:t>3.2</w:t>
      </w:r>
      <w:r>
        <w:rPr>
          <w:rFonts w:ascii="Times New Roman" w:hAnsi="Times New Roman"/>
          <w:b w:val="0"/>
          <w:color w:val="000000" w:themeColor="text1"/>
          <w:sz w:val="30"/>
          <w:szCs w:val="30"/>
          <w14:textFill>
            <w14:solidFill>
              <w14:schemeClr w14:val="tx1"/>
            </w14:solidFill>
          </w14:textFill>
        </w:rPr>
        <w:t>项目区自然概况</w:t>
      </w:r>
      <w:bookmarkEnd w:id="36"/>
      <w:bookmarkEnd w:id="37"/>
    </w:p>
    <w:p>
      <w:pPr>
        <w:pStyle w:val="6"/>
        <w:pageBreakBefore w:val="0"/>
        <w:widowControl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 xml:space="preserve">3.2.1 </w:t>
      </w:r>
      <w:r>
        <w:rPr>
          <w:rFonts w:hint="eastAsia" w:eastAsia="黑体"/>
          <w:color w:val="000000" w:themeColor="text1"/>
          <w:sz w:val="28"/>
          <w14:textFill>
            <w14:solidFill>
              <w14:schemeClr w14:val="tx1"/>
            </w14:solidFill>
          </w14:textFill>
        </w:rPr>
        <w:t>项目区地理位置</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本项目所经地区属于喀什经济发达地带，公路交通也相对发达，</w:t>
      </w:r>
      <w:r>
        <w:rPr>
          <w:rFonts w:hint="eastAsia" w:eastAsia="仿宋_GB2312" w:cs="Times New Roman"/>
          <w:color w:val="000000" w:themeColor="text1"/>
          <w:sz w:val="24"/>
          <w:szCs w:val="24"/>
          <w:highlight w:val="none"/>
          <w:lang w:val="en-US" w:eastAsia="zh-CN"/>
          <w14:textFill>
            <w14:solidFill>
              <w14:schemeClr w14:val="tx1"/>
            </w14:solidFill>
          </w14:textFill>
        </w:rPr>
        <w:t>与本项目相邻的公路主要有G315、G314等，周边有多条农村道路，可依托既有道路进行运输</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工程区周边有柏油路通过</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，交通便利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项目设置临时用地</w:t>
      </w:r>
      <w:r>
        <w:rPr>
          <w:rFonts w:hint="eastAsia" w:eastAsia="仿宋_GB2312" w:cs="Times New Roman"/>
          <w:color w:val="000000" w:themeColor="text1"/>
          <w:sz w:val="24"/>
          <w:szCs w:val="24"/>
          <w:highlight w:val="none"/>
          <w:lang w:val="en-US" w:eastAsia="zh-CN"/>
          <w14:textFill>
            <w14:solidFill>
              <w14:schemeClr w14:val="tx1"/>
            </w14:solidFill>
          </w14:textFill>
        </w:rPr>
        <w:t>9宗</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eastAsia="仿宋_GB2312" w:cs="Times New Roman"/>
          <w:color w:val="000000" w:themeColor="text1"/>
          <w:sz w:val="24"/>
          <w:szCs w:val="24"/>
          <w:highlight w:val="none"/>
          <w:lang w:val="en-US" w:eastAsia="zh-CN"/>
          <w14:textFill>
            <w14:solidFill>
              <w14:schemeClr w14:val="tx1"/>
            </w14:solidFill>
          </w14:textFill>
        </w:rPr>
        <w:t>其中喀什市境内4宗、疏附县境内3宗、疏勒县境内2宗</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。（图3-1项目区交通位置卫星影像图）</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仿宋_GB2312"/>
          <w:b/>
          <w:bCs/>
          <w:color w:val="000000" w:themeColor="text1"/>
          <w:sz w:val="24"/>
          <w:szCs w:val="24"/>
          <w:highlight w:val="no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2298700</wp:posOffset>
                </wp:positionH>
                <wp:positionV relativeFrom="paragraph">
                  <wp:posOffset>2301875</wp:posOffset>
                </wp:positionV>
                <wp:extent cx="643890" cy="264795"/>
                <wp:effectExtent l="6350" t="6350" r="340360" b="14605"/>
                <wp:wrapNone/>
                <wp:docPr id="106" name="圆角矩形标注 106"/>
                <wp:cNvGraphicFramePr/>
                <a:graphic xmlns:a="http://schemas.openxmlformats.org/drawingml/2006/main">
                  <a:graphicData uri="http://schemas.microsoft.com/office/word/2010/wordprocessingShape">
                    <wps:wsp>
                      <wps:cNvSpPr/>
                      <wps:spPr>
                        <a:xfrm>
                          <a:off x="0" y="0"/>
                          <a:ext cx="643890" cy="264795"/>
                        </a:xfrm>
                        <a:prstGeom prst="wedgeRoundRectCallout">
                          <a:avLst>
                            <a:gd name="adj1" fmla="val 93392"/>
                            <a:gd name="adj2" fmla="val -13788"/>
                            <a:gd name="adj3" fmla="val 166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FF0000"/>
                                <w:lang w:val="en-US" w:eastAsia="zh-CN"/>
                              </w:rPr>
                            </w:pPr>
                            <w:r>
                              <w:rPr>
                                <w:rFonts w:hint="eastAsia"/>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1pt;margin-top:181.25pt;height:20.85pt;width:50.7pt;z-index:251664384;v-text-anchor:middle;mso-width-relative:page;mso-height-relative:page;" filled="f" stroked="t" coordsize="21600,21600" o:gfxdata="UEsDBAoAAAAAAIdO4kAAAAAAAAAAAAAAAAAEAAAAZHJzL1BLAwQUAAAACACHTuJA93oP/dsAAAAL&#10;AQAADwAAAGRycy9kb3ducmV2LnhtbE2PS0/DMBCE70j8B2uRuCBqNw1RCXEqUegJOBAeVW9uvCQR&#10;8TqK3Qf/noUL3Ga0o9lvisXR9WKPY+g8aZhOFAik2tuOGg2vL6vLOYgQDVnTe0INXxhgUZ6eFCa3&#10;/kDPuK9iI7iEQm40tDEOuZShbtGZMPEDEt8+/OhMZDs20o7mwOWul4lSmXSmI/7QmgGXLdaf1c5p&#10;uPC3b2q9ur8bHtbzpXt82lxX7xutz8+m6gZExGP8C8MPPqNDyUxbvyMbRK9hliW8Jf6KKxCcSLNZ&#10;CmLLQqUJyLKQ/zeU31BLAwQUAAAACACHTuJAYvjRSaoCAAAeBQAADgAAAGRycy9lMm9Eb2MueG1s&#10;rVTNbhMxEL4j8Q6W7+1uNunmR91UUaoipAqqFsTZ8dq7i/yH7WRTHgDunJFAXIAzZx6nhcdg7N22&#10;gXJC5ODM7Ixn5vtmxodHWynQhlnXaFXgwX6KEVNUl42qCvz82cneBCPniSqJ0IoV+JI5fDR/+OCw&#10;NTOW6VqLklkEQZSbtabAtfdmliSO1kwSt68NU2Dk2kriQbVVUlrSQnQpkixN86TVtjRWU+YcfD3u&#10;jHge43POqH/KuWMeiQJDbT6eNp6rcCbzQzKrLDF1Q/syyD9UIUmjIOltqGPiCVrb5l4o2VCrneZ+&#10;n2qZaM4byiIGQDNI/0BzURPDIhYgx5lbmtz/C0ufbM4sakroXZpjpIiEJl29f/Pz87sfH75eff90&#10;/fHt9bcvKFiBq9a4GVy5MGe21xyIAfiWWxn+ARLaRn4vb/llW48ofMxHw8kUukDBlOWj8fQgxEzu&#10;Lhvr/COmJQpCgVtWVuxcr1V5Do1cEiH02keayebU+ch32ddMypcDjLgU0L4NEWg6HE6zvr07Ptmu&#10;z95gOJ5M7jsNd50GeZ6P+zr7tFDxTaWhBqVPGiHiJAmFWqAyG6cBJoGB5oJ4EKUBip2qMCKigk2h&#10;3kYgToumDNdDIGer1VJYBPUXeJwO00UcUEj3m1vIfUxc3flFU4dBNh6WSTSywJM0/PqyhQKWQ+u6&#10;ZgXJb1fbvoMrXV7CDFjdLYcz9KSBDKfE+TNigU6AAhvun8LBhQZ8upcwqrV9/bfvwR+GFKwYtbBd&#10;gP3VmliGkXisYHyng9EorGNURgfjDBS7a1ntWtRaLjVQAg2G6qIY/L24EbnV8gU8BIuQFUxEUcjd&#10;sdwrS99tPTwllC0W0Q1W0BB/qi4MDcG7Xi7WXvPGh8EMRHXs9AosYZzX/sEIW76rR6+7Z2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d6D/3bAAAACwEAAA8AAAAAAAAAAQAgAAAAIgAAAGRycy9k&#10;b3ducmV2LnhtbFBLAQIUABQAAAAIAIdO4kBi+NFJqgIAAB4FAAAOAAAAAAAAAAEAIAAAACoBAABk&#10;cnMvZTJvRG9jLnhtbFBLBQYAAAAABgAGAFkBAABGBgAAAAA=&#10;" adj="30973,7822,14400">
                <v:fill on="f" focussize="0,0"/>
                <v:stroke weight="1pt" color="#7030A0 [3204]" miterlimit="8" joinstyle="miter"/>
                <v:imagedata o:title=""/>
                <o:lock v:ext="edit" aspectratio="f"/>
                <v:textbox>
                  <w:txbxContent>
                    <w:p>
                      <w:pPr>
                        <w:rPr>
                          <w:rFonts w:hint="default"/>
                          <w:color w:val="FF0000"/>
                          <w:lang w:val="en-US" w:eastAsia="zh-CN"/>
                        </w:rPr>
                      </w:pPr>
                      <w:r>
                        <w:rPr>
                          <w:rFonts w:hint="eastAsia"/>
                          <w:color w:val="FF0000"/>
                          <w:lang w:val="en-US" w:eastAsia="zh-CN"/>
                        </w:rPr>
                        <w:t>项目区</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2955925</wp:posOffset>
                </wp:positionH>
                <wp:positionV relativeFrom="paragraph">
                  <wp:posOffset>1827530</wp:posOffset>
                </wp:positionV>
                <wp:extent cx="643890" cy="264795"/>
                <wp:effectExtent l="6350" t="6350" r="16510" b="319405"/>
                <wp:wrapNone/>
                <wp:docPr id="19" name="圆角矩形标注 19"/>
                <wp:cNvGraphicFramePr/>
                <a:graphic xmlns:a="http://schemas.openxmlformats.org/drawingml/2006/main">
                  <a:graphicData uri="http://schemas.microsoft.com/office/word/2010/wordprocessingShape">
                    <wps:wsp>
                      <wps:cNvSpPr/>
                      <wps:spPr>
                        <a:xfrm>
                          <a:off x="0" y="0"/>
                          <a:ext cx="643890" cy="264795"/>
                        </a:xfrm>
                        <a:prstGeom prst="wedgeRoundRectCallout">
                          <a:avLst>
                            <a:gd name="adj1" fmla="val 16639"/>
                            <a:gd name="adj2" fmla="val 159352"/>
                            <a:gd name="adj3" fmla="val 166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FF0000"/>
                                <w:lang w:val="en-US" w:eastAsia="zh-CN"/>
                              </w:rPr>
                            </w:pPr>
                            <w:r>
                              <w:rPr>
                                <w:rFonts w:hint="eastAsia"/>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2.75pt;margin-top:143.9pt;height:20.85pt;width:50.7pt;z-index:251663360;v-text-anchor:middle;mso-width-relative:page;mso-height-relative:page;" filled="f" stroked="t" coordsize="21600,21600" o:gfxdata="UEsDBAoAAAAAAIdO4kAAAAAAAAAAAAAAAAAEAAAAZHJzL1BLAwQUAAAACACHTuJAkhZMQtsAAAAL&#10;AQAADwAAAGRycy9kb3ducmV2LnhtbE2PwU7DMBBE70j8g7VI3KjT0IQ2xOkBqeIAEiJF4urG2ySq&#10;vY5ipw18PcsJjqt9ejNTbmdnxRnH0HtSsFwkIJAab3pqFXzsd3drECFqMtp6QgVfGGBbXV+VujD+&#10;Qu94rmMrWEKh0Aq6GIdCytB06HRY+AGJf0c/Oh35HFtpRn1hubMyTZJcOt0TJ3R6wKcOm1M9ObY0&#10;9bR6Nc/28+04fJ/2L7uEZqvU7c0yeQQRcY5/MPzW5+pQcaeDn8gEYRWs8ixjVEG6fuANTGR5vgFx&#10;UHCfbjKQVSn/b6h+AFBLAwQUAAAACACHTuJA/3NtcaoCAAAcBQAADgAAAGRycy9lMm9Eb2MueG1s&#10;rVTNbhMxEL4j8Q6W73Q3m2TTRN1UUaoipIpWLYiz4/XuGvkP28mmPADcOSOBuABnzjxOC4/B2Ltt&#10;U+CEyMGZ2RnPfPPNjA8Ot1KgDbOOa1XgwV6KEVNUl1zVBX7+7PjRPkbOE1USoRUr8CVz+HD+8MFB&#10;a2Ys040WJbMIgig3a02BG+/NLEkcbZgkbk8bpsBYaSuJB9XWSWlJC9GlSLI0zZNW29JYTZlz8PWo&#10;M+J5jF9VjPrTqnLMI1FgwObjaeO5CmcyPyCz2hLTcNrDIP+AQhKuIOltqCPiCVpb/kcoyanVTld+&#10;j2qZ6KrilMUaoJpB+ls1Fw0xLNYC5DhzS5P7f2Hp082ZRbyE3k0xUkRCj67ev/n5+d2PD1+vvn+6&#10;/vj2+tsXBEZgqjVuBhcuzJntNQdiKHtbWRn+oSC0jexe3rLLth5R+JiPhvtT6AEFU5aPJtNxiJnc&#10;XTbW+cdMSxSEAresrNm5XqvyHNq4JELotY8kk82J85HtsodMypcDjCopoHkbItAgz4cRMnRkxye7&#10;5zOeDsdZPwE7TsN7TnmeT3qcfVpAfIM0YFD6mAsR50go1AKR2SQNZRIY50oQD6I0QLBTNUZE1LAn&#10;1NtYiNOCl+F6CORsvVoKiwB/gSfpMF3E8YR099xC7iPims4vmroaJPewSoLLAu+n4dfDFgpYDq3r&#10;mhUkv11t+w6udHkJE2B1txrO0GMOGU6I82fEAp1QCuy3P4WjEhrq072EUaPt6799D/4womDFqIXd&#10;gtpfrYllGIknCoZ3OhiNwjJGZTSeZKDYXctq16LWcqmBEmgwoIti8PfiRqysli/gGViErGAiikLu&#10;juVeWfpu5+EhoWyxiG6wgIb4E3VhaAje9XKx9rriPgxmIKpjp1dgBeO89s9F2PFdPXrdPWr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IWTELbAAAACwEAAA8AAAAAAAAAAQAgAAAAIgAAAGRycy9k&#10;b3ducmV2LnhtbFBLAQIUABQAAAAIAIdO4kD/c21xqgIAABwFAAAOAAAAAAAAAAEAIAAAACoBAABk&#10;cnMvZTJvRG9jLnhtbFBLBQYAAAAABgAGAFkBAABGBgAAAAA=&#10;" adj="14394,45220,14400">
                <v:fill on="f" focussize="0,0"/>
                <v:stroke weight="1pt" color="#7030A0 [3204]" miterlimit="8" joinstyle="miter"/>
                <v:imagedata o:title=""/>
                <o:lock v:ext="edit" aspectratio="f"/>
                <v:textbox>
                  <w:txbxContent>
                    <w:p>
                      <w:pPr>
                        <w:rPr>
                          <w:rFonts w:hint="default"/>
                          <w:color w:val="FF0000"/>
                          <w:lang w:val="en-US" w:eastAsia="zh-CN"/>
                        </w:rPr>
                      </w:pPr>
                      <w:r>
                        <w:rPr>
                          <w:rFonts w:hint="eastAsia"/>
                          <w:color w:val="FF0000"/>
                          <w:lang w:val="en-US" w:eastAsia="zh-CN"/>
                        </w:rPr>
                        <w:t>项目区</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2237740</wp:posOffset>
                </wp:positionH>
                <wp:positionV relativeFrom="paragraph">
                  <wp:posOffset>1585595</wp:posOffset>
                </wp:positionV>
                <wp:extent cx="643890" cy="264795"/>
                <wp:effectExtent l="6350" t="6350" r="16510" b="319405"/>
                <wp:wrapNone/>
                <wp:docPr id="127" name="圆角矩形标注 127"/>
                <wp:cNvGraphicFramePr/>
                <a:graphic xmlns:a="http://schemas.openxmlformats.org/drawingml/2006/main">
                  <a:graphicData uri="http://schemas.microsoft.com/office/word/2010/wordprocessingShape">
                    <wps:wsp>
                      <wps:cNvSpPr/>
                      <wps:spPr>
                        <a:xfrm>
                          <a:off x="0" y="0"/>
                          <a:ext cx="643890" cy="264795"/>
                        </a:xfrm>
                        <a:prstGeom prst="wedgeRoundRectCallout">
                          <a:avLst>
                            <a:gd name="adj1" fmla="val 16639"/>
                            <a:gd name="adj2" fmla="val 159352"/>
                            <a:gd name="adj3" fmla="val 166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FF0000"/>
                                <w:lang w:val="en-US" w:eastAsia="zh-CN"/>
                              </w:rPr>
                            </w:pPr>
                            <w:r>
                              <w:rPr>
                                <w:rFonts w:hint="eastAsia"/>
                                <w:color w:val="FF0000"/>
                                <w:lang w:val="en-US" w:eastAsia="zh-CN"/>
                              </w:rPr>
                              <w:t>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6.2pt;margin-top:124.85pt;height:20.85pt;width:50.7pt;z-index:251662336;v-text-anchor:middle;mso-width-relative:page;mso-height-relative:page;" filled="f" stroked="t" coordsize="21600,21600" o:gfxdata="UEsDBAoAAAAAAIdO4kAAAAAAAAAAAAAAAAAEAAAAZHJzL1BLAwQUAAAACACHTuJA7Tzv5NoAAAAL&#10;AQAADwAAAGRycy9kb3ducmV2LnhtbE2PwU7DMAyG70i8Q2QkbixplwErTXdAmjiAhNYhcc2arK2W&#10;OFWTboWnx5zgaPvX5+8vN7N37GzH2AdUkC0EMItNMD22Cj7227tHYDFpNNoFtAq+bIRNdX1V6sKE&#10;C+7suU4tIwjGQivoUhoKzmPTWa/jIgwW6XYMo9eJxrHlZtQXgnvHcyHuudc90odOD/a5s82pnjxR&#10;mnqSb+bFfb4fh+/T/nUrcHZK3d5k4glYsnP6C8OvPqlDRU6HMKGJzClYrnJJUQW5XD8Ao4RcLanM&#10;gTbrTAKvSv6/Q/UDUEsDBBQAAAAIAIdO4kDjPQ3vpwIAAB4FAAAOAAAAZHJzL2Uyb0RvYy54bWyt&#10;VM1uEzEQviPxDpbvdDebZNNE3VRRqiKkilYtiLPjtXcX+Q/byaY8ANw5I4G4AGfOPE4Lj8HYu21T&#10;4ITIwZnZGc/M982MDw63UqANs67RqsCDvRQjpqguG1UV+Pmz40f7GDlPVEmEVqzAl8zhw/nDBwet&#10;mbFM11qUzCIIotysNQWuvTezJHG0ZpK4PW2YAiPXVhIPqq2S0pIWokuRZGmaJ622pbGaMufg61Fn&#10;xPMYn3NG/SnnjnkkCgy1+XjaeK7CmcwPyKyyxNQN7csg/1CFJI2CpLehjognaG2bP0LJhlrtNPd7&#10;VMtEc95QFjEAmkH6G5qLmhgWsQA5ztzS5P5fWPp0c2ZRU0LvsglGikho0tX7Nz8/v/vx4evV90/X&#10;H99ef/uCghW4ao2bwZULc2Z7zYEYgG+5leEfIKFt5Pfyll+29YjCx3w03J9CFyiYsnw0mY5DzOTu&#10;srHOP2ZaoiAUuGVlxc71WpXn0MglEUKvfaSZbE6cj3yXfc2kfDnAiEsB7dsQgQZ5Ppz27d3xye75&#10;jKfDcfan0/CeU57nETvU2acF6abSUIPSx40QcZKEQm2kMg0wCQw0F8SDKA1Q7FSFEREVbAr1NgJx&#10;WjRluB4COVutlsIiqL/Ak3SYLuKAQrp7biH3EXF15xdNHQbZeFgm0cgC76fh19MrFLAcWtc1K0h+&#10;u9r2HVzp8hJmwOpuOZyhxw1kOCHOnxELdAIU2HB/CgcXGvDpXsKo1vb1374HfxhSsGLUwnYB9ldr&#10;YhlG4omC8Z0ORqOwjlEZjScZKHbXstq1qLVcaqAEGgzVRTH4e3EjcqvlC3gIFiErmIiikLtjuVeW&#10;vtt6eEooWyyiG6ygIf5EXRgagne9XKy95o0PgxmI6tjpFVjCOK/9gxG2fFePXnfP2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7Tzv5NoAAAALAQAADwAAAAAAAAABACAAAAAiAAAAZHJzL2Rvd25y&#10;ZXYueG1sUEsBAhQAFAAAAAgAh07iQOM9De+nAgAAHgUAAA4AAAAAAAAAAQAgAAAAKQEAAGRycy9l&#10;Mm9Eb2MueG1sUEsFBgAAAAAGAAYAWQEAAEIGAAAAAA==&#10;" adj="14394,45220,14400">
                <v:fill on="f" focussize="0,0"/>
                <v:stroke weight="1pt" color="#7030A0 [3204]" miterlimit="8" joinstyle="miter"/>
                <v:imagedata o:title=""/>
                <o:lock v:ext="edit" aspectratio="f"/>
                <v:textbox>
                  <w:txbxContent>
                    <w:p>
                      <w:pPr>
                        <w:rPr>
                          <w:rFonts w:hint="default"/>
                          <w:color w:val="FF0000"/>
                          <w:lang w:val="en-US" w:eastAsia="zh-CN"/>
                        </w:rPr>
                      </w:pPr>
                      <w:r>
                        <w:rPr>
                          <w:rFonts w:hint="eastAsia"/>
                          <w:color w:val="FF0000"/>
                          <w:lang w:val="en-US" w:eastAsia="zh-CN"/>
                        </w:rPr>
                        <w:t>项目区</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2739390</wp:posOffset>
                </wp:positionH>
                <wp:positionV relativeFrom="paragraph">
                  <wp:posOffset>1085850</wp:posOffset>
                </wp:positionV>
                <wp:extent cx="180975" cy="153035"/>
                <wp:effectExtent l="21590" t="18415" r="26035" b="19050"/>
                <wp:wrapNone/>
                <wp:docPr id="114" name="五角星 114"/>
                <wp:cNvGraphicFramePr/>
                <a:graphic xmlns:a="http://schemas.openxmlformats.org/drawingml/2006/main">
                  <a:graphicData uri="http://schemas.microsoft.com/office/word/2010/wordprocessingShape">
                    <wps:wsp>
                      <wps:cNvSpPr/>
                      <wps:spPr>
                        <a:xfrm>
                          <a:off x="3557270" y="2817495"/>
                          <a:ext cx="180975" cy="153035"/>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5.7pt;margin-top:85.5pt;height:12.05pt;width:14.25pt;z-index:251660288;v-text-anchor:middle;mso-width-relative:page;mso-height-relative:page;" fillcolor="#7030A0" filled="t" stroked="t" coordsize="180975,153035" o:gfxdata="UEsDBAoAAAAAAIdO4kAAAAAAAAAAAAAAAAAEAAAAZHJzL1BLAwQUAAAACACHTuJAGIb6UdkAAAAL&#10;AQAADwAAAGRycy9kb3ducmV2LnhtbE2PwU7DMBBE70j8g7VI3KhjmkAT4vSAqBAn1NJDuLnJNomI&#10;15HttuHvWU5w3Jmn2ZlyPdtRnNGHwZEGtUhAIDWuHajTsP/Y3K1AhGioNaMj1PCNAdbV9VVpitZd&#10;aIvnXewEh1AojIY+xqmQMjQ9WhMWbkJi7+i8NZFP38nWmwuH21HeJ8mDtGYg/tCbCZ97bL52J6vh&#10;M5trfJnrvdn4evka3uy7bKzWtzcqeQIRcY5/MPzW5+pQcaeDO1EbxKghXaqUUTYeFY9iIs3yHMSB&#10;lTxTIKtS/t9Q/QBQSwMEFAAAAAgAh07iQNnW7JFoAgAAuQQAAA4AAABkcnMvZTJvRG9jLnhtbK1U&#10;yY7UMBC9I/EPlu9Mkl7ontakR60ZDUIaMS0NiLPbcTqWvGG7l+EzEAduHPkHvgchPoNnp2cDDgiR&#10;g1PleqnlVVVOTvdaka3wQVpT0+qopEQYbhtp1jV98/ri2ZSSEJlpmLJG1PRGBHo6f/rkZOdmYmA7&#10;qxrhCZyYMNu5mnYxullRBN4JzcKRdcLA2FqvWYTq10Xj2Q7etSoGZfm82FnfOG+5CAG3572RzrP/&#10;thU8XrVtEJGomiK3mE+fz1U6i/kJm609c53khzTYP2ShmTQIeufqnEVGNl7+5kpL7m2wbTziVhe2&#10;bSUXuQZUU5W/VHPdMSdyLSAnuDuawv9zy19tl57IBr2rRpQYptGkb18//vjy4funzyRdgqKdCzMg&#10;r93SH7QAMdW7b71Ob1RC9jUdjseTwQRE39R0MK0mo+NxT7HYR8IBqKbl8WRMCQegGg/LYbYX946c&#10;D/GFsJokoaaYHT/OzLLtZYiIDuwtJgUOVsnmQiqVFb9enSlPtgztnpTDcpE7jE8ewZQhO4RHosiU&#10;M4xdq1iEqB2ICGZNCVNrzDOPPsd+9HX4uyApyXMWuj6Z7KGnQsuIkVdS13RapiddI0Vl8EpM99wm&#10;aWWbG7TH235ug+MXEm4vWYhL5jGoyB/LF69wtMqiKHuQKOmsf/+n+4TH/MBKyQ6Dj4LfbZgXlKiX&#10;BpN1XI1GaVOyMkI7ofiHltVDi9noMwuyK6y541lM+KhuxdZb/RY7ukhRYWKGI3ZP7UE5i/1CYsu5&#10;WCwyDNvhWLw0144n56m5xi420bYyD8E9OwfSsB+ZxcMupwV8qGfU/R9n/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YhvpR2QAAAAsBAAAPAAAAAAAAAAEAIAAAACIAAABkcnMvZG93bnJldi54bWxQ&#10;SwECFAAUAAAACACHTuJA2dbskWgCAAC5BAAADgAAAAAAAAABACAAAAAoAQAAZHJzL2Uyb0RvYy54&#10;bWxQSwUGAAAAAAYABgBZAQAAAgYAAAAA&#10;" path="m0,58454l69126,58454,90487,0,111848,58454,180974,58454,125050,94580,146411,153034,90487,116907,34563,153034,55924,94580xe">
                <v:path o:connectlocs="90487,0;0,58454;34563,153034;146411,153034;180974,58454" o:connectangles="247,164,82,82,0"/>
                <v:fill on="t" focussize="0,0"/>
                <v:stroke weight="1pt" color="#7030A0 [3204]" miterlimit="8" joinstyle="miter"/>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1727835</wp:posOffset>
                </wp:positionH>
                <wp:positionV relativeFrom="paragraph">
                  <wp:posOffset>2702560</wp:posOffset>
                </wp:positionV>
                <wp:extent cx="180975" cy="153035"/>
                <wp:effectExtent l="21590" t="18415" r="26035" b="19050"/>
                <wp:wrapNone/>
                <wp:docPr id="115" name="五角星 115"/>
                <wp:cNvGraphicFramePr/>
                <a:graphic xmlns:a="http://schemas.openxmlformats.org/drawingml/2006/main">
                  <a:graphicData uri="http://schemas.microsoft.com/office/word/2010/wordprocessingShape">
                    <wps:wsp>
                      <wps:cNvSpPr/>
                      <wps:spPr>
                        <a:xfrm>
                          <a:off x="0" y="0"/>
                          <a:ext cx="180975" cy="153035"/>
                        </a:xfrm>
                        <a:prstGeom prst="star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6.05pt;margin-top:212.8pt;height:12.05pt;width:14.25pt;z-index:251661312;v-text-anchor:middle;mso-width-relative:page;mso-height-relative:page;" fillcolor="#7030A0" filled="t" stroked="t" coordsize="180975,153035" o:gfxdata="UEsDBAoAAAAAAIdO4kAAAAAAAAAAAAAAAAAEAAAAZHJzL1BLAwQUAAAACACHTuJAp/nqYdgAAAAL&#10;AQAADwAAAGRycy9kb3ducmV2LnhtbE2PPU/DQAyGdyT+w8lIbPSS9AtCLh0QFWJClA5hc3Mmicj5&#10;oty1Df8eM9HR9qP3fVxsJterE42h82wgnSWgiGtvO24M7D+2d/egQkS22HsmAz8UYFNeXxWYW3/m&#10;dzrtYqMkhEOOBtoYh1zrULfkMMz8QCy3Lz86jDKOjbYjniXc9TpLkpV22LE0tDjQU0v19+7oDHwu&#10;p4qep2qP27Gav4RX96ZrZ8ztTZo8goo0xX8Y/vRFHUpxOvgj26B6A9k6SwU1sMiWK1BCzKUP1EE2&#10;i4c16LLQlz+Uv1BLAwQUAAAACACHTuJAeeW8AF0CAACtBAAADgAAAGRycy9lMm9Eb2MueG1srVTN&#10;bhMxEL4j8Q6W73R304a0UTZV1KoIqaKVCuLseL1ZS/7DdrIpj4E4cOPIO/A8CPEYfPamTQscECIH&#10;74xnPD/ffJPZ6VYrshE+SGtqWh2UlAjDbSPNqqZvXl88O6YkRGYapqwRNb0VgZ7Onz6Z9W4qRraz&#10;qhGeIIgJ097VtIvRTYsi8E5oFg6sEwbG1nrNIlS/KhrPekTXqhiV5fOit75x3nIRAm7PByOd5/ht&#10;K3i8atsgIlE1RW0xnz6fy3QW8xmbrjxzneS7Mtg/VKGZNEh6H+qcRUbWXv4WSkvubbBtPOBWF7Zt&#10;JRe5B3RTlb90c9MxJ3IvACe4e5jC/wvLX22uPZENZleNKTFMY0jfvn788eXD90+fSboERL0LU3je&#10;uGu/0wLE1O+29Tp90QnZZlhv72EV20g4Lqvj8mSC4BymanxYHuaYxf6x8yG+EFaTJNQUfPHjjCbb&#10;XIaIjPC980nJglWyuZBKZcWvlmfKkw3DiCflYbnIU8WTR27KkB7pR5MSNOAMVGsVixC1Q/PBrChh&#10;agUO8+hz7kevw98lSUWes9ANxeQIA8O0jKC5krqmx2X6pWuUqAw+Cd0BzyQtbXOLkXg7cDU4fiER&#10;9pKFeM08yIn6sXDxCkerLJqyO4mSzvr3f7pP/uAMrJT0IDsafrdmXlCiXhqw6aQ6OkrbkZWj8WQE&#10;xT+0LB9azFqfWYBdYbUdz2Lyj+pObL3Vb7GXi5QVJmY4cg/Q7pSzOCwhNpuLxSK7YSMci5fmxvEU&#10;PA3X2MU62lZmEuzR2YGGncgo7vY3Ld1DPXvt/2X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n&#10;+eph2AAAAAsBAAAPAAAAAAAAAAEAIAAAACIAAABkcnMvZG93bnJldi54bWxQSwECFAAUAAAACACH&#10;TuJAeeW8AF0CAACtBAAADgAAAAAAAAABACAAAAAnAQAAZHJzL2Uyb0RvYy54bWxQSwUGAAAAAAYA&#10;BgBZAQAA9gUAAAAA&#10;" path="m0,58454l69126,58454,90487,0,111848,58454,180974,58454,125050,94580,146411,153034,90487,116907,34563,153034,55924,94580xe">
                <v:path o:connectlocs="90487,0;0,58454;34563,153034;146411,153034;180974,58454" o:connectangles="247,164,82,82,0"/>
                <v:fill on="t" focussize="0,0"/>
                <v:stroke weight="1pt" color="#7030A0 [32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267960" cy="3792855"/>
            <wp:effectExtent l="0" t="0" r="8890" b="171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5267960" cy="3792855"/>
                    </a:xfrm>
                    <a:prstGeom prst="rect">
                      <a:avLst/>
                    </a:prstGeom>
                    <a:noFill/>
                    <a:ln>
                      <a:noFill/>
                    </a:ln>
                  </pic:spPr>
                </pic:pic>
              </a:graphicData>
            </a:graphic>
          </wp:inline>
        </w:drawing>
      </w:r>
      <w:r>
        <w:rPr>
          <w:rFonts w:hint="eastAsia" w:ascii="仿宋_GB2312" w:hAnsi="Times New Roman" w:eastAsia="仿宋_GB2312" w:cs="Times New Roman"/>
          <w:b/>
          <w:bCs/>
          <w:color w:val="000000" w:themeColor="text1"/>
          <w:kern w:val="2"/>
          <w:sz w:val="21"/>
          <w:szCs w:val="24"/>
          <w:lang w:val="en-US" w:eastAsia="zh-CN" w:bidi="ar-SA"/>
          <w14:textFill>
            <w14:solidFill>
              <w14:schemeClr w14:val="tx1"/>
            </w14:solidFill>
          </w14:textFill>
        </w:rPr>
        <w:t>图3-1 项目区</w:t>
      </w:r>
      <w:r>
        <w:rPr>
          <w:rFonts w:hint="eastAsia" w:ascii="仿宋_GB2312" w:eastAsia="仿宋_GB2312"/>
          <w:b/>
          <w:bCs/>
          <w:color w:val="000000" w:themeColor="text1"/>
          <w:lang w:val="en-US" w:eastAsia="zh-CN"/>
          <w14:textFill>
            <w14:solidFill>
              <w14:schemeClr w14:val="tx1"/>
            </w14:solidFill>
          </w14:textFill>
        </w:rPr>
        <w:t>交通位置</w:t>
      </w:r>
      <w:r>
        <w:rPr>
          <w:rFonts w:hint="eastAsia" w:ascii="仿宋_GB2312" w:hAnsi="Times New Roman" w:eastAsia="仿宋_GB2312" w:cs="Times New Roman"/>
          <w:b/>
          <w:bCs/>
          <w:color w:val="000000" w:themeColor="text1"/>
          <w:kern w:val="2"/>
          <w:sz w:val="21"/>
          <w:szCs w:val="24"/>
          <w:lang w:val="en-US" w:eastAsia="zh-CN" w:bidi="ar-SA"/>
          <w14:textFill>
            <w14:solidFill>
              <w14:schemeClr w14:val="tx1"/>
            </w14:solidFill>
          </w14:textFill>
        </w:rPr>
        <w:t>卫星影像图</w:t>
      </w:r>
    </w:p>
    <w:p>
      <w:pPr>
        <w:rPr>
          <w:rFonts w:hint="eastAsia"/>
          <w:color w:val="000000" w:themeColor="text1"/>
          <w:lang w:val="en-US" w:eastAsia="zh-CN"/>
          <w14:textFill>
            <w14:solidFill>
              <w14:schemeClr w14:val="tx1"/>
            </w14:solidFill>
          </w14:textFill>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pStyle w:val="6"/>
        <w:pageBreakBefore w:val="0"/>
        <w:widowControl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Times New Roman" w:hAnsi="Times New Roman" w:eastAsia="仿宋_GB2312" w:cs="Times New Roman"/>
          <w:color w:val="000000" w:themeColor="text1"/>
          <w:sz w:val="24"/>
          <w14:textFill>
            <w14:solidFill>
              <w14:schemeClr w14:val="tx1"/>
            </w14:solidFill>
          </w14:textFill>
        </w:rPr>
      </w:pPr>
      <w:r>
        <w:rPr>
          <w:rFonts w:eastAsia="仿宋_GB2312"/>
          <w:bCs w:val="0"/>
          <w:color w:val="000000" w:themeColor="text1"/>
          <w:sz w:val="28"/>
          <w14:textFill>
            <w14:solidFill>
              <w14:schemeClr w14:val="tx1"/>
            </w14:solidFill>
          </w14:textFill>
        </w:rPr>
        <w:t xml:space="preserve">3.2.2 </w:t>
      </w:r>
      <w:r>
        <w:rPr>
          <w:rFonts w:hint="eastAsia" w:ascii="黑体" w:hAnsi="黑体" w:eastAsia="黑体" w:cs="黑体"/>
          <w:bCs w:val="0"/>
          <w:color w:val="000000" w:themeColor="text1"/>
          <w:sz w:val="28"/>
          <w14:textFill>
            <w14:solidFill>
              <w14:schemeClr w14:val="tx1"/>
            </w14:solidFill>
          </w14:textFill>
        </w:rPr>
        <w:t>地形地貌</w:t>
      </w:r>
      <w:bookmarkStart w:id="38" w:name="_Toc271218880"/>
      <w:bookmarkStart w:id="39" w:name="_Toc276377113"/>
    </w:p>
    <w:bookmarkEnd w:id="38"/>
    <w:bookmarkEnd w:id="39"/>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区处于盖孜河-库山河冲积平原上，塔克拉玛干大沙漠边缘，多为第四系松散沉积物。区内多为耕地，并广泛分布着少量的红柳林、沼泽地和盐碱地。地形总的趋势由西南向东北倾斜，地面坡降1/500-1/1500左右。</w:t>
      </w:r>
    </w:p>
    <w:tbl>
      <w:tblPr>
        <w:tblStyle w:val="21"/>
        <w:tblW w:w="992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61"/>
        <w:gridCol w:w="4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4961" w:type="dxa"/>
            <w:tcBorders>
              <w:tl2br w:val="nil"/>
              <w:tr2bl w:val="nil"/>
            </w:tcBorders>
            <w:noWrap w:val="0"/>
            <w:vAlign w:val="top"/>
          </w:tcPr>
          <w:p>
            <w:pPr>
              <w:pageBreakBefore w:val="0"/>
              <w:kinsoku/>
              <w:wordWrap/>
              <w:topLinePunct w:val="0"/>
              <w:autoSpaceDE w:val="0"/>
              <w:autoSpaceDN w:val="0"/>
              <w:bidi w:val="0"/>
              <w:adjustRightInd w:val="0"/>
              <w:snapToGrid w:val="0"/>
              <w:spacing w:line="360" w:lineRule="auto"/>
              <w:jc w:val="center"/>
              <w:rPr>
                <w:rFonts w:hint="eastAsia" w:ascii="黑体" w:hAnsi="黑体" w:eastAsia="黑体" w:cs="黑体"/>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drawing>
                <wp:inline distT="0" distB="0" distL="114300" distR="114300">
                  <wp:extent cx="3060065" cy="2174240"/>
                  <wp:effectExtent l="0" t="0" r="6985" b="16510"/>
                  <wp:docPr id="113" name="图片 7" descr="微信图片_20230817143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descr="微信图片_2023081714320834"/>
                          <pic:cNvPicPr>
                            <a:picLocks noChangeAspect="1"/>
                          </pic:cNvPicPr>
                        </pic:nvPicPr>
                        <pic:blipFill>
                          <a:blip r:embed="rId9"/>
                          <a:srcRect b="46698"/>
                          <a:stretch>
                            <a:fillRect/>
                          </a:stretch>
                        </pic:blipFill>
                        <pic:spPr>
                          <a:xfrm>
                            <a:off x="0" y="0"/>
                            <a:ext cx="3060065" cy="2174240"/>
                          </a:xfrm>
                          <a:prstGeom prst="rect">
                            <a:avLst/>
                          </a:prstGeom>
                          <a:noFill/>
                          <a:ln>
                            <a:noFill/>
                          </a:ln>
                        </pic:spPr>
                      </pic:pic>
                    </a:graphicData>
                  </a:graphic>
                </wp:inline>
              </w:drawing>
            </w:r>
          </w:p>
        </w:tc>
        <w:tc>
          <w:tcPr>
            <w:tcW w:w="4960" w:type="dxa"/>
            <w:tcBorders>
              <w:tl2br w:val="nil"/>
              <w:tr2bl w:val="nil"/>
            </w:tcBorders>
            <w:noWrap w:val="0"/>
            <w:vAlign w:val="top"/>
          </w:tcPr>
          <w:p>
            <w:pPr>
              <w:pageBreakBefore w:val="0"/>
              <w:kinsoku/>
              <w:wordWrap/>
              <w:topLinePunct w:val="0"/>
              <w:autoSpaceDE w:val="0"/>
              <w:autoSpaceDN w:val="0"/>
              <w:bidi w:val="0"/>
              <w:adjustRightInd w:val="0"/>
              <w:snapToGrid w:val="0"/>
              <w:spacing w:line="360" w:lineRule="auto"/>
              <w:jc w:val="center"/>
              <w:rPr>
                <w:rFonts w:hint="eastAsia" w:ascii="黑体" w:hAnsi="黑体" w:eastAsia="黑体" w:cs="黑体"/>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drawing>
                <wp:inline distT="0" distB="0" distL="114300" distR="114300">
                  <wp:extent cx="3060065" cy="2186940"/>
                  <wp:effectExtent l="0" t="0" r="6985" b="3810"/>
                  <wp:docPr id="117" name="图片 8" descr="微信图片_20230817143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descr="微信图片_2023081714320813"/>
                          <pic:cNvPicPr>
                            <a:picLocks noChangeAspect="1"/>
                          </pic:cNvPicPr>
                        </pic:nvPicPr>
                        <pic:blipFill>
                          <a:blip r:embed="rId10"/>
                          <a:srcRect t="4059" b="42321"/>
                          <a:stretch>
                            <a:fillRect/>
                          </a:stretch>
                        </pic:blipFill>
                        <pic:spPr>
                          <a:xfrm>
                            <a:off x="0" y="0"/>
                            <a:ext cx="3060065" cy="21869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4961" w:type="dxa"/>
            <w:tcBorders>
              <w:tl2br w:val="nil"/>
              <w:tr2bl w:val="nil"/>
            </w:tcBorders>
            <w:noWrap w:val="0"/>
            <w:vAlign w:val="top"/>
          </w:tcPr>
          <w:p>
            <w:pPr>
              <w:pageBreakBefore w:val="0"/>
              <w:kinsoku/>
              <w:wordWrap/>
              <w:topLinePunct w:val="0"/>
              <w:autoSpaceDE w:val="0"/>
              <w:autoSpaceDN w:val="0"/>
              <w:bidi w:val="0"/>
              <w:adjustRightInd w:val="0"/>
              <w:snapToGrid w:val="0"/>
              <w:spacing w:line="360" w:lineRule="auto"/>
              <w:jc w:val="center"/>
              <w:rPr>
                <w:rFonts w:hint="default" w:ascii="黑体" w:hAnsi="黑体" w:eastAsia="黑体" w:cs="黑体"/>
                <w:color w:val="000000" w:themeColor="text1"/>
                <w:kern w:val="0"/>
                <w:szCs w:val="21"/>
                <w:lang w:val="en-US" w:eastAsia="zh-CN"/>
                <w14:textFill>
                  <w14:solidFill>
                    <w14:schemeClr w14:val="tx1"/>
                  </w14:solidFill>
                </w14:textFill>
              </w:rPr>
            </w:pPr>
            <w:r>
              <w:rPr>
                <w:rFonts w:hint="eastAsia" w:ascii="黑体" w:hAnsi="黑体" w:eastAsia="黑体" w:cs="黑体"/>
                <w:color w:val="000000" w:themeColor="text1"/>
                <w:kern w:val="0"/>
                <w:szCs w:val="21"/>
                <w:lang w:val="en-US" w:eastAsia="zh-CN"/>
                <w14:textFill>
                  <w14:solidFill>
                    <w14:schemeClr w14:val="tx1"/>
                  </w14:solidFill>
                </w14:textFill>
              </w:rPr>
              <w:t>材料堆场、制梁厂、施工驻地宗地一地形地貌</w:t>
            </w:r>
          </w:p>
        </w:tc>
        <w:tc>
          <w:tcPr>
            <w:tcW w:w="4960" w:type="dxa"/>
            <w:tcBorders>
              <w:tl2br w:val="nil"/>
              <w:tr2bl w:val="nil"/>
            </w:tcBorders>
            <w:noWrap w:val="0"/>
            <w:vAlign w:val="center"/>
          </w:tcPr>
          <w:p>
            <w:pPr>
              <w:pageBreakBefore w:val="0"/>
              <w:kinsoku/>
              <w:wordWrap/>
              <w:topLinePunct w:val="0"/>
              <w:autoSpaceDE w:val="0"/>
              <w:autoSpaceDN w:val="0"/>
              <w:bidi w:val="0"/>
              <w:adjustRightInd w:val="0"/>
              <w:snapToGrid w:val="0"/>
              <w:spacing w:line="360" w:lineRule="auto"/>
              <w:jc w:val="center"/>
              <w:rPr>
                <w:rFonts w:hint="default" w:ascii="黑体" w:hAnsi="黑体" w:eastAsia="黑体" w:cs="黑体"/>
                <w:color w:val="000000" w:themeColor="text1"/>
                <w:kern w:val="0"/>
                <w:szCs w:val="21"/>
                <w:lang w:val="en-US" w:eastAsia="zh-CN"/>
                <w14:textFill>
                  <w14:solidFill>
                    <w14:schemeClr w14:val="tx1"/>
                  </w14:solidFill>
                </w14:textFill>
              </w:rPr>
            </w:pPr>
            <w:r>
              <w:rPr>
                <w:rFonts w:hint="eastAsia" w:ascii="黑体" w:hAnsi="黑体" w:eastAsia="黑体" w:cs="黑体"/>
                <w:color w:val="000000" w:themeColor="text1"/>
                <w:kern w:val="0"/>
                <w:szCs w:val="21"/>
                <w:lang w:val="en-US" w:eastAsia="zh-CN"/>
                <w14:textFill>
                  <w14:solidFill>
                    <w14:schemeClr w14:val="tx1"/>
                  </w14:solidFill>
                </w14:textFill>
              </w:rPr>
              <w:t>材料堆场、制梁厂、施工驻地宗地三地形地貌</w:t>
            </w:r>
          </w:p>
        </w:tc>
      </w:tr>
    </w:tbl>
    <w:p>
      <w:pPr>
        <w:pageBreakBefore w:val="0"/>
        <w:kinsoku/>
        <w:wordWrap/>
        <w:topLinePunct w:val="0"/>
        <w:autoSpaceDE w:val="0"/>
        <w:autoSpaceDN w:val="0"/>
        <w:bidi w:val="0"/>
        <w:adjustRightInd w:val="0"/>
        <w:snapToGrid w:val="0"/>
        <w:spacing w:line="360" w:lineRule="auto"/>
        <w:jc w:val="center"/>
        <w:rPr>
          <w:rFonts w:hint="eastAsia" w:ascii="黑体" w:hAnsi="黑体" w:eastAsia="黑体" w:cs="黑体"/>
          <w:color w:val="000000" w:themeColor="text1"/>
          <w:kern w:val="0"/>
          <w:szCs w:val="21"/>
          <w14:textFill>
            <w14:solidFill>
              <w14:schemeClr w14:val="tx1"/>
            </w14:solidFill>
          </w14:textFill>
        </w:rPr>
      </w:pPr>
      <w:r>
        <w:rPr>
          <w:rFonts w:hint="eastAsia" w:ascii="黑体" w:hAnsi="黑体" w:eastAsia="黑体" w:cs="黑体"/>
          <w:color w:val="000000" w:themeColor="text1"/>
          <w:kern w:val="0"/>
          <w:szCs w:val="21"/>
          <w:lang w:eastAsia="zh-CN"/>
          <w14:textFill>
            <w14:solidFill>
              <w14:schemeClr w14:val="tx1"/>
            </w14:solidFill>
          </w14:textFill>
        </w:rPr>
        <w:t>照片</w:t>
      </w:r>
      <w:r>
        <w:rPr>
          <w:rFonts w:hint="eastAsia" w:ascii="黑体" w:hAnsi="黑体" w:eastAsia="黑体" w:cs="黑体"/>
          <w:color w:val="000000" w:themeColor="text1"/>
          <w:kern w:val="0"/>
          <w:szCs w:val="21"/>
          <w:lang w:val="en-US" w:eastAsia="zh-CN"/>
          <w14:textFill>
            <w14:solidFill>
              <w14:schemeClr w14:val="tx1"/>
            </w14:solidFill>
          </w14:textFill>
        </w:rPr>
        <w:t>3-1</w:t>
      </w:r>
      <w:r>
        <w:rPr>
          <w:rFonts w:hint="eastAsia" w:ascii="黑体" w:hAnsi="黑体" w:eastAsia="黑体" w:cs="黑体"/>
          <w:color w:val="000000" w:themeColor="text1"/>
          <w:kern w:val="0"/>
          <w:szCs w:val="21"/>
          <w14:textFill>
            <w14:solidFill>
              <w14:schemeClr w14:val="tx1"/>
            </w14:solidFill>
          </w14:textFill>
        </w:rPr>
        <w:t xml:space="preserve">  </w:t>
      </w:r>
      <w:r>
        <w:rPr>
          <w:rFonts w:hint="eastAsia" w:ascii="黑体" w:hAnsi="黑体" w:eastAsia="黑体" w:cs="黑体"/>
          <w:color w:val="000000" w:themeColor="text1"/>
          <w:kern w:val="0"/>
          <w:szCs w:val="21"/>
          <w:lang w:eastAsia="zh-CN"/>
          <w14:textFill>
            <w14:solidFill>
              <w14:schemeClr w14:val="tx1"/>
            </w14:solidFill>
          </w14:textFill>
        </w:rPr>
        <w:t>地形</w:t>
      </w:r>
      <w:r>
        <w:rPr>
          <w:rFonts w:hint="eastAsia" w:ascii="黑体" w:hAnsi="黑体" w:eastAsia="黑体" w:cs="黑体"/>
          <w:color w:val="000000" w:themeColor="text1"/>
          <w:kern w:val="0"/>
          <w:szCs w:val="21"/>
          <w14:textFill>
            <w14:solidFill>
              <w14:schemeClr w14:val="tx1"/>
            </w14:solidFill>
          </w14:textFill>
        </w:rPr>
        <w:t>地貌</w:t>
      </w:r>
    </w:p>
    <w:p>
      <w:pPr>
        <w:pStyle w:val="6"/>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eastAsia="仿宋_GB2312"/>
          <w:bCs w:val="0"/>
          <w:color w:val="000000" w:themeColor="text1"/>
          <w:sz w:val="28"/>
          <w14:textFill>
            <w14:solidFill>
              <w14:schemeClr w14:val="tx1"/>
            </w14:solidFill>
          </w14:textFill>
        </w:rPr>
        <w:t xml:space="preserve">3.2.3 </w:t>
      </w:r>
      <w:r>
        <w:rPr>
          <w:rFonts w:hint="eastAsia" w:ascii="黑体" w:hAnsi="黑体" w:eastAsia="黑体" w:cs="黑体"/>
          <w:bCs w:val="0"/>
          <w:color w:val="000000" w:themeColor="text1"/>
          <w:sz w:val="28"/>
          <w14:textFill>
            <w14:solidFill>
              <w14:schemeClr w14:val="tx1"/>
            </w14:solidFill>
          </w14:textFill>
        </w:rPr>
        <w:t>气象水文</w:t>
      </w:r>
    </w:p>
    <w:p>
      <w:pPr>
        <w:snapToGrid w:val="0"/>
        <w:spacing w:line="360" w:lineRule="auto"/>
        <w:ind w:firstLine="480" w:firstLineChars="200"/>
        <w:rPr>
          <w:rFonts w:hint="default" w:ascii="Times New Roman" w:hAnsi="Times New Roman" w:eastAsia="仿宋_GB2312" w:cs="Times New Roman"/>
          <w:color w:val="000000" w:themeColor="text1"/>
          <w:sz w:val="24"/>
          <w:szCs w:val="24"/>
          <w:lang w:eastAsia="zh-CN"/>
          <w14:textFill>
            <w14:solidFill>
              <w14:schemeClr w14:val="tx1"/>
            </w14:solidFill>
          </w14:textFill>
        </w:rPr>
      </w:pPr>
      <w:bookmarkStart w:id="40" w:name="_Toc249295628"/>
      <w:bookmarkStart w:id="41" w:name="_Toc249295297"/>
      <w:bookmarkStart w:id="42" w:name="_Toc249295462"/>
      <w:bookmarkStart w:id="43" w:name="_Toc249938660"/>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a）</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气象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项目临时用地位于塔克拉玛干沙漠边缘，远离海洋，气候干燥，属典型大陆性气候, 最冷月1月的平均气温为-5.9℃，属于寒冷地区；多年平均气温11.4℃，多年平均降水量为68.7mm，多年平均蒸发量2274.6mm，多年最大冻土深度为65cm。</w:t>
      </w:r>
    </w:p>
    <w:p>
      <w:pPr>
        <w:snapToGrid w:val="0"/>
        <w:spacing w:line="360" w:lineRule="auto"/>
        <w:ind w:firstLine="480" w:firstLineChars="200"/>
        <w:rPr>
          <w:rFonts w:hint="default" w:ascii="Times New Roman" w:hAnsi="Times New Roman" w:eastAsia="仿宋_GB2312" w:cs="Times New Roman"/>
          <w:color w:val="000000" w:themeColor="text1"/>
          <w:sz w:val="24"/>
          <w:szCs w:val="24"/>
          <w:lang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b</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）水文</w:t>
      </w:r>
    </w:p>
    <w:bookmarkEnd w:id="40"/>
    <w:bookmarkEnd w:id="41"/>
    <w:bookmarkEnd w:id="42"/>
    <w:bookmarkEnd w:id="43"/>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1、地表水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区位于盖孜河流域，盖孜河意为“灰水河”，水呈灰白色，发源于帕米尔高原萨里阔勒岭北麓的慕士塔格峰、公格尔山、昆盖山，上游由雅玛亚河、康西瓦河和木吉河在阿克陶县布伦口乡一带汇合而成，为喀什噶尔河流域第二大河。河流全长374千米， 疏勒县境内长74千米,集水面积10860平方千米,河中常年有水，主要以冰雪融水补给为主，据盖孜河中游克勒克水文站1958年至1996年38年的实测资料统计，出山口处多年平均径流量11.86亿立方米（含其它小河），进入疏勒县时径流量为6.1776亿立方米，疏勒县年均从盖孜河引水25258.95万立方米，灌溉巴合齐乡、塔孜洪乡、英尔力克乡、罕南力克镇、库木西力克乡、塔尕尔其乡等6个乡镇195平方千米耕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小草湖干渠水渠水源来自盖孜河三道桥引水枢纽。盖孜河流域位于新疆维吾尔自治区的西南部，塔里木盆地的西部边缘，为我国内陆河—喀什噶尔河水系的源流之一，是喀什噶尔河流域的一个组成部分。喀什噶尔河流域西面与塔吉克斯坦接壤，东面与叶尔羌河流域比邻。喀什噶尔河流域水系主要由克孜河、盖孜河、库山河、依格孜亚河、恰克马克河组成，其灌区交错相连；盖孜河流域的北面与南面分别为克孜河流域和库山河流域，盖孜河流域处在中间位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2、地下水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临时用地区域位于冲洪积细土平原区，含水层为粉砂。地下水以上部潜水、下部微承压水的方式赋存于冲洪积粉砂层孔隙之中，流速由南西向北东逐渐减小，主要接受上游地下水侧向径流补给、地表水入渗补给、田间灌溉水、渠系水入渗补给。该区地表水转化的地下水蒸发、蒸腾作用强烈，因此地下水水质较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项目区覆盖着深厚的第四系松散沉积物，上部多为粉土，下部均为粉砂。在深度为15m范围内无相对隔水层分布，粉砂的渗透系数一般为3.7×10</w:t>
      </w:r>
      <w:r>
        <w:rPr>
          <w:rFonts w:hint="eastAsia" w:ascii="仿宋_GB2312" w:hAnsi="仿宋_GB2312" w:eastAsia="仿宋_GB2312" w:cs="仿宋_GB2312"/>
          <w:color w:val="000000" w:themeColor="text1"/>
          <w:sz w:val="24"/>
          <w:szCs w:val="24"/>
          <w:highlight w:val="none"/>
          <w:vertAlign w:val="superscript"/>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cm/s-5.8×10</w:t>
      </w:r>
      <w:r>
        <w:rPr>
          <w:rFonts w:hint="eastAsia" w:ascii="仿宋_GB2312" w:hAnsi="仿宋_GB2312" w:eastAsia="仿宋_GB2312" w:cs="仿宋_GB2312"/>
          <w:color w:val="000000" w:themeColor="text1"/>
          <w:sz w:val="24"/>
          <w:szCs w:val="24"/>
          <w:highlight w:val="none"/>
          <w:vertAlign w:val="superscript"/>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cm/s。项目区地下水位埋深一般为1.00m-3.00m，局部低洼处出露地表。地下水的主要排泄途径为蒸发和蒸腾。由于地下水受季节性地表水补给影响，地下水位高水位期为11-12月份，低水位期为来年的5-7月份，地下水年内变化幅度范围在0.50m-2.00m。多年来地下水位埋深呈下降趋势。</w:t>
      </w:r>
    </w:p>
    <w:p>
      <w:pPr>
        <w:pStyle w:val="6"/>
        <w:adjustRightInd w:val="0"/>
        <w:snapToGrid w:val="0"/>
        <w:spacing w:before="0" w:beforeAutospacing="0" w:after="0" w:afterAutospacing="0" w:line="360" w:lineRule="auto"/>
        <w:rPr>
          <w:rFonts w:ascii="黑体" w:hAnsi="黑体" w:eastAsia="黑体" w:cs="黑体"/>
          <w:bCs w:val="0"/>
          <w:color w:val="000000" w:themeColor="text1"/>
          <w:sz w:val="28"/>
          <w14:textFill>
            <w14:solidFill>
              <w14:schemeClr w14:val="tx1"/>
            </w14:solidFill>
          </w14:textFill>
        </w:rPr>
      </w:pPr>
      <w:r>
        <w:rPr>
          <w:rFonts w:ascii="黑体" w:hAnsi="黑体" w:eastAsia="黑体" w:cs="黑体"/>
          <w:bCs w:val="0"/>
          <w:color w:val="000000" w:themeColor="text1"/>
          <w:sz w:val="28"/>
          <w14:textFill>
            <w14:solidFill>
              <w14:schemeClr w14:val="tx1"/>
            </w14:solidFill>
          </w14:textFill>
        </w:rPr>
        <w:t>3.2.4 工程地质与环境地质</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区域地质构造</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本区所处的大地构造单元为塔里木地台的次一级构造单元的西南坳陷和中央隆起——即莎车坳陷的东北地，麦盖提斜坡，巴楚凸起的高地之上。本地区地震动峰值加速度为0.</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2</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0g，地震动反应谱特征周期为0.</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4</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5s，相应的地震基本烈度为Ⅷ度。</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 xml:space="preserve"> b</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工程地质条件评价</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1、本工程渠道沿线地层上部为低液限粉土，下部为细（粉）砂，未钻穿。根据大量室内剪切试验及室内休止角试验，建议渠堤内边坡系数为1:1.5，外边坡系数为1:1.5。</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2、本工程渠道地下水埋深位于设计渠底线以下1.</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3.0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m。渠道渗漏主要为渠基渗漏，其次为渠堤渗漏。建议全段断面采用防渗设计。</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3、渠道沿线地层均为季节性冻土，最大冻深为0.</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65</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m。渠道沿线土层均可对渠基和渠堤边坡产生冻胀破坏影响，建议采用符合防冻胀要求的风积砂或砂砾石换填。</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4、工程场地环境类型按Ⅱ类考虑。渠道沿线地层土对混凝土结构具中等腐蚀性，对钢筋混凝土结构中的钢筋具中等腐蚀性。应采取相应的防腐措施。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5、地下水对混凝土无分解类和分解结晶复合类腐蚀性；对普通水泥具结晶类强腐蚀性，对抗硫酸盐水泥无腐蚀性。应采取相应的防护措施。沿线地下水不能用作混凝土和施工用水。混凝土用水可以直接使用盖孜河河水。</w:t>
      </w:r>
    </w:p>
    <w:p>
      <w:pPr>
        <w:pStyle w:val="6"/>
        <w:adjustRightInd w:val="0"/>
        <w:snapToGrid w:val="0"/>
        <w:spacing w:before="0" w:beforeAutospacing="0" w:after="0" w:afterAutospacing="0" w:line="360" w:lineRule="auto"/>
        <w:rPr>
          <w:rFonts w:ascii="黑体" w:hAnsi="黑体" w:eastAsia="黑体" w:cs="黑体"/>
          <w:color w:val="000000" w:themeColor="text1"/>
          <w:sz w:val="28"/>
          <w:lang w:val="en-US" w:eastAsia="zh-CN"/>
          <w14:textFill>
            <w14:solidFill>
              <w14:schemeClr w14:val="tx1"/>
            </w14:solidFill>
          </w14:textFill>
        </w:rPr>
      </w:pPr>
      <w:r>
        <w:rPr>
          <w:rFonts w:ascii="黑体" w:hAnsi="黑体" w:eastAsia="黑体" w:cs="黑体"/>
          <w:color w:val="000000" w:themeColor="text1"/>
          <w:sz w:val="28"/>
          <w:lang w:val="en-US" w:eastAsia="zh-CN"/>
          <w14:textFill>
            <w14:solidFill>
              <w14:schemeClr w14:val="tx1"/>
            </w14:solidFill>
          </w14:textFill>
        </w:rPr>
        <w:t>3.2.5 地震烈度划分</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项目区处于天山地震带的西段，属新疆地震活动较为强烈的区域之一，具有地震活动强度及频度均较高的特点。据1/400万《中国地震动参数区划图(GB18306-2015)》，项目区地震动峰值加速度为0.</w:t>
      </w:r>
      <w:r>
        <w:rPr>
          <w:rFonts w:hint="eastAsia" w:eastAsia="仿宋_GB2312" w:cs="Times New Roman"/>
          <w:color w:val="000000" w:themeColor="text1"/>
          <w:sz w:val="24"/>
          <w:szCs w:val="24"/>
          <w:lang w:val="en-US" w:eastAsia="zh-CN"/>
          <w14:textFill>
            <w14:solidFill>
              <w14:schemeClr w14:val="tx1"/>
            </w14:solidFill>
          </w14:textFill>
        </w:rPr>
        <w:t>3</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0</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g，相应的地震基本烈度为Ⅷ度</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根据地壳结构、新生代地壳形变、迭加断裂角、布格异常梯度值、地震震级、地震基本烈度、地震动峰值加速度等指标，并考虑地貌、地质灾害等条件，结合《区域地壳稳定性分区和判别指标一览表》，项目区地壳属</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次不</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稳定区，工程建设</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条件中等适宜须加强抗震和工程措施。</w:t>
      </w:r>
    </w:p>
    <w:tbl>
      <w:tblPr>
        <w:tblStyle w:val="20"/>
        <w:tblW w:w="71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4" w:type="dxa"/>
            <w:tcBorders>
              <w:top w:val="dotted" w:color="auto" w:sz="4" w:space="0"/>
              <w:left w:val="dotted" w:color="auto" w:sz="4" w:space="0"/>
              <w:bottom w:val="nil"/>
              <w:right w:val="dotted" w:color="auto" w:sz="4" w:space="0"/>
            </w:tcBorders>
            <w:noWrap w:val="0"/>
            <w:vAlign w:val="top"/>
          </w:tcPr>
          <w:p>
            <w:pPr>
              <w:adjustRightInd w:val="0"/>
              <w:snapToGrid w:val="0"/>
              <w:spacing w:line="360" w:lineRule="auto"/>
              <w:jc w:val="center"/>
              <w:rPr>
                <w:rFonts w:hint="eastAsia" w:eastAsia="仿宋_GB2312"/>
                <w:color w:val="000000" w:themeColor="text1"/>
                <w:sz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94" w:type="dxa"/>
            <w:tcBorders>
              <w:top w:val="nil"/>
              <w:left w:val="dotted" w:color="auto" w:sz="4" w:space="0"/>
              <w:bottom w:val="dotted" w:color="auto" w:sz="4" w:space="0"/>
              <w:right w:val="dotted" w:color="auto" w:sz="4" w:space="0"/>
            </w:tcBorders>
            <w:noWrap w:val="0"/>
            <w:vAlign w:val="top"/>
          </w:tcPr>
          <w:p>
            <w:pPr>
              <w:autoSpaceDE w:val="0"/>
              <w:autoSpaceDN w:val="0"/>
              <w:adjustRightInd w:val="0"/>
              <w:snapToGrid w:val="0"/>
              <w:spacing w:line="360" w:lineRule="auto"/>
              <w:ind w:firstLine="420" w:firstLineChars="200"/>
              <w:jc w:val="center"/>
              <w:rPr>
                <w:rFonts w:hint="eastAsia" w:eastAsia="仿宋_GB2312"/>
                <w:color w:val="000000" w:themeColor="text1"/>
                <w:sz w:val="24"/>
                <w14:textFill>
                  <w14:solidFill>
                    <w14:schemeClr w14:val="tx1"/>
                  </w14:solidFill>
                </w14:textFill>
              </w:rPr>
            </w:pPr>
            <w:r>
              <w:rPr>
                <w:rFonts w:hint="eastAsia" w:eastAsia="黑体"/>
                <w:color w:val="000000" w:themeColor="text1"/>
                <w:szCs w:val="21"/>
                <w14:textFill>
                  <w14:solidFill>
                    <w14:schemeClr w14:val="tx1"/>
                  </w14:solidFill>
                </w14:textFill>
              </w:rPr>
              <w:t>图3-2 地震动峰值加速度区划图</w:t>
            </w:r>
          </w:p>
        </w:tc>
      </w:tr>
    </w:tbl>
    <w:p>
      <w:pPr>
        <w:pStyle w:val="6"/>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2"/>
        <w:rPr>
          <w:rFonts w:hint="eastAsia"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3.2.</w:t>
      </w:r>
      <w:r>
        <w:rPr>
          <w:rFonts w:hint="eastAsia" w:ascii="黑体" w:hAnsi="黑体" w:eastAsia="黑体" w:cs="黑体"/>
          <w:color w:val="000000" w:themeColor="text1"/>
          <w:sz w:val="28"/>
          <w:szCs w:val="28"/>
          <w:lang w:val="en-US" w:eastAsia="zh-CN"/>
          <w14:textFill>
            <w14:solidFill>
              <w14:schemeClr w14:val="tx1"/>
            </w14:solidFill>
          </w14:textFill>
        </w:rPr>
        <w:t>6土壤</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按照《中国土壤》和《新疆土壤》等著述的土壤分类系统，依据《新疆维吾尔自治区土壤类型1：50万图》和野外实地调查，项目区土壤类型主要为</w:t>
      </w:r>
      <w:r>
        <w:rPr>
          <w:rFonts w:hint="eastAsia" w:eastAsia="仿宋_GB2312" w:cs="Times New Roman"/>
          <w:color w:val="000000" w:themeColor="text1"/>
          <w:sz w:val="24"/>
          <w:szCs w:val="24"/>
          <w:lang w:val="en-US" w:eastAsia="zh-CN"/>
          <w14:textFill>
            <w14:solidFill>
              <w14:schemeClr w14:val="tx1"/>
            </w14:solidFill>
          </w14:textFill>
        </w:rPr>
        <w:t>棕漠土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项目区土壤为</w:t>
      </w:r>
      <w:r>
        <w:rPr>
          <w:rFonts w:hint="eastAsia" w:eastAsia="仿宋_GB2312" w:cs="Times New Roman"/>
          <w:color w:val="000000" w:themeColor="text1"/>
          <w:sz w:val="24"/>
          <w:szCs w:val="24"/>
          <w:lang w:val="en-US" w:eastAsia="zh-CN"/>
          <w14:textFill>
            <w14:solidFill>
              <w14:schemeClr w14:val="tx1"/>
            </w14:solidFill>
          </w14:textFill>
        </w:rPr>
        <w:t>棕漠土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。土体厚度在20-</w:t>
      </w:r>
      <w:r>
        <w:rPr>
          <w:rFonts w:hint="eastAsia" w:eastAsia="仿宋_GB2312" w:cs="Times New Roman"/>
          <w:color w:val="000000" w:themeColor="text1"/>
          <w:sz w:val="24"/>
          <w:szCs w:val="24"/>
          <w:lang w:val="en-US" w:eastAsia="zh-CN"/>
          <w14:textFill>
            <w14:solidFill>
              <w14:schemeClr w14:val="tx1"/>
            </w14:solidFill>
          </w14:textFill>
        </w:rPr>
        <w:t>50</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厘米间，为黄土性母质上发育的</w:t>
      </w:r>
      <w:r>
        <w:rPr>
          <w:rFonts w:hint="eastAsia" w:eastAsia="仿宋_GB2312" w:cs="Times New Roman"/>
          <w:color w:val="000000" w:themeColor="text1"/>
          <w:sz w:val="24"/>
          <w:szCs w:val="24"/>
          <w:lang w:val="en-US" w:eastAsia="zh-CN"/>
          <w14:textFill>
            <w14:solidFill>
              <w14:schemeClr w14:val="tx1"/>
            </w14:solidFill>
          </w14:textFill>
        </w:rPr>
        <w:t>棕漠土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，土体偏厚，残积坡积物上发育的土体偏薄。</w:t>
      </w:r>
      <w:r>
        <w:rPr>
          <w:rFonts w:hint="eastAsia" w:eastAsia="仿宋_GB2312" w:cs="Times New Roman"/>
          <w:color w:val="000000" w:themeColor="text1"/>
          <w:sz w:val="24"/>
          <w:szCs w:val="24"/>
          <w:lang w:val="en-US" w:eastAsia="zh-CN"/>
          <w14:textFill>
            <w14:solidFill>
              <w14:schemeClr w14:val="tx1"/>
            </w14:solidFill>
          </w14:textFill>
        </w:rPr>
        <w:t>棕漠土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的表层质地多为粘壤土至壤粘土，尚有砂质壤，砂砾质粘壤土，而上层质地则稍粘；有些剖面质地变化不大。</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耕地、种植园用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地质量等别为</w:t>
      </w:r>
      <w:r>
        <w:rPr>
          <w:rFonts w:hint="eastAsia" w:eastAsia="仿宋_GB2312" w:cs="Times New Roman"/>
          <w:color w:val="000000" w:themeColor="text1"/>
          <w:sz w:val="24"/>
          <w:szCs w:val="24"/>
          <w:lang w:val="en-US" w:eastAsia="zh-CN"/>
          <w14:textFill>
            <w14:solidFill>
              <w14:schemeClr w14:val="tx1"/>
            </w14:solidFill>
          </w14:textFill>
        </w:rPr>
        <w:t>六</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级，</w:t>
      </w:r>
      <w:r>
        <w:rPr>
          <w:rFonts w:hint="eastAsia" w:eastAsia="仿宋_GB2312" w:cs="Times New Roman"/>
          <w:color w:val="000000" w:themeColor="text1"/>
          <w:sz w:val="24"/>
          <w:szCs w:val="24"/>
          <w:lang w:val="en-US" w:eastAsia="zh-CN"/>
          <w14:textFill>
            <w14:solidFill>
              <w14:schemeClr w14:val="tx1"/>
            </w14:solidFill>
          </w14:textFill>
        </w:rPr>
        <w:t>区域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表层容重在1.40克/立方厘米左右，变幅在1.28-1.50克/立方厘米。土壤孔隙度较大，为5.9%-19.1%，</w:t>
      </w:r>
      <w:r>
        <w:rPr>
          <w:rFonts w:hint="eastAsia" w:eastAsia="仿宋_GB2312" w:cs="Times New Roman"/>
          <w:color w:val="000000" w:themeColor="text1"/>
          <w:sz w:val="24"/>
          <w:szCs w:val="24"/>
          <w:lang w:val="en-US" w:eastAsia="zh-CN"/>
          <w14:textFill>
            <w14:solidFill>
              <w14:schemeClr w14:val="tx1"/>
            </w14:solidFill>
          </w14:textFill>
        </w:rPr>
        <w:t>棕漠土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呈中性至微碱性反应，</w:t>
      </w:r>
      <w:r>
        <w:rPr>
          <w:rFonts w:hint="eastAsia" w:ascii="Times New Roman" w:hAnsi="Times New Roman" w:eastAsia="仿宋_GB2312" w:cs="Times New Roman"/>
          <w:b w:val="0"/>
          <w:bCs/>
          <w:color w:val="000000" w:themeColor="text1"/>
          <w:sz w:val="24"/>
          <w14:textFill>
            <w14:solidFill>
              <w14:schemeClr w14:val="tx1"/>
            </w14:solidFill>
          </w14:textFill>
        </w:rPr>
        <w:t>PH值7.</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-8.5</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向下有增高趋势，该区砾石含量较少，约占7-10%，粒径5-15毫米，土壤腐殖质积累作用良好，表层土有机质含量约</w:t>
      </w:r>
      <w:r>
        <w:rPr>
          <w:rFonts w:hint="eastAsia" w:eastAsia="仿宋_GB2312" w:cs="Times New Roman"/>
          <w:color w:val="000000" w:themeColor="text1"/>
          <w:sz w:val="24"/>
          <w:szCs w:val="24"/>
          <w:lang w:val="en-US" w:eastAsia="zh-CN"/>
          <w14:textFill>
            <w14:solidFill>
              <w14:schemeClr w14:val="tx1"/>
            </w14:solidFill>
          </w14:textFill>
        </w:rPr>
        <w:t>8</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克/千克</w:t>
      </w:r>
      <w:r>
        <w:rPr>
          <w:rFonts w:hint="eastAsia" w:eastAsia="仿宋_GB2312" w:cs="Times New Roman"/>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林地区域</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表层土</w:t>
      </w:r>
      <w:r>
        <w:rPr>
          <w:rFonts w:hint="eastAsia" w:eastAsia="仿宋_GB2312" w:cs="Times New Roman"/>
          <w:color w:val="000000" w:themeColor="text1"/>
          <w:sz w:val="24"/>
          <w:szCs w:val="24"/>
          <w:lang w:val="en-US" w:eastAsia="zh-CN"/>
          <w14:textFill>
            <w14:solidFill>
              <w14:schemeClr w14:val="tx1"/>
            </w14:solidFill>
          </w14:textFill>
        </w:rPr>
        <w:t>有效层厚度约30厘米，</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有机质含量约</w:t>
      </w:r>
      <w:r>
        <w:rPr>
          <w:rFonts w:hint="eastAsia" w:eastAsia="仿宋_GB2312" w:cs="Times New Roman"/>
          <w:color w:val="000000" w:themeColor="text1"/>
          <w:sz w:val="24"/>
          <w:szCs w:val="24"/>
          <w:lang w:val="en-US" w:eastAsia="zh-CN"/>
          <w14:textFill>
            <w14:solidFill>
              <w14:schemeClr w14:val="tx1"/>
            </w14:solidFill>
          </w14:textFill>
        </w:rPr>
        <w:t>5-8</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克/千克，</w:t>
      </w:r>
      <w:r>
        <w:rPr>
          <w:rFonts w:hint="eastAsia" w:ascii="Times New Roman" w:hAnsi="Times New Roman" w:eastAsia="仿宋_GB2312" w:cs="Times New Roman"/>
          <w:b w:val="0"/>
          <w:bCs/>
          <w:color w:val="000000" w:themeColor="text1"/>
          <w:sz w:val="24"/>
          <w14:textFill>
            <w14:solidFill>
              <w14:schemeClr w14:val="tx1"/>
            </w14:solidFill>
          </w14:textFill>
        </w:rPr>
        <w:t>PH值7.</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-8.5</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土壤砾石含量约8-10%，</w:t>
      </w:r>
      <w:r>
        <w:rPr>
          <w:rFonts w:hint="eastAsia" w:eastAsia="仿宋_GB2312" w:cs="Times New Roman"/>
          <w:color w:val="000000" w:themeColor="text1"/>
          <w:sz w:val="24"/>
          <w:szCs w:val="24"/>
          <w:lang w:val="en-US" w:eastAsia="zh-CN"/>
          <w14:textFill>
            <w14:solidFill>
              <w14:schemeClr w14:val="tx1"/>
            </w14:solidFill>
          </w14:textFill>
        </w:rPr>
        <w:t>有机质含量＞5g/kg，土</w:t>
      </w:r>
      <w:r>
        <w:rPr>
          <w:rFonts w:hint="eastAsia" w:ascii="Times New Roman" w:hAnsi="Times New Roman" w:eastAsia="仿宋_GB2312" w:cs="Times New Roman"/>
          <w:b w:val="0"/>
          <w:bCs/>
          <w:color w:val="000000" w:themeColor="text1"/>
          <w:sz w:val="24"/>
          <w14:textFill>
            <w14:solidFill>
              <w14:schemeClr w14:val="tx1"/>
            </w14:solidFill>
          </w14:textFill>
        </w:rPr>
        <w:t>壤容</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重≤1.40</w:t>
      </w:r>
      <w:r>
        <w:rPr>
          <w:rFonts w:hint="eastAsia" w:ascii="Times New Roman" w:hAnsi="Times New Roman" w:eastAsia="仿宋_GB2312" w:cs="Times New Roman"/>
          <w:b w:val="0"/>
          <w:bCs/>
          <w:color w:val="000000" w:themeColor="text1"/>
          <w:sz w:val="24"/>
          <w14:textFill>
            <w14:solidFill>
              <w14:schemeClr w14:val="tx1"/>
            </w14:solidFill>
          </w14:textFill>
        </w:rPr>
        <w:t>g/cm</w:t>
      </w:r>
      <w:r>
        <w:rPr>
          <w:rFonts w:hint="eastAsia" w:ascii="Times New Roman" w:hAnsi="Times New Roman" w:eastAsia="仿宋_GB2312" w:cs="Times New Roman"/>
          <w:b w:val="0"/>
          <w:bCs/>
          <w:color w:val="000000" w:themeColor="text1"/>
          <w:sz w:val="24"/>
          <w:vertAlign w:val="superscript"/>
          <w14:textFill>
            <w14:solidFill>
              <w14:schemeClr w14:val="tx1"/>
            </w14:solidFill>
          </w14:textFill>
        </w:rPr>
        <w:t>3</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p>
    <w:tbl>
      <w:tblPr>
        <w:tblStyle w:val="21"/>
        <w:tblW w:w="6252" w:type="dxa"/>
        <w:jc w:val="center"/>
        <w:tblInd w:w="0" w:type="dxa"/>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fixed"/>
        <w:tblCellMar>
          <w:top w:w="0" w:type="dxa"/>
          <w:left w:w="108" w:type="dxa"/>
          <w:bottom w:w="0" w:type="dxa"/>
          <w:right w:w="108" w:type="dxa"/>
        </w:tblCellMar>
      </w:tblPr>
      <w:tblGrid>
        <w:gridCol w:w="6252"/>
      </w:tblGrid>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2" w:hRule="atLeast"/>
          <w:jc w:val="center"/>
        </w:trPr>
        <w:tc>
          <w:tcPr>
            <w:tcW w:w="6252"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kern w:val="2"/>
                <w:sz w:val="21"/>
                <w:szCs w:val="24"/>
                <w:lang w:val="en-US" w:eastAsia="zh-CN" w:bidi="ar-SA"/>
                <w14:textFill>
                  <w14:solidFill>
                    <w14:schemeClr w14:val="tx1"/>
                  </w14:solidFill>
                </w14:textFill>
              </w:rPr>
            </w:pPr>
          </w:p>
        </w:tc>
      </w:tr>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4" w:hRule="atLeast"/>
          <w:jc w:val="center"/>
        </w:trPr>
        <w:tc>
          <w:tcPr>
            <w:tcW w:w="6252" w:type="dxa"/>
            <w:tcBorders>
              <w:tl2br w:val="nil"/>
              <w:tr2bl w:val="nil"/>
            </w:tcBorders>
            <w:noWrap w:val="0"/>
            <w:vAlign w:val="center"/>
          </w:tcPr>
          <w:p>
            <w:pPr>
              <w:ind w:firstLine="0" w:firstLineChars="0"/>
              <w:jc w:val="center"/>
              <w:rPr>
                <w:rFonts w:hint="eastAsia" w:ascii="黑体" w:hAnsi="黑体" w:eastAsia="黑体" w:cs="Times New Roman"/>
                <w:bCs/>
                <w:color w:val="000000" w:themeColor="text1"/>
                <w:kern w:val="2"/>
                <w:sz w:val="21"/>
                <w:szCs w:val="24"/>
                <w:lang w:val="en-US" w:eastAsia="zh-CN" w:bidi="ar-SA"/>
                <w14:textFill>
                  <w14:solidFill>
                    <w14:schemeClr w14:val="tx1"/>
                  </w14:solidFill>
                </w14:textFill>
              </w:rPr>
            </w:pPr>
            <w:r>
              <w:rPr>
                <w:rFonts w:hint="eastAsia" w:ascii="黑体" w:hAnsi="黑体" w:eastAsia="黑体"/>
                <w:bCs/>
                <w:color w:val="000000" w:themeColor="text1"/>
                <w14:textFill>
                  <w14:solidFill>
                    <w14:schemeClr w14:val="tx1"/>
                  </w14:solidFill>
                </w14:textFill>
              </w:rPr>
              <w:t>照片</w:t>
            </w:r>
            <w:r>
              <w:rPr>
                <w:rFonts w:hint="eastAsia" w:ascii="黑体" w:hAnsi="黑体" w:eastAsia="黑体"/>
                <w:bCs/>
                <w:color w:val="000000" w:themeColor="text1"/>
                <w:lang w:val="en-US" w:eastAsia="zh-CN"/>
                <w14:textFill>
                  <w14:solidFill>
                    <w14:schemeClr w14:val="tx1"/>
                  </w14:solidFill>
                </w14:textFill>
              </w:rPr>
              <w:t>3-2</w:t>
            </w:r>
            <w:r>
              <w:rPr>
                <w:rFonts w:hint="eastAsia" w:ascii="黑体" w:hAnsi="黑体" w:eastAsia="黑体"/>
                <w:bCs/>
                <w:color w:val="000000" w:themeColor="text1"/>
                <w14:textFill>
                  <w14:solidFill>
                    <w14:schemeClr w14:val="tx1"/>
                  </w14:solidFill>
                </w14:textFill>
              </w:rPr>
              <w:t xml:space="preserve">  典型土壤剖面</w:t>
            </w:r>
          </w:p>
        </w:tc>
      </w:tr>
    </w:tbl>
    <w:p>
      <w:pPr>
        <w:pStyle w:val="6"/>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2"/>
        <w:rPr>
          <w:rFonts w:hint="eastAsia" w:eastAsia="黑体"/>
          <w:color w:val="000000" w:themeColor="text1"/>
          <w:sz w:val="28"/>
          <w:szCs w:val="28"/>
          <w:lang w:eastAsia="zh-CN"/>
          <w14:textFill>
            <w14:solidFill>
              <w14:schemeClr w14:val="tx1"/>
            </w14:solidFill>
          </w14:textFill>
        </w:rPr>
      </w:pPr>
      <w:r>
        <w:rPr>
          <w:rFonts w:hint="eastAsia"/>
          <w:color w:val="000000" w:themeColor="text1"/>
          <w:sz w:val="28"/>
          <w:szCs w:val="28"/>
          <w14:textFill>
            <w14:solidFill>
              <w14:schemeClr w14:val="tx1"/>
            </w14:solidFill>
          </w14:textFill>
        </w:rPr>
        <w:t>3.2.</w:t>
      </w:r>
      <w:r>
        <w:rPr>
          <w:rFonts w:hint="eastAsia"/>
          <w:color w:val="000000" w:themeColor="text1"/>
          <w:sz w:val="28"/>
          <w:szCs w:val="28"/>
          <w:lang w:val="en-US" w:eastAsia="zh-CN"/>
          <w14:textFill>
            <w14:solidFill>
              <w14:schemeClr w14:val="tx1"/>
            </w14:solidFill>
          </w14:textFill>
        </w:rPr>
        <w:t>7</w:t>
      </w:r>
      <w:r>
        <w:rPr>
          <w:rFonts w:hint="eastAsia" w:ascii="黑体" w:hAnsi="黑体" w:eastAsia="黑体" w:cs="黑体"/>
          <w:color w:val="000000" w:themeColor="text1"/>
          <w:sz w:val="28"/>
          <w:szCs w:val="28"/>
          <w14:textFill>
            <w14:solidFill>
              <w14:schemeClr w14:val="tx1"/>
            </w14:solidFill>
          </w14:textFill>
        </w:rPr>
        <w:t>植被</w:t>
      </w:r>
      <w:r>
        <w:rPr>
          <w:rFonts w:hint="eastAsia" w:ascii="黑体" w:hAnsi="黑体" w:eastAsia="黑体" w:cs="黑体"/>
          <w:color w:val="000000" w:themeColor="text1"/>
          <w:sz w:val="28"/>
          <w:szCs w:val="28"/>
          <w:lang w:eastAsia="zh-CN"/>
          <w14:textFill>
            <w14:solidFill>
              <w14:schemeClr w14:val="tx1"/>
            </w14:solidFill>
          </w14:textFill>
        </w:rPr>
        <w:t>及动物</w:t>
      </w:r>
    </w:p>
    <w:p>
      <w:pPr>
        <w:pageBreakBefore w:val="0"/>
        <w:kinsoku/>
        <w:wordWrap/>
        <w:topLinePunct w:val="0"/>
        <w:bidi w:val="0"/>
        <w:adjustRightInd w:val="0"/>
        <w:snapToGrid w:val="0"/>
        <w:spacing w:line="360" w:lineRule="auto"/>
        <w:ind w:firstLine="480" w:firstLineChars="200"/>
        <w:rPr>
          <w:rFonts w:hint="eastAsia"/>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植被</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根据中国科学院综合考察委员会新疆综合考察队植物组编制的《新疆维吾尔自治区植被类型图》，经过实地调查与资料收集，得知项目区域属中亚植物区，主要生长荒漠植物，植物组成简单，类型单调，分布稀疏。</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综合评价：</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项目区水浇地区域主要种植有玉米，年产量约7000kg/公顷，区域土壤厚50cm左右。</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项目区果园区域主要种植苹果，年产量约12000kg/公顷，区域土壤厚50cm左右。</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项目区灌木林地区域区主要植被类型为骆驼刺等，骆驼刺高可达50厘米。茎直立，从基部开始分枝，枝条平行上升。叶互生，</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instrText xml:space="preserve"> HYPERLINK "https://baike.baidu.com/item/%E5%8F%B6%E7%89%87/6728903" \t "https://baike.baidu.com/item/%E9%AA%86%E9%A9%BC%E5%88%BA/_blank" </w:instrTex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separate"/>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叶片</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end"/>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卵形、倒卵形或倒圆卵形，无毛，具短柄。总状花序，腋生，老茎的刺上无花；</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instrText xml:space="preserve"> HYPERLINK "https://baike.baidu.com/item/%E8%8B%9E%E7%89%87/6732646" \t "https://baike.baidu.com/item/%E9%AA%86%E9%A9%BC%E5%88%BA/_blank" </w:instrTex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separate"/>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苞片</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fldChar w:fldCharType="end"/>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钻状，花萼钟状，萼齿三角状或钻状三角形，花冠深紫红色，旗瓣倒长卵形，冀瓣长圆形，子房线形，无毛。荚果线形，弯曲无毛，植被覆盖度20-30%。</w:t>
      </w:r>
    </w:p>
    <w:tbl>
      <w:tblPr>
        <w:tblStyle w:val="21"/>
        <w:tblW w:w="64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6" w:type="dxa"/>
            <w:tcBorders>
              <w:top w:val="nil"/>
              <w:left w:val="nil"/>
              <w:bottom w:val="nil"/>
              <w:right w:val="nil"/>
            </w:tcBorders>
            <w:vAlign w:val="top"/>
          </w:tcPr>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drawing>
                <wp:inline distT="0" distB="0" distL="114300" distR="114300">
                  <wp:extent cx="3959860" cy="3151505"/>
                  <wp:effectExtent l="0" t="0" r="2540" b="10795"/>
                  <wp:docPr id="112" name="图片 6" descr="微信图片_20230817143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descr="微信图片_2023081714320811"/>
                          <pic:cNvPicPr>
                            <a:picLocks noChangeAspect="1"/>
                          </pic:cNvPicPr>
                        </pic:nvPicPr>
                        <pic:blipFill>
                          <a:blip r:embed="rId11"/>
                          <a:srcRect b="40285"/>
                          <a:stretch>
                            <a:fillRect/>
                          </a:stretch>
                        </pic:blipFill>
                        <pic:spPr>
                          <a:xfrm>
                            <a:off x="0" y="0"/>
                            <a:ext cx="3959860" cy="31515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6" w:type="dxa"/>
            <w:tcBorders>
              <w:top w:val="nil"/>
              <w:left w:val="nil"/>
              <w:bottom w:val="nil"/>
              <w:right w:val="nil"/>
            </w:tcBorders>
            <w:vAlign w:val="top"/>
          </w:tcPr>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灌木林地植被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6" w:type="dxa"/>
            <w:tcBorders>
              <w:top w:val="nil"/>
              <w:left w:val="nil"/>
              <w:bottom w:val="nil"/>
              <w:right w:val="nil"/>
            </w:tcBorders>
            <w:vAlign w:val="top"/>
          </w:tcPr>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黑体" w:hAnsi="黑体" w:eastAsia="黑体" w:cs="黑体"/>
                <w:color w:val="000000" w:themeColor="text1"/>
                <w:sz w:val="21"/>
                <w:szCs w:val="21"/>
                <w:lang w:eastAsia="zh-CN"/>
                <w14:textFill>
                  <w14:solidFill>
                    <w14:schemeClr w14:val="tx1"/>
                  </w14:solidFill>
                </w14:textFill>
              </w:rPr>
            </w:pPr>
            <w:r>
              <w:rPr>
                <w:rFonts w:hint="eastAsia" w:ascii="黑体" w:hAnsi="黑体" w:eastAsia="黑体" w:cs="黑体"/>
                <w:color w:val="000000" w:themeColor="text1"/>
                <w:sz w:val="21"/>
                <w:szCs w:val="21"/>
                <w:lang w:eastAsia="zh-CN"/>
                <w14:textFill>
                  <w14:solidFill>
                    <w14:schemeClr w14:val="tx1"/>
                  </w14:solidFill>
                </w14:textFill>
              </w:rPr>
              <w:t>照片</w:t>
            </w:r>
            <w:r>
              <w:rPr>
                <w:rFonts w:hint="eastAsia" w:ascii="黑体" w:hAnsi="黑体" w:eastAsia="黑体" w:cs="黑体"/>
                <w:color w:val="000000" w:themeColor="text1"/>
                <w:sz w:val="21"/>
                <w:szCs w:val="21"/>
                <w:lang w:val="en-US" w:eastAsia="zh-CN"/>
                <w14:textFill>
                  <w14:solidFill>
                    <w14:schemeClr w14:val="tx1"/>
                  </w14:solidFill>
                </w14:textFill>
              </w:rPr>
              <w:t xml:space="preserve">3-3  </w:t>
            </w:r>
            <w:r>
              <w:rPr>
                <w:rFonts w:hint="eastAsia" w:ascii="黑体" w:hAnsi="黑体" w:eastAsia="黑体" w:cs="黑体"/>
                <w:color w:val="000000" w:themeColor="text1"/>
                <w:sz w:val="21"/>
                <w:szCs w:val="21"/>
                <w:lang w:eastAsia="zh-CN"/>
                <w14:textFill>
                  <w14:solidFill>
                    <w14:schemeClr w14:val="tx1"/>
                  </w14:solidFill>
                </w14:textFill>
              </w:rPr>
              <w:t>项目区植被</w:t>
            </w:r>
          </w:p>
        </w:tc>
      </w:tr>
    </w:tbl>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2、动物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项目区所属野生动物种类组成贫乏，主要野生动物包括灵雀、松鼠、老鼠，分布较少，项目建设对其影响较小。</w:t>
      </w:r>
    </w:p>
    <w:p>
      <w:pPr>
        <w:pStyle w:val="5"/>
        <w:adjustRightInd w:val="0"/>
        <w:snapToGrid w:val="0"/>
        <w:spacing w:before="0" w:after="0" w:line="360" w:lineRule="auto"/>
        <w:rPr>
          <w:rFonts w:hint="eastAsia" w:ascii="黑体" w:hAnsi="黑体" w:cs="黑体"/>
          <w:b w:val="0"/>
          <w:color w:val="000000" w:themeColor="text1"/>
          <w:sz w:val="30"/>
          <w:szCs w:val="30"/>
          <w14:textFill>
            <w14:solidFill>
              <w14:schemeClr w14:val="tx1"/>
            </w14:solidFill>
          </w14:textFill>
        </w:rPr>
      </w:pPr>
      <w:bookmarkStart w:id="44" w:name="_Toc15975"/>
      <w:r>
        <w:rPr>
          <w:rFonts w:ascii="Times New Roman" w:hAnsi="Times New Roman" w:eastAsia="仿宋_GB2312"/>
          <w:b w:val="0"/>
          <w:color w:val="000000" w:themeColor="text1"/>
          <w:sz w:val="30"/>
          <w:szCs w:val="30"/>
          <w14:textFill>
            <w14:solidFill>
              <w14:schemeClr w14:val="tx1"/>
            </w14:solidFill>
          </w14:textFill>
        </w:rPr>
        <w:t>3.3</w:t>
      </w:r>
      <w:r>
        <w:rPr>
          <w:rFonts w:hint="eastAsia" w:ascii="黑体" w:hAnsi="黑体" w:cs="黑体"/>
          <w:b w:val="0"/>
          <w:color w:val="000000" w:themeColor="text1"/>
          <w:sz w:val="30"/>
          <w:szCs w:val="30"/>
          <w14:textFill>
            <w14:solidFill>
              <w14:schemeClr w14:val="tx1"/>
            </w14:solidFill>
          </w14:textFill>
        </w:rPr>
        <w:t xml:space="preserve"> 项目区社会经济概况</w:t>
      </w:r>
      <w:bookmarkEnd w:id="44"/>
    </w:p>
    <w:p>
      <w:pPr>
        <w:pStyle w:val="6"/>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2"/>
        <w:rPr>
          <w:rFonts w:hint="eastAsia" w:ascii="黑体" w:hAnsi="黑体" w:eastAsia="黑体" w:cs="黑体"/>
          <w:b w:val="0"/>
          <w:color w:val="000000" w:themeColor="text1"/>
          <w:sz w:val="28"/>
          <w:szCs w:val="28"/>
          <w:lang w:val="en-US" w:eastAsia="zh-CN"/>
          <w14:textFill>
            <w14:solidFill>
              <w14:schemeClr w14:val="tx1"/>
            </w14:solidFill>
          </w14:textFill>
        </w:rPr>
      </w:pPr>
      <w:bookmarkStart w:id="45" w:name="_Toc15906"/>
      <w:bookmarkStart w:id="46" w:name="_Toc3932"/>
      <w:r>
        <w:rPr>
          <w:rFonts w:hint="eastAsia" w:ascii="黑体" w:hAnsi="黑体" w:eastAsia="黑体" w:cs="黑体"/>
          <w:b w:val="0"/>
          <w:color w:val="000000" w:themeColor="text1"/>
          <w:sz w:val="28"/>
          <w:szCs w:val="28"/>
          <w:lang w:val="en-US" w:eastAsia="zh-CN"/>
          <w14:textFill>
            <w14:solidFill>
              <w14:schemeClr w14:val="tx1"/>
            </w14:solidFill>
          </w14:textFill>
        </w:rPr>
        <w:t>3.3.1疏勒县经济概况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1、</w:t>
      </w:r>
      <w:r>
        <w:rPr>
          <w:rFonts w:hint="eastAsia" w:eastAsia="仿宋_GB2312" w:cs="Times New Roman"/>
          <w:color w:val="000000" w:themeColor="text1"/>
          <w:sz w:val="24"/>
          <w:szCs w:val="24"/>
          <w:lang w:val="en-US" w:eastAsia="zh-CN"/>
          <w14:textFill>
            <w14:solidFill>
              <w14:schemeClr w14:val="tx1"/>
            </w14:solidFill>
          </w14:textFill>
        </w:rPr>
        <w:t>疏勒县</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2022年社会经济概况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2147483648" w:afterLines="-2147483648"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2022年实现地区生产总值（GDP）562491万元。按可比价计算，同比增长4.2%。分三次产业来看，第一产业实现增加值153120万元，同比增长３.７%；第二产业实现增加值117643万元，同比增长12.10%；第三产业实现增加值291728万元，同比增长1.9%，一、二、三产业占GDP比重分别为27.2%、20.9%、51.9%。按户籍年平均常住人口数计算，年人均生产总值16402元，同比增长4.1%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w:t>
      </w:r>
      <w:r>
        <w:rPr>
          <w:rFonts w:hint="eastAsia" w:eastAsia="仿宋_GB2312" w:cs="Times New Roman"/>
          <w:color w:val="000000" w:themeColor="text1"/>
          <w:sz w:val="24"/>
          <w:szCs w:val="24"/>
          <w:lang w:val="en-US" w:eastAsia="zh-CN"/>
          <w14:textFill>
            <w14:solidFill>
              <w14:schemeClr w14:val="tx1"/>
            </w14:solidFill>
          </w14:textFill>
        </w:rPr>
        <w:t>疏勒县</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2021年社会经济概况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2147483648" w:afterLines="-2147483648"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2021年疏勒县实现生产总值（GDP）525706万元，按可比价计算，同比增长6.6%。分三次产业来看，第一产业实现增加值143381万元同比增长10.2%；第二产业实现增加值96125万元，同比增长12.8%；第三产业实现增加值286199万元，同比增长3.2%。按地区反馈第七次全国人口普查数据计算，人均生产总值15344元，同比增长13.12%。一、二、三产业GDP比重分别为是27.27%、18.29%、54.44%。</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3、</w:t>
      </w:r>
      <w:r>
        <w:rPr>
          <w:rFonts w:hint="eastAsia" w:eastAsia="仿宋_GB2312" w:cs="Times New Roman"/>
          <w:color w:val="000000" w:themeColor="text1"/>
          <w:sz w:val="24"/>
          <w:szCs w:val="24"/>
          <w:lang w:val="en-US" w:eastAsia="zh-CN"/>
          <w14:textFill>
            <w14:solidFill>
              <w14:schemeClr w14:val="tx1"/>
            </w14:solidFill>
          </w14:textFill>
        </w:rPr>
        <w:t>疏勒县</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2020年社会经济概况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2147483648" w:afterLines="-2147483648"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2020年疏勒县实现生产总值（GDP）463610万元，按可比价计算，同比增长5.0%。分三次产业来看，第一产业实现增加值113761万元，同比增长4.6%；第二产业实现增加值80458万元，同比增长4.2%；第三产业实现增加值269392万元，同比增长5.4%。按户籍年平均常住人口数计算，人均生产总值13075.62元，同比增长9.5%。一、二、三产业占GDP比重分别为</w:t>
      </w:r>
      <w:r>
        <w:rPr>
          <w:rFonts w:hint="eastAsia" w:eastAsia="仿宋_GB2312" w:cs="Times New Roman"/>
          <w:color w:val="000000" w:themeColor="text1"/>
          <w:kern w:val="2"/>
          <w:sz w:val="24"/>
          <w:szCs w:val="24"/>
          <w:lang w:val="en-US" w:eastAsia="zh-CN" w:bidi="ar-SA"/>
          <w14:textFill>
            <w14:solidFill>
              <w14:schemeClr w14:val="tx1"/>
            </w14:solidFill>
          </w14:textFill>
        </w:rPr>
        <w:t>10.78</w:t>
      </w:r>
      <w: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t>%、17.35%、58.11%。</w:t>
      </w:r>
    </w:p>
    <w:p>
      <w:pPr>
        <w:pStyle w:val="6"/>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2"/>
        <w:rPr>
          <w:rFonts w:hint="default" w:ascii="黑体" w:hAnsi="黑体" w:eastAsia="黑体" w:cs="黑体"/>
          <w:b w:val="0"/>
          <w:color w:val="000000" w:themeColor="text1"/>
          <w:sz w:val="28"/>
          <w:szCs w:val="28"/>
          <w:lang w:val="en-US" w:eastAsia="zh-CN"/>
          <w14:textFill>
            <w14:solidFill>
              <w14:schemeClr w14:val="tx1"/>
            </w14:solidFill>
          </w14:textFill>
        </w:rPr>
      </w:pPr>
      <w:bookmarkStart w:id="47" w:name="_Toc76937012"/>
      <w:bookmarkStart w:id="48" w:name="_Toc76692127"/>
      <w:r>
        <w:rPr>
          <w:rFonts w:hint="eastAsia" w:ascii="黑体" w:hAnsi="黑体" w:eastAsia="黑体" w:cs="黑体"/>
          <w:b w:val="0"/>
          <w:color w:val="000000" w:themeColor="text1"/>
          <w:sz w:val="28"/>
          <w:szCs w:val="28"/>
          <w:lang w:val="en-US" w:eastAsia="zh-CN"/>
          <w14:textFill>
            <w14:solidFill>
              <w14:schemeClr w14:val="tx1"/>
            </w14:solidFill>
          </w14:textFill>
        </w:rPr>
        <w:t>3.3.2项目经济情况</w:t>
      </w:r>
    </w:p>
    <w:bookmarkEnd w:id="47"/>
    <w:bookmarkEnd w:id="48"/>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项目估算总投资</w:t>
      </w:r>
      <w:r>
        <w:rPr>
          <w:rFonts w:hint="eastAsia" w:eastAsia="仿宋_GB2312" w:cs="Times New Roman"/>
          <w:color w:val="000000" w:themeColor="text1"/>
          <w:sz w:val="24"/>
          <w:lang w:val="en-US" w:eastAsia="zh-CN"/>
          <w14:textFill>
            <w14:solidFill>
              <w14:schemeClr w14:val="tx1"/>
            </w14:solidFill>
          </w14:textFill>
        </w:rPr>
        <w:t>5380.74</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万元，其中，第一部分建筑工程投资</w:t>
      </w:r>
      <w:r>
        <w:rPr>
          <w:rFonts w:hint="eastAsia" w:eastAsia="仿宋_GB2312" w:cs="Times New Roman"/>
          <w:color w:val="000000" w:themeColor="text1"/>
          <w:sz w:val="24"/>
          <w:lang w:val="en-US" w:eastAsia="zh-CN"/>
          <w14:textFill>
            <w14:solidFill>
              <w14:schemeClr w14:val="tx1"/>
            </w14:solidFill>
          </w14:textFill>
        </w:rPr>
        <w:t>2315.96</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w:t>
      </w:r>
      <w:r>
        <w:rPr>
          <w:rFonts w:hint="eastAsia" w:eastAsia="仿宋_GB2312" w:cs="Times New Roman"/>
          <w:color w:val="000000" w:themeColor="text1"/>
          <w:sz w:val="24"/>
          <w:lang w:val="en-US" w:eastAsia="zh-CN"/>
          <w14:textFill>
            <w14:solidFill>
              <w14:schemeClr w14:val="tx1"/>
            </w14:solidFill>
          </w14:textFill>
        </w:rPr>
        <w:t>第二部分机电设备及安装工程投资318.6万元；</w:t>
      </w:r>
      <w:r>
        <w:rPr>
          <w:rFonts w:hint="eastAsia" w:ascii="Times New Roman" w:hAnsi="Times New Roman" w:eastAsia="仿宋_GB2312" w:cs="Times New Roman"/>
          <w:color w:val="000000" w:themeColor="text1"/>
          <w:sz w:val="24"/>
          <w:lang w:val="en-US" w:eastAsia="zh-CN"/>
          <w14:textFill>
            <w14:solidFill>
              <w14:schemeClr w14:val="tx1"/>
            </w14:solidFill>
          </w14:textFill>
        </w:rPr>
        <w:t>第三部分金属结构设备及安装工程投资</w:t>
      </w:r>
      <w:r>
        <w:rPr>
          <w:rFonts w:hint="eastAsia" w:eastAsia="仿宋_GB2312" w:cs="Times New Roman"/>
          <w:color w:val="000000" w:themeColor="text1"/>
          <w:sz w:val="24"/>
          <w:lang w:val="en-US" w:eastAsia="zh-CN"/>
          <w14:textFill>
            <w14:solidFill>
              <w14:schemeClr w14:val="tx1"/>
            </w14:solidFill>
          </w14:textFill>
        </w:rPr>
        <w:t>192.22</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万元；第四部分施工临时工程投资</w:t>
      </w:r>
      <w:r>
        <w:rPr>
          <w:rFonts w:hint="eastAsia" w:eastAsia="仿宋_GB2312" w:cs="Times New Roman"/>
          <w:color w:val="000000" w:themeColor="text1"/>
          <w:sz w:val="24"/>
          <w:lang w:val="en-US" w:eastAsia="zh-CN"/>
          <w14:textFill>
            <w14:solidFill>
              <w14:schemeClr w14:val="tx1"/>
            </w14:solidFill>
          </w14:textFill>
        </w:rPr>
        <w:t>1226.61</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万元；第五部分独立费用投资125.89万元；一至五部分投资合计</w:t>
      </w:r>
      <w:r>
        <w:rPr>
          <w:rFonts w:hint="eastAsia" w:eastAsia="仿宋_GB2312" w:cs="Times New Roman"/>
          <w:color w:val="000000" w:themeColor="text1"/>
          <w:sz w:val="24"/>
          <w:lang w:val="en-US" w:eastAsia="zh-CN"/>
          <w14:textFill>
            <w14:solidFill>
              <w14:schemeClr w14:val="tx1"/>
            </w14:solidFill>
          </w14:textFill>
        </w:rPr>
        <w:t>4789.44</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万元。基本预备费</w:t>
      </w:r>
      <w:r>
        <w:rPr>
          <w:rFonts w:hint="eastAsia" w:eastAsia="仿宋_GB2312" w:cs="Times New Roman"/>
          <w:color w:val="000000" w:themeColor="text1"/>
          <w:sz w:val="24"/>
          <w:lang w:val="en-US" w:eastAsia="zh-CN"/>
          <w14:textFill>
            <w14:solidFill>
              <w14:schemeClr w14:val="tx1"/>
            </w14:solidFill>
          </w14:textFill>
        </w:rPr>
        <w:t>239.47</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万元。建设征地移民补偿投资</w:t>
      </w:r>
      <w:r>
        <w:rPr>
          <w:rFonts w:hint="eastAsia" w:eastAsia="仿宋_GB2312" w:cs="Times New Roman"/>
          <w:color w:val="000000" w:themeColor="text1"/>
          <w:sz w:val="24"/>
          <w:lang w:val="en-US" w:eastAsia="zh-CN"/>
          <w14:textFill>
            <w14:solidFill>
              <w14:schemeClr w14:val="tx1"/>
            </w14:solidFill>
          </w14:textFill>
        </w:rPr>
        <w:t>148.19</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万元；环境保护工程投资</w:t>
      </w:r>
      <w:r>
        <w:rPr>
          <w:rFonts w:hint="eastAsia" w:eastAsia="仿宋_GB2312" w:cs="Times New Roman"/>
          <w:color w:val="000000" w:themeColor="text1"/>
          <w:sz w:val="24"/>
          <w:lang w:val="en-US" w:eastAsia="zh-CN"/>
          <w14:textFill>
            <w14:solidFill>
              <w14:schemeClr w14:val="tx1"/>
            </w14:solidFill>
          </w14:textFill>
        </w:rPr>
        <w:t>94.15</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万元；水土保持工程投资</w:t>
      </w:r>
      <w:r>
        <w:rPr>
          <w:rFonts w:hint="eastAsia" w:eastAsia="仿宋_GB2312" w:cs="Times New Roman"/>
          <w:color w:val="000000" w:themeColor="text1"/>
          <w:sz w:val="24"/>
          <w:lang w:val="en-US" w:eastAsia="zh-CN"/>
          <w14:textFill>
            <w14:solidFill>
              <w14:schemeClr w14:val="tx1"/>
            </w14:solidFill>
          </w14:textFill>
        </w:rPr>
        <w:t>109.49</w:t>
      </w:r>
      <w:r>
        <w:rPr>
          <w:rFonts w:hint="eastAsia" w:ascii="Times New Roman" w:hAnsi="Times New Roman" w:eastAsia="仿宋_GB2312" w:cs="Times New Roman"/>
          <w:color w:val="000000" w:themeColor="text1"/>
          <w:sz w:val="24"/>
          <w:lang w:val="en-US" w:eastAsia="zh-CN"/>
          <w14:textFill>
            <w14:solidFill>
              <w14:schemeClr w14:val="tx1"/>
            </w14:solidFill>
          </w14:textFill>
        </w:rPr>
        <w:t>万元。全部申请中央预算内以工代赈资金。</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b w:val="0"/>
          <w:color w:val="000000" w:themeColor="text1"/>
          <w:sz w:val="30"/>
          <w:szCs w:val="30"/>
          <w14:textFill>
            <w14:solidFill>
              <w14:schemeClr w14:val="tx1"/>
            </w14:solidFill>
          </w14:textFill>
        </w:rPr>
      </w:pPr>
      <w:r>
        <w:rPr>
          <w:rFonts w:ascii="Times New Roman" w:hAnsi="Times New Roman" w:eastAsia="仿宋_GB2312"/>
          <w:b w:val="0"/>
          <w:color w:val="000000" w:themeColor="text1"/>
          <w:sz w:val="30"/>
          <w:szCs w:val="30"/>
          <w14:textFill>
            <w14:solidFill>
              <w14:schemeClr w14:val="tx1"/>
            </w14:solidFill>
          </w14:textFill>
        </w:rPr>
        <w:t xml:space="preserve">3.4 </w:t>
      </w:r>
      <w:r>
        <w:rPr>
          <w:rFonts w:hint="eastAsia" w:ascii="黑体" w:hAnsi="黑体" w:cs="黑体"/>
          <w:b w:val="0"/>
          <w:color w:val="000000" w:themeColor="text1"/>
          <w:sz w:val="30"/>
          <w:szCs w:val="30"/>
          <w14:textFill>
            <w14:solidFill>
              <w14:schemeClr w14:val="tx1"/>
            </w14:solidFill>
          </w14:textFill>
        </w:rPr>
        <w:t>项目区内土地利用现状</w:t>
      </w:r>
      <w:bookmarkEnd w:id="45"/>
      <w:bookmarkEnd w:id="46"/>
    </w:p>
    <w:p>
      <w:pPr>
        <w:pStyle w:val="6"/>
        <w:keepNext/>
        <w:keepLines/>
        <w:pageBreakBefore w:val="0"/>
        <w:widowControl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2"/>
        <w:rPr>
          <w:rFonts w:eastAsia="仿宋_GB2312"/>
          <w:bCs w:val="0"/>
          <w:color w:val="000000" w:themeColor="text1"/>
          <w:sz w:val="28"/>
          <w14:textFill>
            <w14:solidFill>
              <w14:schemeClr w14:val="tx1"/>
            </w14:solidFill>
          </w14:textFill>
        </w:rPr>
      </w:pPr>
      <w:r>
        <w:rPr>
          <w:rFonts w:eastAsia="仿宋_GB2312"/>
          <w:bCs w:val="0"/>
          <w:color w:val="000000" w:themeColor="text1"/>
          <w:sz w:val="28"/>
          <w14:textFill>
            <w14:solidFill>
              <w14:schemeClr w14:val="tx1"/>
            </w14:solidFill>
          </w14:textFill>
        </w:rPr>
        <w:t xml:space="preserve">3.4.1 </w:t>
      </w:r>
      <w:r>
        <w:rPr>
          <w:rFonts w:hint="eastAsia" w:ascii="黑体" w:hAnsi="黑体" w:eastAsia="黑体" w:cs="黑体"/>
          <w:bCs w:val="0"/>
          <w:color w:val="000000" w:themeColor="text1"/>
          <w:sz w:val="28"/>
          <w14:textFill>
            <w14:solidFill>
              <w14:schemeClr w14:val="tx1"/>
            </w14:solidFill>
          </w14:textFill>
        </w:rPr>
        <w:t>永久性建设用地利用现状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本方案对临时用地复垦范围（临时用地为后期需复垦部分）进行叙述，不涉及永久性建设用地，永久性建设用地未列入本次勘界范围</w:t>
      </w:r>
      <w:r>
        <w:rPr>
          <w:rFonts w:hint="eastAsia" w:ascii="Times New Roman" w:hAnsi="Times New Roman" w:eastAsia="仿宋_GB2312" w:cs="Times New Roman"/>
          <w:color w:val="000000" w:themeColor="text1"/>
          <w:sz w:val="24"/>
          <w:lang w:eastAsia="zh-CN"/>
          <w14:textFill>
            <w14:solidFill>
              <w14:schemeClr w14:val="tx1"/>
            </w14:solidFill>
          </w14:textFill>
        </w:rPr>
        <w:t>。</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bCs w:val="0"/>
          <w:color w:val="000000" w:themeColor="text1"/>
          <w14:textFill>
            <w14:solidFill>
              <w14:schemeClr w14:val="tx1"/>
            </w14:solidFill>
          </w14:textFill>
        </w:rPr>
      </w:pPr>
      <w:r>
        <w:rPr>
          <w:rFonts w:eastAsia="仿宋_GB2312"/>
          <w:bCs w:val="0"/>
          <w:color w:val="000000" w:themeColor="text1"/>
          <w:sz w:val="28"/>
          <w14:textFill>
            <w14:solidFill>
              <w14:schemeClr w14:val="tx1"/>
            </w14:solidFill>
          </w14:textFill>
        </w:rPr>
        <w:t>3.4.</w:t>
      </w:r>
      <w:r>
        <w:rPr>
          <w:rFonts w:hint="eastAsia" w:eastAsia="仿宋_GB2312"/>
          <w:bCs w:val="0"/>
          <w:color w:val="000000" w:themeColor="text1"/>
          <w:sz w:val="28"/>
          <w14:textFill>
            <w14:solidFill>
              <w14:schemeClr w14:val="tx1"/>
            </w14:solidFill>
          </w14:textFill>
        </w:rPr>
        <w:t>2</w:t>
      </w:r>
      <w:r>
        <w:rPr>
          <w:rFonts w:eastAsia="仿宋_GB2312"/>
          <w:bCs w:val="0"/>
          <w:color w:val="000000" w:themeColor="text1"/>
          <w:sz w:val="28"/>
          <w14:textFill>
            <w14:solidFill>
              <w14:schemeClr w14:val="tx1"/>
            </w14:solidFill>
          </w14:textFill>
        </w:rPr>
        <w:t xml:space="preserve"> </w:t>
      </w:r>
      <w:r>
        <w:rPr>
          <w:rFonts w:hint="eastAsia" w:ascii="黑体" w:hAnsi="黑体" w:eastAsia="黑体" w:cs="黑体"/>
          <w:bCs w:val="0"/>
          <w:color w:val="000000" w:themeColor="text1"/>
          <w:sz w:val="28"/>
          <w14:textFill>
            <w14:solidFill>
              <w14:schemeClr w14:val="tx1"/>
            </w14:solidFill>
          </w14:textFill>
        </w:rPr>
        <w:t>临时性建设用地利用现状</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黑体" w:hAnsi="黑体" w:eastAsia="黑体"/>
          <w:b/>
          <w:bCs/>
          <w:color w:val="000000" w:themeColor="text1"/>
          <w:kern w:val="0"/>
          <w:szCs w:val="21"/>
          <w14:textFill>
            <w14:solidFill>
              <w14:schemeClr w14:val="tx1"/>
            </w14:solidFill>
          </w14:textFill>
        </w:rPr>
      </w:pPr>
      <w:r>
        <w:rPr>
          <w:rFonts w:hint="eastAsia" w:eastAsia="仿宋_GB2312"/>
          <w:color w:val="000000" w:themeColor="text1"/>
          <w:kern w:val="0"/>
          <w:sz w:val="24"/>
          <w:lang w:eastAsia="zh-CN"/>
          <w14:textFill>
            <w14:solidFill>
              <w14:schemeClr w14:val="tx1"/>
            </w14:solidFill>
          </w14:textFill>
        </w:rPr>
        <w:t>该项目临时性建设用地</w:t>
      </w:r>
      <w:r>
        <w:rPr>
          <w:rFonts w:hint="eastAsia" w:eastAsia="仿宋_GB2312"/>
          <w:color w:val="000000" w:themeColor="text1"/>
          <w:kern w:val="0"/>
          <w:sz w:val="24"/>
          <w:lang w:val="en-US" w:eastAsia="zh-CN"/>
          <w14:textFill>
            <w14:solidFill>
              <w14:schemeClr w14:val="tx1"/>
            </w14:solidFill>
          </w14:textFill>
        </w:rPr>
        <w:t>主要用作</w:t>
      </w:r>
      <w:r>
        <w:rPr>
          <w:rFonts w:hint="eastAsia" w:eastAsia="仿宋_GB2312"/>
          <w:color w:val="000000" w:themeColor="text1"/>
          <w:kern w:val="0"/>
          <w:sz w:val="24"/>
          <w:lang w:eastAsia="zh-CN"/>
          <w14:textFill>
            <w14:solidFill>
              <w14:schemeClr w14:val="tx1"/>
            </w14:solidFill>
          </w14:textFill>
        </w:rPr>
        <w:t>材料堆场、制梁厂、施工驻地，总面</w:t>
      </w:r>
      <w:r>
        <w:rPr>
          <w:rFonts w:hint="eastAsia" w:eastAsia="仿宋_GB2312"/>
          <w:color w:val="000000" w:themeColor="text1"/>
          <w:kern w:val="0"/>
          <w:sz w:val="24"/>
          <w14:textFill>
            <w14:solidFill>
              <w14:schemeClr w14:val="tx1"/>
            </w14:solidFill>
          </w14:textFill>
        </w:rPr>
        <w:t>积为</w:t>
      </w:r>
      <w:r>
        <w:rPr>
          <w:rFonts w:hint="eastAsia" w:eastAsia="仿宋_GB2312"/>
          <w:color w:val="000000" w:themeColor="text1"/>
          <w:kern w:val="0"/>
          <w:sz w:val="24"/>
          <w:lang w:val="en-US" w:eastAsia="zh-CN"/>
          <w14:textFill>
            <w14:solidFill>
              <w14:schemeClr w14:val="tx1"/>
            </w14:solidFill>
          </w14:textFill>
        </w:rPr>
        <w:t>8.0492</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14:textFill>
            <w14:solidFill>
              <w14:schemeClr w14:val="tx1"/>
            </w14:solidFill>
          </w14:textFill>
        </w:rPr>
        <w:t>。</w:t>
      </w:r>
      <w:r>
        <w:rPr>
          <w:rFonts w:hint="eastAsia" w:eastAsia="仿宋_GB2312"/>
          <w:color w:val="000000" w:themeColor="text1"/>
          <w:kern w:val="0"/>
          <w:sz w:val="24"/>
          <w:lang w:val="en-US" w:eastAsia="zh-CN"/>
          <w14:textFill>
            <w14:solidFill>
              <w14:schemeClr w14:val="tx1"/>
            </w14:solidFill>
          </w14:textFill>
        </w:rPr>
        <w:t>临时用地占用</w:t>
      </w:r>
      <w:r>
        <w:rPr>
          <w:rFonts w:hint="eastAsia" w:eastAsia="仿宋_GB2312" w:cs="Times New Roman"/>
          <w:color w:val="000000" w:themeColor="text1"/>
          <w:kern w:val="0"/>
          <w:sz w:val="24"/>
          <w:szCs w:val="24"/>
          <w:vertAlign w:val="baseline"/>
          <w:lang w:val="en-US" w:eastAsia="zh-CN"/>
          <w14:textFill>
            <w14:solidFill>
              <w14:schemeClr w14:val="tx1"/>
            </w14:solidFill>
          </w14:textFill>
        </w:rPr>
        <w:t>水浇地（0102）0.1754公顷，果园（0201）0.705公顷，灌木林地（0305）0.0601公顷，农村宅基地（0702）0.2788公顷，公路用地（1003）0.0508公顷，农村道路（1006）0.2616公顷，河流水面（1101）1.5254公顷，坑塘水面（1104）4.9181公顷，沟渠（1107） 0.074公顷。</w:t>
      </w:r>
      <w:r>
        <w:rPr>
          <w:rFonts w:hint="eastAsia" w:eastAsia="仿宋_GB2312"/>
          <w:color w:val="000000" w:themeColor="text1"/>
          <w:kern w:val="0"/>
          <w:sz w:val="24"/>
          <w:lang w:eastAsia="zh-CN"/>
          <w14:textFill>
            <w14:solidFill>
              <w14:schemeClr w14:val="tx1"/>
            </w14:solidFill>
          </w14:textFill>
        </w:rPr>
        <w:t>其中</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喀什市</w:t>
      </w:r>
      <w:r>
        <w:rPr>
          <w:rFonts w:hint="eastAsia" w:eastAsia="仿宋_GB2312"/>
          <w:color w:val="000000" w:themeColor="text1"/>
          <w:kern w:val="0"/>
          <w:sz w:val="24"/>
          <w:lang w:eastAsia="zh-CN"/>
          <w14:textFill>
            <w14:solidFill>
              <w14:schemeClr w14:val="tx1"/>
            </w14:solidFill>
          </w14:textFill>
        </w:rPr>
        <w:t>托万克喀库拉村、尤勒古鲁克村、尤喀尔克喀库拉村国有及集体土地</w:t>
      </w:r>
      <w:r>
        <w:rPr>
          <w:rFonts w:hint="eastAsia" w:eastAsia="仿宋_GB2312"/>
          <w:color w:val="000000" w:themeColor="text1"/>
          <w:kern w:val="0"/>
          <w:sz w:val="24"/>
          <w:lang w:val="en-US" w:eastAsia="zh-CN"/>
          <w14:textFill>
            <w14:solidFill>
              <w14:schemeClr w14:val="tx1"/>
            </w14:solidFill>
          </w14:textFill>
        </w:rPr>
        <w:t>6.0416</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lang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疏附县</w:t>
      </w:r>
      <w:r>
        <w:rPr>
          <w:rFonts w:hint="eastAsia" w:eastAsia="仿宋_GB2312"/>
          <w:color w:val="000000" w:themeColor="text1"/>
          <w:kern w:val="0"/>
          <w:sz w:val="24"/>
          <w:lang w:eastAsia="zh-CN"/>
          <w14:textFill>
            <w14:solidFill>
              <w14:schemeClr w14:val="tx1"/>
            </w14:solidFill>
          </w14:textFill>
        </w:rPr>
        <w:t>喀库拉村国有土地</w:t>
      </w:r>
      <w:r>
        <w:rPr>
          <w:rFonts w:hint="eastAsia" w:eastAsia="仿宋_GB2312"/>
          <w:color w:val="000000" w:themeColor="text1"/>
          <w:kern w:val="0"/>
          <w:sz w:val="24"/>
          <w:lang w:val="en-US" w:eastAsia="zh-CN"/>
          <w14:textFill>
            <w14:solidFill>
              <w14:schemeClr w14:val="tx1"/>
            </w14:solidFill>
          </w14:textFill>
        </w:rPr>
        <w:t>1.3449</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疏勒县</w:t>
      </w:r>
      <w:r>
        <w:rPr>
          <w:rFonts w:hint="eastAsia" w:eastAsia="仿宋_GB2312"/>
          <w:color w:val="000000" w:themeColor="text1"/>
          <w:kern w:val="0"/>
          <w:sz w:val="24"/>
          <w:lang w:eastAsia="zh-CN"/>
          <w14:textFill>
            <w14:solidFill>
              <w14:schemeClr w14:val="tx1"/>
            </w14:solidFill>
          </w14:textFill>
        </w:rPr>
        <w:t>坎吐曼艾力克村国有</w:t>
      </w:r>
      <w:r>
        <w:rPr>
          <w:rFonts w:hint="eastAsia" w:eastAsia="仿宋_GB2312"/>
          <w:color w:val="000000" w:themeColor="text1"/>
          <w:kern w:val="0"/>
          <w:sz w:val="24"/>
          <w:lang w:val="en-US" w:eastAsia="zh-CN"/>
          <w14:textFill>
            <w14:solidFill>
              <w14:schemeClr w14:val="tx1"/>
            </w14:solidFill>
          </w14:textFill>
        </w:rPr>
        <w:t>及集体</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lang w:val="en-US" w:eastAsia="zh-CN"/>
          <w14:textFill>
            <w14:solidFill>
              <w14:schemeClr w14:val="tx1"/>
            </w14:solidFill>
          </w14:textFill>
        </w:rPr>
        <w:t>0.6627</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w:t>
      </w:r>
      <w:r>
        <w:rPr>
          <w:rFonts w:hint="eastAsia" w:eastAsia="仿宋_GB2312"/>
          <w:color w:val="000000" w:themeColor="text1"/>
          <w:kern w:val="0"/>
          <w:sz w:val="24"/>
          <w:lang w:val="en-US" w:eastAsia="zh-CN"/>
          <w14:textFill>
            <w14:solidFill>
              <w14:schemeClr w14:val="tx1"/>
            </w14:solidFill>
          </w14:textFill>
        </w:rPr>
        <w:t>据喀什市自然资源局、疏勒县自然资源局、疏勒县自然资源局出具</w:t>
      </w:r>
      <w:r>
        <w:rPr>
          <w:rFonts w:hint="eastAsia" w:eastAsia="仿宋_GB2312"/>
          <w:color w:val="000000" w:themeColor="text1"/>
          <w:kern w:val="0"/>
          <w:sz w:val="24"/>
          <w:lang w:eastAsia="zh-CN"/>
          <w14:textFill>
            <w14:solidFill>
              <w14:schemeClr w14:val="tx1"/>
            </w14:solidFill>
          </w14:textFill>
        </w:rPr>
        <w:t>关于《新疆克孜河大桥渠首除险加固工程临时用地土地复垦方案报告书》土地利用现状类型、权属证明，项目</w:t>
      </w:r>
      <w:r>
        <w:rPr>
          <w:rFonts w:hint="eastAsia" w:eastAsia="仿宋_GB2312"/>
          <w:color w:val="000000" w:themeColor="text1"/>
          <w:kern w:val="0"/>
          <w:sz w:val="24"/>
          <w:lang w:val="en-US" w:eastAsia="zh-CN"/>
          <w14:textFill>
            <w14:solidFill>
              <w14:schemeClr w14:val="tx1"/>
            </w14:solidFill>
          </w14:textFill>
        </w:rPr>
        <w:t>临时</w:t>
      </w:r>
      <w:r>
        <w:rPr>
          <w:rFonts w:hint="eastAsia" w:eastAsia="仿宋_GB2312"/>
          <w:color w:val="000000" w:themeColor="text1"/>
          <w:kern w:val="0"/>
          <w:sz w:val="24"/>
          <w14:textFill>
            <w14:solidFill>
              <w14:schemeClr w14:val="tx1"/>
            </w14:solidFill>
          </w14:textFill>
        </w:rPr>
        <w:t>性</w:t>
      </w:r>
      <w:r>
        <w:rPr>
          <w:rFonts w:hint="eastAsia" w:eastAsia="仿宋_GB2312"/>
          <w:color w:val="000000" w:themeColor="text1"/>
          <w:kern w:val="0"/>
          <w:sz w:val="24"/>
          <w:lang w:val="en-US" w:eastAsia="zh-CN"/>
          <w14:textFill>
            <w14:solidFill>
              <w14:schemeClr w14:val="tx1"/>
            </w14:solidFill>
          </w14:textFill>
        </w:rPr>
        <w:t>用地</w:t>
      </w:r>
      <w:r>
        <w:rPr>
          <w:rFonts w:hint="eastAsia" w:eastAsia="仿宋_GB2312"/>
          <w:color w:val="000000" w:themeColor="text1"/>
          <w:kern w:val="0"/>
          <w:sz w:val="24"/>
          <w:lang w:eastAsia="zh-CN"/>
          <w14:textFill>
            <w14:solidFill>
              <w14:schemeClr w14:val="tx1"/>
            </w14:solidFill>
          </w14:textFill>
        </w:rPr>
        <w:t>土</w:t>
      </w:r>
      <w:r>
        <w:rPr>
          <w:rFonts w:hint="eastAsia" w:eastAsia="仿宋_GB2312"/>
          <w:color w:val="000000" w:themeColor="text1"/>
          <w:kern w:val="0"/>
          <w:sz w:val="24"/>
          <w14:textFill>
            <w14:solidFill>
              <w14:schemeClr w14:val="tx1"/>
            </w14:solidFill>
          </w14:textFill>
        </w:rPr>
        <w:t>地利用现状</w:t>
      </w:r>
      <w:r>
        <w:rPr>
          <w:rFonts w:hint="eastAsia" w:eastAsia="仿宋_GB2312"/>
          <w:color w:val="000000" w:themeColor="text1"/>
          <w:kern w:val="0"/>
          <w:sz w:val="24"/>
          <w:lang w:val="en-US" w:eastAsia="zh-CN"/>
          <w14:textFill>
            <w14:solidFill>
              <w14:schemeClr w14:val="tx1"/>
            </w14:solidFill>
          </w14:textFill>
        </w:rPr>
        <w:t>见下表，</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14:textFill>
            <w14:solidFill>
              <w14:schemeClr w14:val="tx1"/>
            </w14:solidFill>
          </w14:textFill>
        </w:rPr>
        <w:t>产权明晰界址清楚，没有争议（详见表3</w:t>
      </w:r>
      <w:r>
        <w:rPr>
          <w:rFonts w:hint="eastAsia" w:ascii="黑体" w:hAnsi="黑体" w:eastAsia="黑体" w:cs="黑体"/>
          <w:color w:val="000000" w:themeColor="text1"/>
          <w:kern w:val="0"/>
          <w:szCs w:val="21"/>
          <w14:textFill>
            <w14:solidFill>
              <w14:schemeClr w14:val="tx1"/>
            </w14:solidFill>
          </w14:textFill>
        </w:rPr>
        <w:t>-</w:t>
      </w:r>
      <w:r>
        <w:rPr>
          <w:rFonts w:hint="eastAsia" w:eastAsia="仿宋_GB2312"/>
          <w:color w:val="000000" w:themeColor="text1"/>
          <w:kern w:val="0"/>
          <w:sz w:val="24"/>
          <w:lang w:val="en-US" w:eastAsia="zh-CN"/>
          <w14:textFill>
            <w14:solidFill>
              <w14:schemeClr w14:val="tx1"/>
            </w14:solidFill>
          </w14:textFill>
        </w:rPr>
        <w:t>3.1</w:t>
      </w:r>
      <w:r>
        <w:rPr>
          <w:rFonts w:hint="eastAsia" w:eastAsia="仿宋_GB2312"/>
          <w:color w:val="000000" w:themeColor="text1"/>
          <w:kern w:val="0"/>
          <w:sz w:val="24"/>
          <w14:textFill>
            <w14:solidFill>
              <w14:schemeClr w14:val="tx1"/>
            </w14:solidFill>
          </w14:textFill>
        </w:rPr>
        <w:t>）</w:t>
      </w:r>
      <w:r>
        <w:rPr>
          <w:rFonts w:eastAsia="仿宋_GB2312"/>
          <w:color w:val="000000" w:themeColor="text1"/>
          <w:sz w:val="24"/>
          <w14:textFill>
            <w14:solidFill>
              <w14:schemeClr w14:val="tx1"/>
            </w14:solidFill>
          </w14:textFill>
        </w:rPr>
        <w:t>。</w:t>
      </w:r>
      <w:r>
        <w:rPr>
          <w:rFonts w:hint="eastAsia" w:ascii="黑体" w:hAnsi="黑体" w:eastAsia="黑体"/>
          <w:b/>
          <w:bCs/>
          <w:color w:val="000000" w:themeColor="text1"/>
          <w:kern w:val="0"/>
          <w:szCs w:val="21"/>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before="157" w:beforeLines="50" w:line="360" w:lineRule="auto"/>
        <w:ind w:left="0" w:leftChars="0" w:right="0" w:rightChars="0" w:firstLine="420" w:firstLineChars="200"/>
        <w:jc w:val="center"/>
        <w:textAlignment w:val="auto"/>
        <w:rPr>
          <w:rFonts w:hint="eastAsia" w:ascii="黑体" w:hAnsi="黑体" w:eastAsia="黑体" w:cs="黑体"/>
          <w:color w:val="000000" w:themeColor="text1"/>
          <w:kern w:val="0"/>
          <w:szCs w:val="21"/>
          <w14:textFill>
            <w14:solidFill>
              <w14:schemeClr w14:val="tx1"/>
            </w14:solidFill>
          </w14:textFill>
        </w:rPr>
      </w:pPr>
      <w:r>
        <w:rPr>
          <w:rFonts w:hint="eastAsia" w:ascii="黑体" w:hAnsi="黑体" w:eastAsia="黑体" w:cs="黑体"/>
          <w:color w:val="000000" w:themeColor="text1"/>
          <w:kern w:val="0"/>
          <w:szCs w:val="21"/>
          <w14:textFill>
            <w14:solidFill>
              <w14:schemeClr w14:val="tx1"/>
            </w14:solidFill>
          </w14:textFill>
        </w:rPr>
        <w:t>表3-</w:t>
      </w:r>
      <w:r>
        <w:rPr>
          <w:rFonts w:hint="eastAsia" w:ascii="黑体" w:hAnsi="黑体" w:eastAsia="黑体" w:cs="黑体"/>
          <w:color w:val="000000" w:themeColor="text1"/>
          <w:kern w:val="0"/>
          <w:szCs w:val="21"/>
          <w:lang w:val="en-US" w:eastAsia="zh-CN"/>
          <w14:textFill>
            <w14:solidFill>
              <w14:schemeClr w14:val="tx1"/>
            </w14:solidFill>
          </w14:textFill>
        </w:rPr>
        <w:t xml:space="preserve">3.1 </w:t>
      </w:r>
      <w:r>
        <w:rPr>
          <w:rFonts w:hint="eastAsia" w:ascii="黑体" w:hAnsi="黑体" w:eastAsia="黑体" w:cs="黑体"/>
          <w:color w:val="000000" w:themeColor="text1"/>
          <w:kern w:val="0"/>
          <w:szCs w:val="21"/>
          <w:lang w:eastAsia="zh-CN"/>
          <w14:textFill>
            <w14:solidFill>
              <w14:schemeClr w14:val="tx1"/>
            </w14:solidFill>
          </w14:textFill>
        </w:rPr>
        <w:t>项目</w:t>
      </w:r>
      <w:r>
        <w:rPr>
          <w:rFonts w:hint="eastAsia" w:ascii="黑体" w:hAnsi="黑体" w:eastAsia="黑体" w:cs="黑体"/>
          <w:color w:val="000000" w:themeColor="text1"/>
          <w:kern w:val="0"/>
          <w:szCs w:val="21"/>
          <w:lang w:val="en-US" w:eastAsia="zh-CN"/>
          <w14:textFill>
            <w14:solidFill>
              <w14:schemeClr w14:val="tx1"/>
            </w14:solidFill>
          </w14:textFill>
        </w:rPr>
        <w:t>临时</w:t>
      </w:r>
      <w:r>
        <w:rPr>
          <w:rFonts w:hint="eastAsia" w:ascii="黑体" w:hAnsi="黑体" w:eastAsia="黑体" w:cs="黑体"/>
          <w:color w:val="000000" w:themeColor="text1"/>
          <w:kern w:val="0"/>
          <w:szCs w:val="21"/>
          <w14:textFill>
            <w14:solidFill>
              <w14:schemeClr w14:val="tx1"/>
            </w14:solidFill>
          </w14:textFill>
        </w:rPr>
        <w:t>性</w:t>
      </w:r>
      <w:r>
        <w:rPr>
          <w:rFonts w:hint="eastAsia" w:ascii="黑体" w:hAnsi="黑体" w:eastAsia="黑体" w:cs="黑体"/>
          <w:color w:val="000000" w:themeColor="text1"/>
          <w:kern w:val="0"/>
          <w:szCs w:val="21"/>
          <w:lang w:val="en-US" w:eastAsia="zh-CN"/>
          <w14:textFill>
            <w14:solidFill>
              <w14:schemeClr w14:val="tx1"/>
            </w14:solidFill>
          </w14:textFill>
        </w:rPr>
        <w:t>用地</w:t>
      </w:r>
      <w:r>
        <w:rPr>
          <w:rFonts w:hint="eastAsia" w:ascii="黑体" w:hAnsi="黑体" w:eastAsia="黑体" w:cs="黑体"/>
          <w:color w:val="000000" w:themeColor="text1"/>
          <w:kern w:val="0"/>
          <w:szCs w:val="21"/>
          <w:lang w:eastAsia="zh-CN"/>
          <w14:textFill>
            <w14:solidFill>
              <w14:schemeClr w14:val="tx1"/>
            </w14:solidFill>
          </w14:textFill>
        </w:rPr>
        <w:t>土</w:t>
      </w:r>
      <w:r>
        <w:rPr>
          <w:rFonts w:hint="eastAsia" w:ascii="黑体" w:hAnsi="黑体" w:eastAsia="黑体" w:cs="黑体"/>
          <w:color w:val="000000" w:themeColor="text1"/>
          <w:kern w:val="0"/>
          <w:szCs w:val="21"/>
          <w14:textFill>
            <w14:solidFill>
              <w14:schemeClr w14:val="tx1"/>
            </w14:solidFill>
          </w14:textFill>
        </w:rPr>
        <w:t>地利用现状调查表</w:t>
      </w:r>
    </w:p>
    <w:tbl>
      <w:tblPr>
        <w:tblStyle w:val="20"/>
        <w:tblW w:w="771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33"/>
        <w:gridCol w:w="2222"/>
        <w:gridCol w:w="2016"/>
        <w:gridCol w:w="1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4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vertAlign w:val="baseline"/>
                <w:lang w:val="en-US" w:eastAsia="zh-CN"/>
                <w14:textFill>
                  <w14:solidFill>
                    <w14:schemeClr w14:val="tx1"/>
                  </w14:solidFill>
                </w14:textFill>
              </w:rPr>
              <w:t>地类</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vertAlign w:val="baseline"/>
                <w:lang w:val="en-US" w:eastAsia="zh-CN"/>
                <w14:textFill>
                  <w14:solidFill>
                    <w14:schemeClr w14:val="tx1"/>
                  </w14:solidFill>
                </w14:textFill>
              </w:rPr>
              <w:t>面积</w:t>
            </w:r>
            <w:r>
              <w:rPr>
                <w:rFonts w:hint="eastAsia" w:eastAsia="仿宋_GB2312" w:cs="Times New Roman"/>
                <w:color w:val="000000" w:themeColor="text1"/>
                <w:sz w:val="24"/>
                <w:szCs w:val="24"/>
                <w:lang w:val="en-US" w:eastAsia="zh-CN"/>
                <w14:textFill>
                  <w14:solidFill>
                    <w14:schemeClr w14:val="tx1"/>
                  </w14:solidFill>
                </w14:textFill>
              </w:rPr>
              <w:t>（单位：公顷）</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耕地（01）</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水浇地（0102）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0.1754</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种植园用地（02）</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果园（0201）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0.705</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林地（03）</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灌木林地（0305）</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0.0601</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住宅用地（07）</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农村宅基地（0702）</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0.2788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交通运输用地（10）</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公路用地（1003）</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0.0508</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农村道路（1006）</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0.2616</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水域及水利设施用地（11）</w:t>
            </w: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河流水面（1101）</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1.5254</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18.95%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vMerge w:val="continue"/>
            <w:tcBorders>
              <w:left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坑塘水面（1104）</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4.9181</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61.10%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433" w:type="dxa"/>
            <w:vMerge w:val="continue"/>
            <w:tcBorders>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p>
        </w:tc>
        <w:tc>
          <w:tcPr>
            <w:tcW w:w="2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沟渠（1107）</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0.074</w:t>
            </w:r>
          </w:p>
        </w:tc>
        <w:tc>
          <w:tcPr>
            <w:tcW w:w="104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4"/>
                <w:szCs w:val="24"/>
                <w:vertAlign w:val="baseline"/>
                <w:lang w:val="en-US" w:eastAsia="zh-CN"/>
                <w14:textFill>
                  <w14:solidFill>
                    <w14:schemeClr w14:val="tx1"/>
                  </w14:solidFill>
                </w14:textFill>
              </w:rPr>
            </w:pPr>
            <w:r>
              <w:rPr>
                <w:rFonts w:hint="eastAsia" w:eastAsia="仿宋_GB2312" w:cs="Times New Roman"/>
                <w:color w:val="000000" w:themeColor="text1"/>
                <w:kern w:val="0"/>
                <w:sz w:val="24"/>
                <w:szCs w:val="24"/>
                <w:vertAlign w:val="baseline"/>
                <w:lang w:val="en-US" w:eastAsia="zh-CN"/>
                <w14:textFill>
                  <w14:solidFill>
                    <w14:schemeClr w14:val="tx1"/>
                  </w14:solidFill>
                </w14:textFill>
              </w:rPr>
              <w:t>0.92%</w:t>
            </w:r>
          </w:p>
        </w:tc>
      </w:tr>
    </w:tbl>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黑体" w:hAnsi="黑体" w:eastAsia="黑体"/>
          <w:color w:val="000000" w:themeColor="text1"/>
          <w:kern w:val="0"/>
          <w:szCs w:val="21"/>
          <w14:textFill>
            <w14:solidFill>
              <w14:schemeClr w14:val="tx1"/>
            </w14:solidFill>
          </w14:textFill>
        </w:rPr>
      </w:pPr>
      <w:r>
        <w:rPr>
          <w:rFonts w:hint="eastAsia" w:eastAsia="仿宋_GB2312"/>
          <w:color w:val="000000" w:themeColor="text1"/>
          <w:kern w:val="0"/>
          <w:sz w:val="24"/>
          <w:lang w:eastAsia="zh-CN"/>
          <w14:textFill>
            <w14:solidFill>
              <w14:schemeClr w14:val="tx1"/>
            </w14:solidFill>
          </w14:textFill>
        </w:rPr>
        <w:t>土</w:t>
      </w:r>
      <w:r>
        <w:rPr>
          <w:rFonts w:hint="eastAsia" w:eastAsia="仿宋_GB2312"/>
          <w:color w:val="000000" w:themeColor="text1"/>
          <w:kern w:val="0"/>
          <w:sz w:val="24"/>
          <w14:textFill>
            <w14:solidFill>
              <w14:schemeClr w14:val="tx1"/>
            </w14:solidFill>
          </w14:textFill>
        </w:rPr>
        <w:t>地利用现状</w:t>
      </w:r>
      <w:r>
        <w:rPr>
          <w:rFonts w:hint="eastAsia" w:eastAsia="仿宋_GB2312"/>
          <w:color w:val="000000" w:themeColor="text1"/>
          <w:kern w:val="0"/>
          <w:sz w:val="24"/>
          <w:lang w:val="en-US" w:eastAsia="zh-CN"/>
          <w14:textFill>
            <w14:solidFill>
              <w14:schemeClr w14:val="tx1"/>
            </w14:solidFill>
          </w14:textFill>
        </w:rPr>
        <w:t>数据来源于喀什市自然资源局、疏附县自然资源局、疏勒县自然资源局。</w:t>
      </w:r>
      <w:r>
        <w:rPr>
          <w:rFonts w:hint="eastAsia" w:eastAsia="仿宋_GB2312"/>
          <w:color w:val="000000" w:themeColor="text1"/>
          <w:kern w:val="0"/>
          <w:sz w:val="24"/>
          <w14:textFill>
            <w14:solidFill>
              <w14:schemeClr w14:val="tx1"/>
            </w14:solidFill>
          </w14:textFill>
        </w:rPr>
        <w:t xml:space="preserve">  </w:t>
      </w:r>
      <w:r>
        <w:rPr>
          <w:rFonts w:hint="eastAsia" w:ascii="黑体" w:hAnsi="黑体" w:eastAsia="黑体"/>
          <w:b/>
          <w:bCs/>
          <w:color w:val="000000" w:themeColor="text1"/>
          <w:kern w:val="0"/>
          <w:szCs w:val="21"/>
          <w14:textFill>
            <w14:solidFill>
              <w14:schemeClr w14:val="tx1"/>
            </w14:solidFill>
          </w14:textFill>
        </w:rPr>
        <w:t xml:space="preserve">                   </w:t>
      </w:r>
      <w:r>
        <w:rPr>
          <w:rFonts w:hint="eastAsia" w:ascii="黑体" w:hAnsi="黑体" w:eastAsia="黑体"/>
          <w:color w:val="000000" w:themeColor="text1"/>
          <w:kern w:val="0"/>
          <w:szCs w:val="21"/>
          <w14:textFill>
            <w14:solidFill>
              <w14:schemeClr w14:val="tx1"/>
            </w14:solidFill>
          </w14:textFill>
        </w:rPr>
        <w:t xml:space="preserve">  </w:t>
      </w:r>
    </w:p>
    <w:p>
      <w:pPr>
        <w:rPr>
          <w:rFonts w:eastAsia="仿宋_GB2312"/>
          <w:b w:val="0"/>
          <w:bCs w:val="0"/>
          <w:color w:val="000000" w:themeColor="text1"/>
          <w:sz w:val="32"/>
          <w:szCs w:val="32"/>
          <w14:textFill>
            <w14:solidFill>
              <w14:schemeClr w14:val="tx1"/>
            </w14:solidFill>
          </w14:textFill>
        </w:rPr>
      </w:pPr>
      <w:bookmarkStart w:id="49" w:name="_Toc28081"/>
      <w:bookmarkStart w:id="50" w:name="_Toc1022"/>
      <w:r>
        <w:rPr>
          <w:rFonts w:eastAsia="仿宋_GB2312"/>
          <w:b w:val="0"/>
          <w:bCs w:val="0"/>
          <w:color w:val="000000" w:themeColor="text1"/>
          <w:sz w:val="32"/>
          <w:szCs w:val="32"/>
          <w14:textFill>
            <w14:solidFill>
              <w14:schemeClr w14:val="tx1"/>
            </w14:solidFill>
          </w14:textFill>
        </w:rPr>
        <w:br w:type="page"/>
      </w:r>
    </w:p>
    <w:p>
      <w:pPr>
        <w:pStyle w:val="4"/>
        <w:pageBreakBefore w:val="0"/>
        <w:kinsoku/>
        <w:wordWrap/>
        <w:overflowPunct/>
        <w:topLinePunct w:val="0"/>
        <w:autoSpaceDE/>
        <w:autoSpaceDN/>
        <w:bidi w:val="0"/>
        <w:adjustRightInd w:val="0"/>
        <w:snapToGrid w:val="0"/>
        <w:spacing w:before="0" w:after="0" w:line="360" w:lineRule="auto"/>
        <w:ind w:right="0" w:rightChars="0"/>
        <w:jc w:val="center"/>
        <w:textAlignment w:val="auto"/>
        <w:rPr>
          <w:rFonts w:eastAsia="仿宋_GB2312"/>
          <w:b w:val="0"/>
          <w:bCs w:val="0"/>
          <w:color w:val="000000" w:themeColor="text1"/>
          <w:sz w:val="32"/>
          <w:szCs w:val="32"/>
          <w14:textFill>
            <w14:solidFill>
              <w14:schemeClr w14:val="tx1"/>
            </w14:solidFill>
          </w14:textFill>
        </w:rPr>
      </w:pPr>
      <w:r>
        <w:rPr>
          <w:rFonts w:eastAsia="仿宋_GB2312"/>
          <w:b w:val="0"/>
          <w:bCs w:val="0"/>
          <w:color w:val="000000" w:themeColor="text1"/>
          <w:sz w:val="32"/>
          <w:szCs w:val="32"/>
          <w14:textFill>
            <w14:solidFill>
              <w14:schemeClr w14:val="tx1"/>
            </w14:solidFill>
          </w14:textFill>
        </w:rPr>
        <w:t>4</w:t>
      </w:r>
      <w:r>
        <w:rPr>
          <w:rFonts w:hint="eastAsia" w:ascii="黑体" w:hAnsi="黑体" w:eastAsia="黑体" w:cs="黑体"/>
          <w:b w:val="0"/>
          <w:bCs w:val="0"/>
          <w:color w:val="000000" w:themeColor="text1"/>
          <w:sz w:val="32"/>
          <w:szCs w:val="32"/>
          <w14:textFill>
            <w14:solidFill>
              <w14:schemeClr w14:val="tx1"/>
            </w14:solidFill>
          </w14:textFill>
        </w:rPr>
        <w:t xml:space="preserve"> 土地复垦方向可行性分析</w:t>
      </w:r>
      <w:bookmarkEnd w:id="49"/>
      <w:bookmarkEnd w:id="50"/>
    </w:p>
    <w:p>
      <w:pPr>
        <w:pStyle w:val="5"/>
        <w:pageBreakBefore w:val="0"/>
        <w:tabs>
          <w:tab w:val="center" w:pos="4156"/>
        </w:tabs>
        <w:kinsoku/>
        <w:wordWrap/>
        <w:overflowPunct/>
        <w:topLinePunct w:val="0"/>
        <w:autoSpaceDE/>
        <w:autoSpaceDN/>
        <w:bidi w:val="0"/>
        <w:adjustRightInd w:val="0"/>
        <w:snapToGrid w:val="0"/>
        <w:spacing w:before="0" w:after="0" w:line="360" w:lineRule="auto"/>
        <w:ind w:right="0" w:rightChars="0"/>
        <w:textAlignment w:val="auto"/>
        <w:rPr>
          <w:rFonts w:hint="eastAsia" w:ascii="黑体" w:hAnsi="黑体" w:cs="黑体"/>
          <w:b w:val="0"/>
          <w:color w:val="000000" w:themeColor="text1"/>
          <w:sz w:val="30"/>
          <w:szCs w:val="30"/>
          <w14:textFill>
            <w14:solidFill>
              <w14:schemeClr w14:val="tx1"/>
            </w14:solidFill>
          </w14:textFill>
        </w:rPr>
      </w:pPr>
      <w:bookmarkStart w:id="51" w:name="_Toc4446"/>
      <w:bookmarkStart w:id="52" w:name="_Toc6023"/>
      <w:r>
        <w:rPr>
          <w:rFonts w:ascii="Times New Roman" w:hAnsi="Times New Roman" w:eastAsia="仿宋_GB2312"/>
          <w:b w:val="0"/>
          <w:color w:val="000000" w:themeColor="text1"/>
          <w:sz w:val="30"/>
          <w:szCs w:val="30"/>
          <w14:textFill>
            <w14:solidFill>
              <w14:schemeClr w14:val="tx1"/>
            </w14:solidFill>
          </w14:textFill>
        </w:rPr>
        <w:t xml:space="preserve">4.1 </w:t>
      </w:r>
      <w:r>
        <w:rPr>
          <w:rFonts w:hint="eastAsia" w:ascii="黑体" w:hAnsi="黑体" w:cs="黑体"/>
          <w:b w:val="0"/>
          <w:color w:val="000000" w:themeColor="text1"/>
          <w:sz w:val="30"/>
          <w:szCs w:val="30"/>
          <w14:textFill>
            <w14:solidFill>
              <w14:schemeClr w14:val="tx1"/>
            </w14:solidFill>
          </w14:textFill>
        </w:rPr>
        <w:t>土地损毁分析与预测</w:t>
      </w:r>
      <w:bookmarkEnd w:id="51"/>
      <w:bookmarkEnd w:id="52"/>
    </w:p>
    <w:p>
      <w:pPr>
        <w:pStyle w:val="6"/>
        <w:pageBreakBefore w:val="0"/>
        <w:tabs>
          <w:tab w:val="left" w:pos="0"/>
        </w:tabs>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eastAsia="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4.1.1</w:t>
      </w:r>
      <w:r>
        <w:rPr>
          <w:rFonts w:hint="eastAsia" w:ascii="黑体" w:hAnsi="黑体" w:eastAsia="黑体" w:cs="黑体"/>
          <w:bCs w:val="0"/>
          <w:color w:val="000000" w:themeColor="text1"/>
          <w:sz w:val="28"/>
          <w14:textFill>
            <w14:solidFill>
              <w14:schemeClr w14:val="tx1"/>
            </w14:solidFill>
          </w14:textFill>
        </w:rPr>
        <w:t>土地损毁环节与时序</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eastAsia="黑体"/>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在土地损毁分析过程中，项目的生产建设工艺及流程是分析和明确土地损毁环境和形式的主要依据。本项目属于</w:t>
      </w:r>
      <w:r>
        <w:rPr>
          <w:rFonts w:hint="eastAsia" w:eastAsia="仿宋_GB2312"/>
          <w:color w:val="000000" w:themeColor="text1"/>
          <w:sz w:val="24"/>
          <w:lang w:eastAsia="zh-CN"/>
          <w14:textFill>
            <w14:solidFill>
              <w14:schemeClr w14:val="tx1"/>
            </w14:solidFill>
          </w14:textFill>
        </w:rPr>
        <w:t>加固水利设施类项目</w:t>
      </w:r>
      <w:r>
        <w:rPr>
          <w:rFonts w:eastAsia="仿宋_GB2312"/>
          <w:color w:val="000000" w:themeColor="text1"/>
          <w:sz w:val="24"/>
          <w14:textFill>
            <w14:solidFill>
              <w14:schemeClr w14:val="tx1"/>
            </w14:solidFill>
          </w14:textFill>
        </w:rPr>
        <w:t>。在对项目主要工艺及流程进行分析的基础上，对</w:t>
      </w:r>
      <w:r>
        <w:rPr>
          <w:rFonts w:hint="eastAsia" w:eastAsia="仿宋_GB2312"/>
          <w:color w:val="000000" w:themeColor="text1"/>
          <w:sz w:val="24"/>
          <w:lang w:val="en-US" w:eastAsia="zh-CN"/>
          <w14:textFill>
            <w14:solidFill>
              <w14:schemeClr w14:val="tx1"/>
            </w14:solidFill>
          </w14:textFill>
        </w:rPr>
        <w:t>各临时用地</w:t>
      </w:r>
      <w:r>
        <w:rPr>
          <w:rFonts w:eastAsia="仿宋_GB2312"/>
          <w:color w:val="000000" w:themeColor="text1"/>
          <w:sz w:val="24"/>
          <w14:textFill>
            <w14:solidFill>
              <w14:schemeClr w14:val="tx1"/>
            </w14:solidFill>
          </w14:textFill>
        </w:rPr>
        <w:t>土地损毁环节与时序进行了分析。</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color w:val="000000" w:themeColor="text1"/>
          <w:sz w:val="24"/>
          <w:lang w:eastAsia="zh-CN"/>
          <w14:textFill>
            <w14:solidFill>
              <w14:schemeClr w14:val="tx1"/>
            </w14:solidFill>
          </w14:textFill>
        </w:rPr>
        <w:t>土地损毁环节</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该项目为</w:t>
      </w:r>
      <w:r>
        <w:rPr>
          <w:rFonts w:hint="eastAsia" w:eastAsia="仿宋_GB2312" w:cs="Times New Roman"/>
          <w:color w:val="000000" w:themeColor="text1"/>
          <w:sz w:val="24"/>
          <w:lang w:eastAsia="zh-CN"/>
          <w14:textFill>
            <w14:solidFill>
              <w14:schemeClr w14:val="tx1"/>
            </w14:solidFill>
          </w14:textFill>
        </w:rPr>
        <w:t>加固水利设施类项目</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default" w:ascii="Times New Roman" w:hAnsi="Times New Roman" w:eastAsia="仿宋_GB2312" w:cs="Times New Roman"/>
          <w:color w:val="000000" w:themeColor="text1"/>
          <w:sz w:val="24"/>
          <w:lang w:eastAsia="zh-CN"/>
          <w14:textFill>
            <w14:solidFill>
              <w14:schemeClr w14:val="tx1"/>
            </w14:solidFill>
          </w14:textFill>
        </w:rPr>
        <w:t>施工总工期为</w:t>
      </w:r>
      <w:r>
        <w:rPr>
          <w:rFonts w:hint="eastAsia" w:ascii="Times New Roman" w:hAnsi="Times New Roman" w:eastAsia="仿宋_GB2312" w:cs="Times New Roman"/>
          <w:color w:val="000000" w:themeColor="text1"/>
          <w:sz w:val="24"/>
          <w:lang w:val="en-US" w:eastAsia="zh-CN"/>
          <w14:textFill>
            <w14:solidFill>
              <w14:schemeClr w14:val="tx1"/>
            </w14:solidFill>
          </w14:textFill>
        </w:rPr>
        <w:t>24个月</w:t>
      </w:r>
      <w:r>
        <w:rPr>
          <w:rFonts w:hint="default" w:ascii="Times New Roman" w:hAnsi="Times New Roman" w:eastAsia="仿宋_GB2312" w:cs="Times New Roman"/>
          <w:color w:val="000000" w:themeColor="text1"/>
          <w:sz w:val="24"/>
          <w:lang w:eastAsia="zh-CN"/>
          <w14:textFill>
            <w14:solidFill>
              <w14:schemeClr w14:val="tx1"/>
            </w14:solidFill>
          </w14:textFill>
        </w:rPr>
        <w:t>（包括施工</w:t>
      </w:r>
      <w:r>
        <w:rPr>
          <w:rFonts w:hint="default" w:ascii="Times New Roman" w:hAnsi="Times New Roman" w:eastAsia="仿宋_GB2312" w:cs="Times New Roman"/>
          <w:color w:val="000000" w:themeColor="text1"/>
          <w:sz w:val="24"/>
          <w:lang w:val="zh-CN" w:eastAsia="zh-CN"/>
          <w14:textFill>
            <w14:solidFill>
              <w14:schemeClr w14:val="tx1"/>
            </w14:solidFill>
          </w14:textFill>
        </w:rPr>
        <w:t>准备期和验收）。</w:t>
      </w:r>
      <w:r>
        <w:rPr>
          <w:rFonts w:hint="eastAsia" w:ascii="Times New Roman" w:hAnsi="Times New Roman" w:eastAsia="仿宋_GB2312" w:cs="Times New Roman"/>
          <w:color w:val="000000" w:themeColor="text1"/>
          <w:sz w:val="24"/>
          <w:lang w:val="zh-CN" w:eastAsia="zh-CN"/>
          <w14:textFill>
            <w14:solidFill>
              <w14:schemeClr w14:val="tx1"/>
            </w14:solidFill>
          </w14:textFill>
        </w:rPr>
        <w:t>自</w:t>
      </w:r>
      <w:r>
        <w:rPr>
          <w:rFonts w:hint="eastAsia" w:eastAsia="仿宋_GB2312" w:cs="Times New Roman"/>
          <w:color w:val="000000" w:themeColor="text1"/>
          <w:sz w:val="24"/>
          <w:lang w:val="en-US" w:eastAsia="zh-CN"/>
          <w14:textFill>
            <w14:solidFill>
              <w14:schemeClr w14:val="tx1"/>
            </w14:solidFill>
          </w14:textFill>
        </w:rPr>
        <w:t>2024年3月</w:t>
      </w:r>
      <w:r>
        <w:rPr>
          <w:rFonts w:hint="eastAsia" w:ascii="Times New Roman" w:hAnsi="Times New Roman" w:eastAsia="仿宋_GB2312" w:cs="Times New Roman"/>
          <w:color w:val="000000" w:themeColor="text1"/>
          <w:sz w:val="24"/>
          <w:lang w:val="zh-CN" w:eastAsia="zh-CN"/>
          <w14:textFill>
            <w14:solidFill>
              <w14:schemeClr w14:val="tx1"/>
            </w14:solidFill>
          </w14:textFill>
        </w:rPr>
        <w:t>底，完成施工前期准备工作及项目施工招标，</w:t>
      </w:r>
      <w:r>
        <w:rPr>
          <w:rFonts w:hint="eastAsia" w:ascii="Times New Roman" w:hAnsi="Times New Roman" w:eastAsia="仿宋_GB2312" w:cs="Times New Roman"/>
          <w:color w:val="000000" w:themeColor="text1"/>
          <w:sz w:val="24"/>
          <w:lang w:val="en-US" w:eastAsia="zh-CN"/>
          <w14:textFill>
            <w14:solidFill>
              <w14:schemeClr w14:val="tx1"/>
            </w14:solidFill>
          </w14:textFill>
        </w:rPr>
        <w:t>现状临时用地</w:t>
      </w:r>
      <w:r>
        <w:rPr>
          <w:rFonts w:hint="eastAsia" w:eastAsia="仿宋_GB2312" w:cs="Times New Roman"/>
          <w:color w:val="000000" w:themeColor="text1"/>
          <w:sz w:val="24"/>
          <w:lang w:val="en-US" w:eastAsia="zh-CN"/>
          <w14:textFill>
            <w14:solidFill>
              <w14:schemeClr w14:val="tx1"/>
            </w14:solidFill>
          </w14:textFill>
        </w:rPr>
        <w:t>未</w:t>
      </w:r>
      <w:r>
        <w:rPr>
          <w:rFonts w:hint="eastAsia" w:ascii="Times New Roman" w:hAnsi="Times New Roman" w:eastAsia="仿宋_GB2312" w:cs="Times New Roman"/>
          <w:color w:val="000000" w:themeColor="text1"/>
          <w:sz w:val="24"/>
          <w:lang w:val="en-US" w:eastAsia="zh-CN"/>
          <w14:textFill>
            <w14:solidFill>
              <w14:schemeClr w14:val="tx1"/>
            </w14:solidFill>
          </w14:textFill>
        </w:rPr>
        <w:t>损毁</w:t>
      </w:r>
      <w:r>
        <w:rPr>
          <w:rFonts w:hint="eastAsia" w:ascii="Times New Roman" w:hAnsi="Times New Roman" w:eastAsia="仿宋_GB2312" w:cs="Times New Roman"/>
          <w:color w:val="000000" w:themeColor="text1"/>
          <w:sz w:val="24"/>
          <w:lang w:eastAsia="zh-CN"/>
          <w14:textFill>
            <w14:solidFill>
              <w14:schemeClr w14:val="tx1"/>
            </w14:solidFill>
          </w14:textFill>
        </w:rPr>
        <w:t>，土地损毁环节主要为地面设施</w:t>
      </w:r>
      <w:r>
        <w:rPr>
          <w:rFonts w:hint="eastAsia" w:eastAsia="仿宋_GB2312" w:cs="Times New Roman"/>
          <w:color w:val="000000" w:themeColor="text1"/>
          <w:sz w:val="24"/>
          <w:lang w:val="en-US" w:eastAsia="zh-CN"/>
          <w14:textFill>
            <w14:solidFill>
              <w14:schemeClr w14:val="tx1"/>
            </w14:solidFill>
          </w14:textFill>
        </w:rPr>
        <w:t>拟</w:t>
      </w:r>
      <w:r>
        <w:rPr>
          <w:rFonts w:hint="eastAsia" w:ascii="Times New Roman" w:hAnsi="Times New Roman" w:eastAsia="仿宋_GB2312" w:cs="Times New Roman"/>
          <w:color w:val="000000" w:themeColor="text1"/>
          <w:sz w:val="24"/>
          <w:lang w:eastAsia="zh-CN"/>
          <w14:textFill>
            <w14:solidFill>
              <w14:schemeClr w14:val="tx1"/>
            </w14:solidFill>
          </w14:textFill>
        </w:rPr>
        <w:t>压占损毁土地。</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lang w:eastAsia="zh-CN"/>
          <w14:textFill>
            <w14:solidFill>
              <w14:schemeClr w14:val="tx1"/>
            </w14:solidFill>
          </w14:textFill>
        </w:rPr>
        <w:t>地面设施压占损毁土地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①</w:t>
      </w:r>
      <w:r>
        <w:rPr>
          <w:rFonts w:hint="eastAsia" w:eastAsia="仿宋_GB2312" w:cs="Times New Roman"/>
          <w:color w:val="000000" w:themeColor="text1"/>
          <w:sz w:val="24"/>
          <w:lang w:val="en-US" w:eastAsia="zh-CN"/>
          <w14:textFill>
            <w14:solidFill>
              <w14:schemeClr w14:val="tx1"/>
            </w14:solidFill>
          </w14:textFill>
        </w:rPr>
        <w:t>材料堆场（水浇地、果园、灌木林地）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首先进行表土剥离，场地平整施工，随即对平整后的场地进行压实处理，最后</w:t>
      </w:r>
      <w:r>
        <w:rPr>
          <w:rFonts w:hint="eastAsia" w:eastAsia="仿宋_GB2312" w:cs="Times New Roman"/>
          <w:color w:val="000000" w:themeColor="text1"/>
          <w:sz w:val="24"/>
          <w:lang w:val="en-US" w:eastAsia="zh-CN"/>
          <w14:textFill>
            <w14:solidFill>
              <w14:schemeClr w14:val="tx1"/>
            </w14:solidFill>
          </w14:textFill>
        </w:rPr>
        <w:t>投入使用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②</w:t>
      </w:r>
      <w:r>
        <w:rPr>
          <w:rFonts w:hint="eastAsia" w:eastAsia="仿宋_GB2312" w:cs="Times New Roman"/>
          <w:color w:val="000000" w:themeColor="text1"/>
          <w:sz w:val="24"/>
          <w:lang w:val="en-US" w:eastAsia="zh-CN"/>
          <w14:textFill>
            <w14:solidFill>
              <w14:schemeClr w14:val="tx1"/>
            </w14:solidFill>
          </w14:textFill>
        </w:rPr>
        <w:t>材料堆场（农村宅基地）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首先场地平整施工，随即对平整后的场地进行压实处理，最后投入使用。</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③</w:t>
      </w:r>
      <w:r>
        <w:rPr>
          <w:rFonts w:hint="eastAsia" w:eastAsia="仿宋_GB2312" w:cs="Times New Roman"/>
          <w:color w:val="000000" w:themeColor="text1"/>
          <w:sz w:val="24"/>
          <w:lang w:val="en-US" w:eastAsia="zh-CN"/>
          <w14:textFill>
            <w14:solidFill>
              <w14:schemeClr w14:val="tx1"/>
            </w14:solidFill>
          </w14:textFill>
        </w:rPr>
        <w:t>材料堆场</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公路用地、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农村道路） 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农村道路区域现状经硬化处理，本次直接投入使用，车辆通行预估不会造成路面损毁，做好预防控制措施即可。</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④</w:t>
      </w:r>
      <w:r>
        <w:rPr>
          <w:rFonts w:hint="eastAsia" w:eastAsia="仿宋_GB2312" w:cs="Times New Roman"/>
          <w:color w:val="000000" w:themeColor="text1"/>
          <w:sz w:val="24"/>
          <w:lang w:val="en-US" w:eastAsia="zh-CN"/>
          <w14:textFill>
            <w14:solidFill>
              <w14:schemeClr w14:val="tx1"/>
            </w14:solidFill>
          </w14:textFill>
        </w:rPr>
        <w:t>材料堆场</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河流水面、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坑塘水面、沟渠） 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经现场勘测，临时用地所占用河流水面、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坑塘水面、沟渠</w:t>
      </w:r>
      <w:r>
        <w:rPr>
          <w:rFonts w:hint="eastAsia" w:eastAsia="仿宋_GB2312" w:cs="Times New Roman"/>
          <w:color w:val="000000" w:themeColor="text1"/>
          <w:sz w:val="24"/>
          <w:lang w:val="en-US" w:eastAsia="zh-CN"/>
          <w14:textFill>
            <w14:solidFill>
              <w14:schemeClr w14:val="tx1"/>
            </w14:solidFill>
          </w14:textFill>
        </w:rPr>
        <w:t>多年处于干涸状态，进行</w:t>
      </w:r>
      <w:r>
        <w:rPr>
          <w:rFonts w:hint="eastAsia" w:ascii="Times New Roman" w:hAnsi="Times New Roman" w:eastAsia="仿宋_GB2312" w:cs="Times New Roman"/>
          <w:color w:val="000000" w:themeColor="text1"/>
          <w:sz w:val="24"/>
          <w:lang w:val="en-US" w:eastAsia="zh-CN"/>
          <w14:textFill>
            <w14:solidFill>
              <w14:schemeClr w14:val="tx1"/>
            </w14:solidFill>
          </w14:textFill>
        </w:rPr>
        <w:t>场地平整</w:t>
      </w:r>
      <w:r>
        <w:rPr>
          <w:rFonts w:hint="eastAsia" w:eastAsia="仿宋_GB2312" w:cs="Times New Roman"/>
          <w:color w:val="000000" w:themeColor="text1"/>
          <w:sz w:val="24"/>
          <w:lang w:val="en-US" w:eastAsia="zh-CN"/>
          <w14:textFill>
            <w14:solidFill>
              <w14:schemeClr w14:val="tx1"/>
            </w14:solidFill>
          </w14:textFill>
        </w:rPr>
        <w:t>后可直接投入使用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⑤制梁厂、施工驻地（水浇地、果园、灌木林地）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首先进行表土剥离，场地平整施工，随即对平整后的场地进行压实处理，</w:t>
      </w:r>
      <w:r>
        <w:rPr>
          <w:rFonts w:hint="eastAsia" w:eastAsia="仿宋_GB2312" w:cs="Times New Roman"/>
          <w:color w:val="000000" w:themeColor="text1"/>
          <w:sz w:val="24"/>
          <w:lang w:val="en-US" w:eastAsia="zh-CN"/>
          <w14:textFill>
            <w14:solidFill>
              <w14:schemeClr w14:val="tx1"/>
            </w14:solidFill>
          </w14:textFill>
        </w:rPr>
        <w:t>并进行局部硬化后</w:t>
      </w:r>
      <w:r>
        <w:rPr>
          <w:rFonts w:hint="eastAsia" w:ascii="Times New Roman" w:hAnsi="Times New Roman" w:eastAsia="仿宋_GB2312" w:cs="Times New Roman"/>
          <w:color w:val="000000" w:themeColor="text1"/>
          <w:sz w:val="24"/>
          <w:lang w:val="en-US" w:eastAsia="zh-CN"/>
          <w14:textFill>
            <w14:solidFill>
              <w14:schemeClr w14:val="tx1"/>
            </w14:solidFill>
          </w14:textFill>
        </w:rPr>
        <w:t>最后</w:t>
      </w:r>
      <w:r>
        <w:rPr>
          <w:rFonts w:hint="eastAsia" w:eastAsia="仿宋_GB2312" w:cs="Times New Roman"/>
          <w:color w:val="000000" w:themeColor="text1"/>
          <w:sz w:val="24"/>
          <w:lang w:val="en-US" w:eastAsia="zh-CN"/>
          <w14:textFill>
            <w14:solidFill>
              <w14:schemeClr w14:val="tx1"/>
            </w14:solidFill>
          </w14:textFill>
        </w:rPr>
        <w:t>投入使用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⑥制梁厂、施工驻地（农村宅基地）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首先场地平整施工，随即对平整后的场地进行压实处理，</w:t>
      </w:r>
      <w:r>
        <w:rPr>
          <w:rFonts w:hint="eastAsia" w:eastAsia="仿宋_GB2312" w:cs="Times New Roman"/>
          <w:color w:val="000000" w:themeColor="text1"/>
          <w:sz w:val="24"/>
          <w:lang w:val="en-US" w:eastAsia="zh-CN"/>
          <w14:textFill>
            <w14:solidFill>
              <w14:schemeClr w14:val="tx1"/>
            </w14:solidFill>
          </w14:textFill>
        </w:rPr>
        <w:t>并进行局部硬化后</w:t>
      </w:r>
      <w:r>
        <w:rPr>
          <w:rFonts w:hint="eastAsia" w:ascii="Times New Roman" w:hAnsi="Times New Roman" w:eastAsia="仿宋_GB2312" w:cs="Times New Roman"/>
          <w:color w:val="000000" w:themeColor="text1"/>
          <w:sz w:val="24"/>
          <w:lang w:val="en-US" w:eastAsia="zh-CN"/>
          <w14:textFill>
            <w14:solidFill>
              <w14:schemeClr w14:val="tx1"/>
            </w14:solidFill>
          </w14:textFill>
        </w:rPr>
        <w:t>最后</w:t>
      </w:r>
      <w:r>
        <w:rPr>
          <w:rFonts w:hint="eastAsia" w:eastAsia="仿宋_GB2312" w:cs="Times New Roman"/>
          <w:color w:val="000000" w:themeColor="text1"/>
          <w:sz w:val="24"/>
          <w:lang w:val="en-US" w:eastAsia="zh-CN"/>
          <w14:textFill>
            <w14:solidFill>
              <w14:schemeClr w14:val="tx1"/>
            </w14:solidFill>
          </w14:textFill>
        </w:rPr>
        <w:t>投入使用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⑦制梁厂、施工驻地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公路用地、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农村道路） 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农村道路区域现状经硬化处理，本次直接投入使用，车辆通行预估不会造成路面损毁，做好预防控制措施即可。</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⑧制梁厂、施工驻地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河流水面、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坑塘水面、沟渠） 施工工艺</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经现场勘测，临时用地所占用河流水面、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坑塘水面、沟渠</w:t>
      </w:r>
      <w:r>
        <w:rPr>
          <w:rFonts w:hint="eastAsia" w:eastAsia="仿宋_GB2312" w:cs="Times New Roman"/>
          <w:color w:val="000000" w:themeColor="text1"/>
          <w:sz w:val="24"/>
          <w:lang w:val="en-US" w:eastAsia="zh-CN"/>
          <w14:textFill>
            <w14:solidFill>
              <w14:schemeClr w14:val="tx1"/>
            </w14:solidFill>
          </w14:textFill>
        </w:rPr>
        <w:t>多年处于干涸状态，进行</w:t>
      </w:r>
      <w:r>
        <w:rPr>
          <w:rFonts w:hint="eastAsia" w:ascii="Times New Roman" w:hAnsi="Times New Roman" w:eastAsia="仿宋_GB2312" w:cs="Times New Roman"/>
          <w:color w:val="000000" w:themeColor="text1"/>
          <w:sz w:val="24"/>
          <w:lang w:val="en-US" w:eastAsia="zh-CN"/>
          <w14:textFill>
            <w14:solidFill>
              <w14:schemeClr w14:val="tx1"/>
            </w14:solidFill>
          </w14:textFill>
        </w:rPr>
        <w:t>场地平整</w:t>
      </w:r>
      <w:r>
        <w:rPr>
          <w:rFonts w:hint="eastAsia" w:eastAsia="仿宋_GB2312" w:cs="Times New Roman"/>
          <w:color w:val="000000" w:themeColor="text1"/>
          <w:sz w:val="24"/>
          <w:lang w:val="en-US" w:eastAsia="zh-CN"/>
          <w14:textFill>
            <w14:solidFill>
              <w14:schemeClr w14:val="tx1"/>
            </w14:solidFill>
          </w14:textFill>
        </w:rPr>
        <w:t>后可直接投入使用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color w:val="000000" w:themeColor="text1"/>
          <w:sz w:val="24"/>
          <w:lang w:eastAsia="zh-CN"/>
          <w14:textFill>
            <w14:solidFill>
              <w14:schemeClr w14:val="tx1"/>
            </w14:solidFill>
          </w14:textFill>
        </w:rPr>
        <w:t>土地损毁</w:t>
      </w:r>
      <w:r>
        <w:rPr>
          <w:rFonts w:hint="eastAsia" w:ascii="Times New Roman" w:hAnsi="Times New Roman" w:eastAsia="仿宋_GB2312" w:cs="Times New Roman"/>
          <w:color w:val="000000" w:themeColor="text1"/>
          <w:sz w:val="24"/>
          <w:lang w:val="en-US" w:eastAsia="zh-CN"/>
          <w14:textFill>
            <w14:solidFill>
              <w14:schemeClr w14:val="tx1"/>
            </w14:solidFill>
          </w14:textFill>
        </w:rPr>
        <w:t>情况</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本次评价范围为项目</w:t>
      </w:r>
      <w:r>
        <w:rPr>
          <w:rFonts w:hint="eastAsia" w:ascii="Times New Roman" w:hAnsi="Times New Roman" w:eastAsia="仿宋_GB2312" w:cs="Times New Roman"/>
          <w:color w:val="000000" w:themeColor="text1"/>
          <w:sz w:val="24"/>
          <w:lang w:eastAsia="zh-CN"/>
          <w14:textFill>
            <w14:solidFill>
              <w14:schemeClr w14:val="tx1"/>
            </w14:solidFill>
          </w14:textFill>
        </w:rPr>
        <w:t>临时用地。在项目建设区内工程的实施将可能对土地造成破坏，使其土地利用功能降低或改变。</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在工程建设过程中，共需临时占用</w:t>
      </w:r>
      <w:r>
        <w:rPr>
          <w:rFonts w:hint="eastAsia" w:eastAsia="仿宋_GB2312"/>
          <w:color w:val="000000" w:themeColor="text1"/>
          <w:kern w:val="0"/>
          <w:sz w:val="24"/>
          <w:lang w:val="en-US" w:eastAsia="zh-CN"/>
          <w14:textFill>
            <w14:solidFill>
              <w14:schemeClr w14:val="tx1"/>
            </w14:solidFill>
          </w14:textFill>
        </w:rPr>
        <w:t>喀什市</w:t>
      </w:r>
      <w:r>
        <w:rPr>
          <w:rFonts w:hint="eastAsia" w:eastAsia="仿宋_GB2312"/>
          <w:color w:val="000000" w:themeColor="text1"/>
          <w:kern w:val="0"/>
          <w:sz w:val="24"/>
          <w:lang w:eastAsia="zh-CN"/>
          <w14:textFill>
            <w14:solidFill>
              <w14:schemeClr w14:val="tx1"/>
            </w14:solidFill>
          </w14:textFill>
        </w:rPr>
        <w:t>托万克喀库拉村、尤勒古鲁克村、尤喀尔克喀库拉村国有及集体土地</w:t>
      </w:r>
      <w:r>
        <w:rPr>
          <w:rFonts w:hint="eastAsia" w:eastAsia="仿宋_GB2312"/>
          <w:color w:val="000000" w:themeColor="text1"/>
          <w:kern w:val="0"/>
          <w:sz w:val="24"/>
          <w:lang w:val="en-US" w:eastAsia="zh-CN"/>
          <w14:textFill>
            <w14:solidFill>
              <w14:schemeClr w14:val="tx1"/>
            </w14:solidFill>
          </w14:textFill>
        </w:rPr>
        <w:t>6.0416</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lang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疏附县</w:t>
      </w:r>
      <w:r>
        <w:rPr>
          <w:rFonts w:hint="eastAsia" w:eastAsia="仿宋_GB2312"/>
          <w:color w:val="000000" w:themeColor="text1"/>
          <w:kern w:val="0"/>
          <w:sz w:val="24"/>
          <w:lang w:eastAsia="zh-CN"/>
          <w14:textFill>
            <w14:solidFill>
              <w14:schemeClr w14:val="tx1"/>
            </w14:solidFill>
          </w14:textFill>
        </w:rPr>
        <w:t>喀库拉村国有土地</w:t>
      </w:r>
      <w:r>
        <w:rPr>
          <w:rFonts w:hint="eastAsia" w:eastAsia="仿宋_GB2312"/>
          <w:color w:val="000000" w:themeColor="text1"/>
          <w:kern w:val="0"/>
          <w:sz w:val="24"/>
          <w:lang w:val="en-US" w:eastAsia="zh-CN"/>
          <w14:textFill>
            <w14:solidFill>
              <w14:schemeClr w14:val="tx1"/>
            </w14:solidFill>
          </w14:textFill>
        </w:rPr>
        <w:t>1.3449</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疏勒县</w:t>
      </w:r>
      <w:r>
        <w:rPr>
          <w:rFonts w:hint="eastAsia" w:eastAsia="仿宋_GB2312"/>
          <w:color w:val="000000" w:themeColor="text1"/>
          <w:kern w:val="0"/>
          <w:sz w:val="24"/>
          <w:lang w:eastAsia="zh-CN"/>
          <w14:textFill>
            <w14:solidFill>
              <w14:schemeClr w14:val="tx1"/>
            </w14:solidFill>
          </w14:textFill>
        </w:rPr>
        <w:t>坎吐曼艾力克村国有</w:t>
      </w:r>
      <w:r>
        <w:rPr>
          <w:rFonts w:hint="eastAsia" w:eastAsia="仿宋_GB2312"/>
          <w:color w:val="000000" w:themeColor="text1"/>
          <w:kern w:val="0"/>
          <w:sz w:val="24"/>
          <w:lang w:val="en-US" w:eastAsia="zh-CN"/>
          <w14:textFill>
            <w14:solidFill>
              <w14:schemeClr w14:val="tx1"/>
            </w14:solidFill>
          </w14:textFill>
        </w:rPr>
        <w:t>及集体</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lang w:val="en-US" w:eastAsia="zh-CN"/>
          <w14:textFill>
            <w14:solidFill>
              <w14:schemeClr w14:val="tx1"/>
            </w14:solidFill>
          </w14:textFill>
        </w:rPr>
        <w:t>0.6627</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。临时用地</w:t>
      </w:r>
      <w:r>
        <w:rPr>
          <w:rFonts w:hint="default" w:ascii="Times New Roman" w:hAnsi="Times New Roman" w:eastAsia="仿宋_GB2312" w:cs="Times New Roman"/>
          <w:color w:val="000000" w:themeColor="text1"/>
          <w:sz w:val="24"/>
          <w:lang w:eastAsia="zh-CN"/>
          <w14:textFill>
            <w14:solidFill>
              <w14:schemeClr w14:val="tx1"/>
            </w14:solidFill>
          </w14:textFill>
        </w:rPr>
        <w:t>总面积为</w:t>
      </w:r>
      <w:r>
        <w:rPr>
          <w:rFonts w:hint="eastAsia" w:eastAsia="仿宋_GB2312" w:cs="Times New Roman"/>
          <w:color w:val="000000" w:themeColor="text1"/>
          <w:sz w:val="24"/>
          <w:lang w:val="en-US" w:eastAsia="zh-CN"/>
          <w14:textFill>
            <w14:solidFill>
              <w14:schemeClr w14:val="tx1"/>
            </w14:solidFill>
          </w14:textFill>
        </w:rPr>
        <w:t>8.0492</w:t>
      </w:r>
      <w:r>
        <w:rPr>
          <w:rFonts w:hint="default" w:ascii="Times New Roman" w:hAnsi="Times New Roman" w:eastAsia="仿宋_GB2312" w:cs="Times New Roman"/>
          <w:color w:val="000000" w:themeColor="text1"/>
          <w:sz w:val="24"/>
          <w:lang w:eastAsia="zh-CN"/>
          <w14:textFill>
            <w14:solidFill>
              <w14:schemeClr w14:val="tx1"/>
            </w14:solidFill>
          </w14:textFill>
        </w:rPr>
        <w:t>hm</w:t>
      </w:r>
      <w:r>
        <w:rPr>
          <w:rFonts w:hint="default" w:ascii="Times New Roman" w:hAnsi="Times New Roman" w:eastAsia="仿宋_GB2312"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仿宋_GB2312" w:cs="Times New Roman"/>
          <w:color w:val="000000" w:themeColor="text1"/>
          <w:sz w:val="24"/>
          <w:lang w:eastAsia="zh-CN"/>
          <w14:textFill>
            <w14:solidFill>
              <w14:schemeClr w14:val="tx1"/>
            </w14:solidFill>
          </w14:textFill>
        </w:rPr>
        <w:t>，其主要包括</w:t>
      </w:r>
      <w:r>
        <w:rPr>
          <w:rFonts w:hint="eastAsia" w:ascii="Times New Roman" w:hAnsi="Times New Roman" w:eastAsia="仿宋_GB2312" w:cs="Times New Roman"/>
          <w:color w:val="000000" w:themeColor="text1"/>
          <w:sz w:val="24"/>
          <w:lang w:eastAsia="zh-CN"/>
          <w14:textFill>
            <w14:solidFill>
              <w14:schemeClr w14:val="tx1"/>
            </w14:solidFill>
          </w14:textFill>
        </w:rPr>
        <w:t>建设项目</w:t>
      </w:r>
      <w:r>
        <w:rPr>
          <w:rFonts w:hint="default" w:ascii="Times New Roman" w:hAnsi="Times New Roman" w:eastAsia="仿宋_GB2312" w:cs="Times New Roman"/>
          <w:color w:val="000000" w:themeColor="text1"/>
          <w:sz w:val="24"/>
          <w:lang w:eastAsia="zh-CN"/>
          <w14:textFill>
            <w14:solidFill>
              <w14:schemeClr w14:val="tx1"/>
            </w14:solidFill>
          </w14:textFill>
        </w:rPr>
        <w:t>建设期间</w:t>
      </w:r>
      <w:r>
        <w:rPr>
          <w:rFonts w:hint="eastAsia" w:ascii="Times New Roman" w:hAnsi="Times New Roman" w:eastAsia="仿宋_GB2312" w:cs="Times New Roman"/>
          <w:color w:val="000000" w:themeColor="text1"/>
          <w:sz w:val="24"/>
          <w:lang w:eastAsia="zh-CN"/>
          <w14:textFill>
            <w14:solidFill>
              <w14:schemeClr w14:val="tx1"/>
            </w14:solidFill>
          </w14:textFill>
        </w:rPr>
        <w:t>设置</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lang w:eastAsia="zh-CN"/>
          <w14:textFill>
            <w14:solidFill>
              <w14:schemeClr w14:val="tx1"/>
            </w14:solidFill>
          </w14:textFill>
        </w:rPr>
        <w:t>等。</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b</w:t>
      </w:r>
      <w:r>
        <w:rPr>
          <w:rFonts w:hint="eastAsia" w:ascii="Times New Roman" w:hAnsi="Times New Roman" w:eastAsia="仿宋_GB2312" w:cs="Times New Roman"/>
          <w:color w:val="000000" w:themeColor="text1"/>
          <w:sz w:val="24"/>
          <w:lang w:eastAsia="zh-CN"/>
          <w14:textFill>
            <w14:solidFill>
              <w14:schemeClr w14:val="tx1"/>
            </w14:solidFill>
          </w14:textFill>
        </w:rPr>
        <w:t>）土地损毁时序</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土地损毁活动是随着生产建设活动逐渐发生的，因而根据本项目生产建设活动土地损毁时序来看，</w:t>
      </w:r>
      <w:r>
        <w:rPr>
          <w:rFonts w:hint="eastAsia" w:ascii="Times New Roman" w:hAnsi="Times New Roman" w:eastAsia="仿宋_GB2312" w:cs="Times New Roman"/>
          <w:color w:val="000000" w:themeColor="text1"/>
          <w:sz w:val="24"/>
          <w:lang w:val="en-US" w:eastAsia="zh-CN"/>
          <w14:textFill>
            <w14:solidFill>
              <w14:schemeClr w14:val="tx1"/>
            </w14:solidFill>
          </w14:textFill>
        </w:rPr>
        <w:t>全部</w:t>
      </w:r>
      <w:r>
        <w:rPr>
          <w:rFonts w:hint="eastAsia" w:ascii="Times New Roman" w:hAnsi="Times New Roman" w:eastAsia="仿宋_GB2312" w:cs="Times New Roman"/>
          <w:color w:val="000000" w:themeColor="text1"/>
          <w:sz w:val="24"/>
          <w:lang w:eastAsia="zh-CN"/>
          <w14:textFill>
            <w14:solidFill>
              <w14:schemeClr w14:val="tx1"/>
            </w14:solidFill>
          </w14:textFill>
        </w:rPr>
        <w:t>为</w:t>
      </w:r>
      <w:r>
        <w:rPr>
          <w:rFonts w:hint="eastAsia" w:eastAsia="仿宋_GB2312" w:cs="Times New Roman"/>
          <w:color w:val="000000" w:themeColor="text1"/>
          <w:sz w:val="24"/>
          <w:lang w:val="en-US" w:eastAsia="zh-CN"/>
          <w14:textFill>
            <w14:solidFill>
              <w14:schemeClr w14:val="tx1"/>
            </w14:solidFill>
          </w14:textFill>
        </w:rPr>
        <w:t>拟</w:t>
      </w:r>
      <w:r>
        <w:rPr>
          <w:rFonts w:hint="eastAsia" w:ascii="Times New Roman" w:hAnsi="Times New Roman" w:eastAsia="仿宋_GB2312" w:cs="Times New Roman"/>
          <w:color w:val="000000" w:themeColor="text1"/>
          <w:sz w:val="24"/>
          <w:lang w:eastAsia="zh-CN"/>
          <w14:textFill>
            <w14:solidFill>
              <w14:schemeClr w14:val="tx1"/>
            </w14:solidFill>
          </w14:textFill>
        </w:rPr>
        <w:t>损毁土地。</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（1）</w:t>
      </w:r>
      <w:r>
        <w:rPr>
          <w:rFonts w:hint="eastAsia" w:eastAsia="仿宋_GB2312" w:cs="Times New Roman"/>
          <w:color w:val="000000" w:themeColor="text1"/>
          <w:sz w:val="24"/>
          <w:lang w:val="en-US" w:eastAsia="zh-CN"/>
          <w14:textFill>
            <w14:solidFill>
              <w14:schemeClr w14:val="tx1"/>
            </w14:solidFill>
          </w14:textFill>
        </w:rPr>
        <w:t>拟</w:t>
      </w:r>
      <w:r>
        <w:rPr>
          <w:rFonts w:hint="eastAsia" w:ascii="Times New Roman" w:hAnsi="Times New Roman" w:eastAsia="仿宋_GB2312" w:cs="Times New Roman"/>
          <w:color w:val="000000" w:themeColor="text1"/>
          <w:sz w:val="24"/>
          <w:lang w:eastAsia="zh-CN"/>
          <w14:textFill>
            <w14:solidFill>
              <w14:schemeClr w14:val="tx1"/>
            </w14:solidFill>
          </w14:textFill>
        </w:rPr>
        <w:t>损毁土地</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建设项目</w:t>
      </w:r>
      <w:r>
        <w:rPr>
          <w:rFonts w:hint="eastAsia" w:ascii="Times New Roman" w:hAnsi="Times New Roman" w:eastAsia="仿宋_GB2312" w:cs="Times New Roman"/>
          <w:color w:val="000000" w:themeColor="text1"/>
          <w:sz w:val="24"/>
          <w:lang w:val="en-US" w:eastAsia="zh-CN"/>
          <w14:textFill>
            <w14:solidFill>
              <w14:schemeClr w14:val="tx1"/>
            </w14:solidFill>
          </w14:textFill>
        </w:rPr>
        <w:t>临时用地</w:t>
      </w:r>
      <w:r>
        <w:rPr>
          <w:rFonts w:hint="eastAsia" w:ascii="Times New Roman" w:hAnsi="Times New Roman" w:eastAsia="仿宋_GB2312" w:cs="Times New Roman"/>
          <w:color w:val="000000" w:themeColor="text1"/>
          <w:sz w:val="24"/>
          <w:lang w:eastAsia="zh-CN"/>
          <w14:textFill>
            <w14:solidFill>
              <w14:schemeClr w14:val="tx1"/>
            </w14:solidFill>
          </w14:textFill>
        </w:rPr>
        <w:t>现状布局为</w:t>
      </w:r>
      <w:r>
        <w:rPr>
          <w:rFonts w:hint="eastAsia" w:eastAsia="仿宋_GB2312" w:cs="Times New Roman"/>
          <w:color w:val="000000" w:themeColor="text1"/>
          <w:sz w:val="24"/>
          <w:lang w:val="en-US" w:eastAsia="zh-CN"/>
          <w14:textFill>
            <w14:solidFill>
              <w14:schemeClr w14:val="tx1"/>
            </w14:solidFill>
          </w14:textFill>
        </w:rPr>
        <w:t>拟设置</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，土地损毁方式为压占，损毁的土地类型为</w:t>
      </w:r>
      <w:r>
        <w:rPr>
          <w:rFonts w:hint="eastAsia" w:eastAsia="仿宋_GB2312" w:cs="Times New Roman"/>
          <w:color w:val="000000" w:themeColor="text1"/>
          <w:sz w:val="24"/>
          <w:lang w:val="en-US" w:eastAsia="zh-CN"/>
          <w14:textFill>
            <w14:solidFill>
              <w14:schemeClr w14:val="tx1"/>
            </w14:solidFill>
          </w14:textFill>
        </w:rPr>
        <w:t>水浇地、果园、灌木林地、农村宅基地、公路用地、农村道路、河流水面、坑塘水面、沟渠</w:t>
      </w:r>
      <w:r>
        <w:rPr>
          <w:rFonts w:hint="eastAsia" w:ascii="Times New Roman" w:hAnsi="Times New Roman" w:eastAsia="仿宋_GB2312" w:cs="Times New Roman"/>
          <w:color w:val="000000" w:themeColor="text1"/>
          <w:sz w:val="24"/>
          <w:lang w:val="en-US" w:eastAsia="zh-CN"/>
          <w14:textFill>
            <w14:solidFill>
              <w14:schemeClr w14:val="tx1"/>
            </w14:solidFill>
          </w14:textFill>
        </w:rPr>
        <w:t>，损毁的土地面积共计</w:t>
      </w:r>
      <w:r>
        <w:rPr>
          <w:rFonts w:hint="eastAsia" w:eastAsia="仿宋_GB2312" w:cs="Times New Roman"/>
          <w:color w:val="000000" w:themeColor="text1"/>
          <w:sz w:val="24"/>
          <w:lang w:val="en-US" w:eastAsia="zh-CN"/>
          <w14:textFill>
            <w14:solidFill>
              <w14:schemeClr w14:val="tx1"/>
            </w14:solidFill>
          </w14:textFill>
        </w:rPr>
        <w:t>8.0492</w:t>
      </w:r>
      <w:r>
        <w:rPr>
          <w:rFonts w:hint="eastAsia" w:ascii="Times New Roman" w:hAnsi="Times New Roman" w:eastAsia="仿宋_GB2312" w:cs="Times New Roman"/>
          <w:color w:val="000000" w:themeColor="text1"/>
          <w:sz w:val="24"/>
          <w:lang w:val="en-US" w:eastAsia="zh-CN"/>
          <w14:textFill>
            <w14:solidFill>
              <w14:schemeClr w14:val="tx1"/>
            </w14:solidFill>
          </w14:textFill>
        </w:rPr>
        <w:t>公顷，损毁时序为</w:t>
      </w:r>
      <w:r>
        <w:rPr>
          <w:rFonts w:hint="eastAsia" w:eastAsia="仿宋_GB2312" w:cs="Times New Roman"/>
          <w:color w:val="000000" w:themeColor="text1"/>
          <w:sz w:val="24"/>
          <w:lang w:val="en-US" w:eastAsia="zh-CN"/>
          <w14:textFill>
            <w14:solidFill>
              <w14:schemeClr w14:val="tx1"/>
            </w14:solidFill>
          </w14:textFill>
        </w:rPr>
        <w:t>拟</w:t>
      </w:r>
      <w:r>
        <w:rPr>
          <w:rFonts w:hint="eastAsia" w:ascii="Times New Roman" w:hAnsi="Times New Roman" w:eastAsia="仿宋_GB2312" w:cs="Times New Roman"/>
          <w:color w:val="000000" w:themeColor="text1"/>
          <w:sz w:val="24"/>
          <w:lang w:val="en-US" w:eastAsia="zh-CN"/>
          <w14:textFill>
            <w14:solidFill>
              <w14:schemeClr w14:val="tx1"/>
            </w14:solidFill>
          </w14:textFill>
        </w:rPr>
        <w:t>损毁，</w:t>
      </w:r>
      <w:r>
        <w:rPr>
          <w:rFonts w:hint="eastAsia" w:eastAsia="仿宋_GB2312" w:cs="Times New Roman"/>
          <w:color w:val="000000" w:themeColor="text1"/>
          <w:sz w:val="24"/>
          <w:lang w:val="en-US" w:eastAsia="zh-CN"/>
          <w14:textFill>
            <w14:solidFill>
              <w14:schemeClr w14:val="tx1"/>
            </w14:solidFill>
          </w14:textFill>
        </w:rPr>
        <w:t>施工时间为2024年4月-2026年3月</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color w:val="000000" w:themeColor="text1"/>
          <w:sz w:val="24"/>
          <w:lang w:eastAsia="zh-CN"/>
          <w14:textFill>
            <w14:solidFill>
              <w14:schemeClr w14:val="tx1"/>
            </w14:solidFill>
          </w14:textFill>
        </w:rPr>
        <w:t>土地损毁形式</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根据工程生产建设活动内容，建设项目土地损毁形式包括压占</w:t>
      </w:r>
      <w:r>
        <w:rPr>
          <w:rFonts w:hint="eastAsia" w:ascii="Times New Roman" w:hAnsi="Times New Roman" w:eastAsia="仿宋_GB2312" w:cs="Times New Roman"/>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color w:val="000000" w:themeColor="text1"/>
          <w:sz w:val="24"/>
          <w:lang w:eastAsia="zh-CN"/>
          <w14:textFill>
            <w14:solidFill>
              <w14:schemeClr w14:val="tx1"/>
            </w14:solidFill>
          </w14:textFill>
        </w:rPr>
        <w:t>种形式。</w:t>
      </w:r>
      <w:r>
        <w:rPr>
          <w:rFonts w:hint="eastAsia" w:ascii="Times New Roman" w:hAnsi="Times New Roman" w:eastAsia="仿宋_GB2312" w:cs="Times New Roman"/>
          <w:color w:val="000000" w:themeColor="text1"/>
          <w:sz w:val="24"/>
          <w:lang w:val="en-US" w:eastAsia="zh-CN"/>
          <w14:textFill>
            <w14:solidFill>
              <w14:schemeClr w14:val="tx1"/>
            </w14:solidFill>
          </w14:textFill>
        </w:rPr>
        <w:t>即</w:t>
      </w:r>
      <w:r>
        <w:rPr>
          <w:rFonts w:hint="eastAsia" w:ascii="Times New Roman" w:hAnsi="Times New Roman" w:eastAsia="仿宋_GB2312" w:cs="Times New Roman"/>
          <w:color w:val="000000" w:themeColor="text1"/>
          <w:sz w:val="24"/>
          <w:lang w:eastAsia="zh-CN"/>
          <w14:textFill>
            <w14:solidFill>
              <w14:schemeClr w14:val="tx1"/>
            </w14:solidFill>
          </w14:textFill>
        </w:rPr>
        <w:t>在项目施工过程中：</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水浇地、果园、灌木林地</w:t>
      </w:r>
      <w:r>
        <w:rPr>
          <w:rFonts w:hint="eastAsia" w:ascii="Times New Roman" w:hAnsi="Times New Roman" w:eastAsia="仿宋_GB2312" w:cs="Times New Roman"/>
          <w:color w:val="000000" w:themeColor="text1"/>
          <w:sz w:val="24"/>
          <w:lang w:eastAsia="zh-CN"/>
          <w14:textFill>
            <w14:solidFill>
              <w14:schemeClr w14:val="tx1"/>
            </w14:solidFill>
          </w14:textFill>
        </w:rPr>
        <w:t>）投入使用前将剥离表层松散土壤以平整场地，投入使用过程中，</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临时设施的建设、材料堆放及机械碾压对该区临时占地造成压占损毁；</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农村宅基地</w:t>
      </w:r>
      <w:r>
        <w:rPr>
          <w:rFonts w:hint="eastAsia" w:ascii="Times New Roman" w:hAnsi="Times New Roman" w:eastAsia="仿宋_GB2312" w:cs="Times New Roman"/>
          <w:color w:val="000000" w:themeColor="text1"/>
          <w:sz w:val="24"/>
          <w:lang w:eastAsia="zh-CN"/>
          <w14:textFill>
            <w14:solidFill>
              <w14:schemeClr w14:val="tx1"/>
            </w14:solidFill>
          </w14:textFill>
        </w:rPr>
        <w:t>）投入使用前将平整场地，投入使用过程中，</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临时设施的建设、材料堆放及机械碾压对该区临时占地造成压占损毁；</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公路用地、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农村道路</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区域现状经硬化处理，本次直接投入使用，项目作为</w:t>
      </w:r>
      <w:r>
        <w:rPr>
          <w:rFonts w:hint="eastAsia" w:eastAsia="仿宋_GB2312" w:cs="Times New Roman"/>
          <w:color w:val="000000" w:themeColor="text1"/>
          <w:sz w:val="24"/>
          <w:lang w:val="en-US"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使用，车辆通行预估不会造成路面损毁，做好预防控制措施即可</w:t>
      </w:r>
      <w:r>
        <w:rPr>
          <w:rFonts w:hint="eastAsia"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河流水面、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坑塘水面、沟渠）</w:t>
      </w:r>
      <w:r>
        <w:rPr>
          <w:rFonts w:hint="eastAsia" w:eastAsia="仿宋_GB2312" w:cs="Times New Roman"/>
          <w:color w:val="000000" w:themeColor="text1"/>
          <w:sz w:val="24"/>
          <w:lang w:val="en-US" w:eastAsia="zh-CN"/>
          <w14:textFill>
            <w14:solidFill>
              <w14:schemeClr w14:val="tx1"/>
            </w14:solidFill>
          </w14:textFill>
        </w:rPr>
        <w:t>进行</w:t>
      </w:r>
      <w:r>
        <w:rPr>
          <w:rFonts w:hint="eastAsia" w:ascii="Times New Roman" w:hAnsi="Times New Roman" w:eastAsia="仿宋_GB2312" w:cs="Times New Roman"/>
          <w:color w:val="000000" w:themeColor="text1"/>
          <w:sz w:val="24"/>
          <w:lang w:val="en-US" w:eastAsia="zh-CN"/>
          <w14:textFill>
            <w14:solidFill>
              <w14:schemeClr w14:val="tx1"/>
            </w14:solidFill>
          </w14:textFill>
        </w:rPr>
        <w:t>场地平整</w:t>
      </w:r>
      <w:r>
        <w:rPr>
          <w:rFonts w:hint="eastAsia" w:eastAsia="仿宋_GB2312" w:cs="Times New Roman"/>
          <w:color w:val="000000" w:themeColor="text1"/>
          <w:sz w:val="24"/>
          <w:lang w:val="en-US" w:eastAsia="zh-CN"/>
          <w14:textFill>
            <w14:solidFill>
              <w14:schemeClr w14:val="tx1"/>
            </w14:solidFill>
          </w14:textFill>
        </w:rPr>
        <w:t>后可直接投入使用，</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eastAsia" w:ascii="Times New Roman" w:hAnsi="Times New Roman" w:eastAsia="仿宋_GB2312" w:cs="Times New Roman"/>
          <w:color w:val="000000" w:themeColor="text1"/>
          <w:sz w:val="24"/>
          <w:lang w:eastAsia="zh-CN"/>
          <w14:textFill>
            <w14:solidFill>
              <w14:schemeClr w14:val="tx1"/>
            </w14:solidFill>
          </w14:textFill>
        </w:rPr>
        <w:t>临时设施的建设、材料堆放及机械碾压对该区临时占地造成压占损毁</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综上所述，</w:t>
      </w:r>
      <w:r>
        <w:rPr>
          <w:rFonts w:hint="default" w:ascii="Times New Roman" w:hAnsi="Times New Roman" w:eastAsia="仿宋_GB2312" w:cs="Times New Roman"/>
          <w:color w:val="000000" w:themeColor="text1"/>
          <w:sz w:val="24"/>
          <w:lang w:eastAsia="zh-CN"/>
          <w14:textFill>
            <w14:solidFill>
              <w14:schemeClr w14:val="tx1"/>
            </w14:solidFill>
          </w14:textFill>
        </w:rPr>
        <w:t>土地破坏形式主要表现为</w:t>
      </w:r>
      <w:r>
        <w:rPr>
          <w:rFonts w:hint="eastAsia" w:ascii="Times New Roman" w:hAnsi="Times New Roman" w:eastAsia="仿宋_GB2312" w:cs="Times New Roman"/>
          <w:color w:val="000000" w:themeColor="text1"/>
          <w:sz w:val="24"/>
          <w:lang w:eastAsia="zh-CN"/>
          <w14:textFill>
            <w14:solidFill>
              <w14:schemeClr w14:val="tx1"/>
            </w14:solidFill>
          </w14:textFill>
        </w:rPr>
        <w:t>压占</w:t>
      </w:r>
      <w:r>
        <w:rPr>
          <w:rFonts w:hint="default" w:ascii="Times New Roman" w:hAnsi="Times New Roman" w:eastAsia="仿宋_GB2312" w:cs="Times New Roman"/>
          <w:color w:val="000000" w:themeColor="text1"/>
          <w:sz w:val="24"/>
          <w:lang w:eastAsia="zh-CN"/>
          <w14:textFill>
            <w14:solidFill>
              <w14:schemeClr w14:val="tx1"/>
            </w14:solidFill>
          </w14:textFill>
        </w:rPr>
        <w:t>，改变土壤的紧密结构，在复垦时主要解决土壤板结、场地的</w:t>
      </w:r>
      <w:r>
        <w:rPr>
          <w:rFonts w:hint="eastAsia" w:eastAsia="仿宋_GB2312" w:cs="Times New Roman"/>
          <w:color w:val="000000" w:themeColor="text1"/>
          <w:sz w:val="24"/>
          <w:lang w:val="en-US" w:eastAsia="zh-CN"/>
          <w14:textFill>
            <w14:solidFill>
              <w14:schemeClr w14:val="tx1"/>
            </w14:solidFill>
          </w14:textFill>
        </w:rPr>
        <w:t>平整</w:t>
      </w:r>
      <w:r>
        <w:rPr>
          <w:rFonts w:hint="default" w:ascii="Times New Roman" w:hAnsi="Times New Roman" w:eastAsia="仿宋_GB2312" w:cs="Times New Roman"/>
          <w:color w:val="000000" w:themeColor="text1"/>
          <w:sz w:val="24"/>
          <w:lang w:eastAsia="zh-CN"/>
          <w14:textFill>
            <w14:solidFill>
              <w14:schemeClr w14:val="tx1"/>
            </w14:solidFill>
          </w14:textFill>
        </w:rPr>
        <w:t>和废弃物清理问题，其次就是复原表土，</w:t>
      </w:r>
      <w:r>
        <w:rPr>
          <w:rFonts w:hint="eastAsia" w:ascii="Times New Roman" w:hAnsi="Times New Roman" w:eastAsia="仿宋_GB2312" w:cs="Times New Roman"/>
          <w:color w:val="000000" w:themeColor="text1"/>
          <w:sz w:val="24"/>
          <w:lang w:eastAsia="zh-CN"/>
          <w14:textFill>
            <w14:solidFill>
              <w14:schemeClr w14:val="tx1"/>
            </w14:solidFill>
          </w14:textFill>
        </w:rPr>
        <w:t>恢复原</w:t>
      </w:r>
      <w:r>
        <w:rPr>
          <w:rFonts w:hint="eastAsia" w:eastAsia="仿宋_GB2312" w:cs="Times New Roman"/>
          <w:color w:val="000000" w:themeColor="text1"/>
          <w:sz w:val="24"/>
          <w:lang w:val="en-US" w:eastAsia="zh-CN"/>
          <w14:textFill>
            <w14:solidFill>
              <w14:schemeClr w14:val="tx1"/>
            </w14:solidFill>
          </w14:textFill>
        </w:rPr>
        <w:t>林地</w:t>
      </w:r>
      <w:r>
        <w:rPr>
          <w:rFonts w:hint="default" w:ascii="Times New Roman" w:hAnsi="Times New Roman" w:eastAsia="仿宋_GB2312" w:cs="Times New Roman"/>
          <w:color w:val="000000" w:themeColor="text1"/>
          <w:sz w:val="24"/>
          <w:lang w:eastAsia="zh-CN"/>
          <w14:textFill>
            <w14:solidFill>
              <w14:schemeClr w14:val="tx1"/>
            </w14:solidFill>
          </w14:textFill>
        </w:rPr>
        <w:t>生长土层。</w:t>
      </w:r>
    </w:p>
    <w:p>
      <w:pP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auto"/>
        <w:ind w:right="0" w:rightChars="0" w:firstLine="420" w:firstLineChars="200"/>
        <w:jc w:val="center"/>
        <w:textAlignment w:val="auto"/>
        <w:rPr>
          <w:rFonts w:hint="eastAsia" w:eastAsia="黑体"/>
          <w:color w:val="000000" w:themeColor="text1"/>
          <w:szCs w:val="21"/>
          <w:lang w:eastAsia="zh-CN"/>
          <w14:textFill>
            <w14:solidFill>
              <w14:schemeClr w14:val="tx1"/>
            </w14:solidFill>
          </w14:textFill>
        </w:rPr>
      </w:pPr>
      <w:r>
        <w:rPr>
          <w:rFonts w:eastAsia="黑体"/>
          <w:color w:val="000000" w:themeColor="text1"/>
          <w:szCs w:val="21"/>
          <w14:textFill>
            <w14:solidFill>
              <w14:schemeClr w14:val="tx1"/>
            </w14:solidFill>
          </w14:textFill>
        </w:rPr>
        <w:t>表4</w:t>
      </w:r>
      <w:r>
        <w:rPr>
          <w:rFonts w:hint="eastAsia" w:eastAsia="黑体"/>
          <w:color w:val="000000" w:themeColor="text1"/>
          <w:szCs w:val="21"/>
          <w14:textFill>
            <w14:solidFill>
              <w14:schemeClr w14:val="tx1"/>
            </w14:solidFill>
          </w14:textFill>
        </w:rPr>
        <w:t>-</w:t>
      </w:r>
      <w:r>
        <w:rPr>
          <w:rFonts w:hint="eastAsia" w:eastAsia="黑体"/>
          <w:color w:val="000000" w:themeColor="text1"/>
          <w:szCs w:val="21"/>
          <w:lang w:val="en-US" w:eastAsia="zh-CN"/>
          <w14:textFill>
            <w14:solidFill>
              <w14:schemeClr w14:val="tx1"/>
            </w14:solidFill>
          </w14:textFill>
        </w:rPr>
        <w:t xml:space="preserve">1 </w:t>
      </w:r>
      <w:r>
        <w:rPr>
          <w:rFonts w:hint="eastAsia" w:eastAsia="黑体"/>
          <w:color w:val="000000" w:themeColor="text1"/>
          <w:szCs w:val="21"/>
          <w:lang w:eastAsia="zh-CN"/>
          <w14:textFill>
            <w14:solidFill>
              <w14:schemeClr w14:val="tx1"/>
            </w14:solidFill>
          </w14:textFill>
        </w:rPr>
        <w:t>项目临时用地损毁环节与时序表</w:t>
      </w:r>
    </w:p>
    <w:tbl>
      <w:tblPr>
        <w:tblStyle w:val="20"/>
        <w:tblW w:w="852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0"/>
        <w:gridCol w:w="1959"/>
        <w:gridCol w:w="1475"/>
        <w:gridCol w:w="1400"/>
        <w:gridCol w:w="2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临时建设用地用途</w:t>
            </w:r>
          </w:p>
        </w:tc>
        <w:tc>
          <w:tcPr>
            <w:tcW w:w="34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地类</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面积</w:t>
            </w:r>
            <w:r>
              <w:rPr>
                <w:rFonts w:hint="eastAsia" w:eastAsia="仿宋_GB2312" w:cs="Times New Roman"/>
                <w:color w:val="000000" w:themeColor="text1"/>
                <w:szCs w:val="21"/>
                <w:lang w:val="en-US" w:eastAsia="zh-CN"/>
                <w14:textFill>
                  <w14:solidFill>
                    <w14:schemeClr w14:val="tx1"/>
                  </w14:solidFill>
                </w14:textFill>
              </w:rPr>
              <w:t>（单位：公顷）</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损毁时间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材料堆场</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0.0498</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种植园用地（02）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0.0139</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0.0567</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0.0373</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0.2432</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0.1837</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3.3382</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制梁厂</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0.0684</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0.0315</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0.0868</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1.0988</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1.2581</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12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施工驻地</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0.0572</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0.0147</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0.1353</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0.0135</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0.0184</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0.2429</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8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0.3218</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2024年4月</w:t>
            </w:r>
            <w:r>
              <w:rPr>
                <w:rFonts w:hint="default" w:ascii="Times New Roman" w:hAnsi="Times New Roman" w:eastAsia="仿宋_GB2312" w:cs="Times New Roman"/>
                <w:color w:val="000000" w:themeColor="text1"/>
                <w:szCs w:val="21"/>
                <w:lang w:val="en-US"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2026年3月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47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合计</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8.0492</w:t>
            </w:r>
          </w:p>
        </w:tc>
        <w:tc>
          <w:tcPr>
            <w:tcW w:w="2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r>
    </w:tbl>
    <w:p>
      <w:pPr>
        <w:pageBreakBefore w:val="0"/>
        <w:kinsoku/>
        <w:wordWrap/>
        <w:overflowPunct/>
        <w:topLinePunct w:val="0"/>
        <w:autoSpaceDE/>
        <w:autoSpaceDN/>
        <w:bidi w:val="0"/>
        <w:adjustRightInd w:val="0"/>
        <w:snapToGrid w:val="0"/>
        <w:spacing w:line="360" w:lineRule="auto"/>
        <w:ind w:right="0" w:rightChars="0" w:firstLine="420" w:firstLineChars="200"/>
        <w:jc w:val="center"/>
        <w:textAlignment w:val="auto"/>
        <w:rPr>
          <w:rFonts w:hint="eastAsia" w:eastAsia="黑体"/>
          <w:color w:val="000000" w:themeColor="text1"/>
          <w:szCs w:val="21"/>
          <w:lang w:eastAsia="zh-CN"/>
          <w14:textFill>
            <w14:solidFill>
              <w14:schemeClr w14:val="tx1"/>
            </w14:solidFill>
          </w14:textFill>
        </w:rPr>
      </w:pPr>
    </w:p>
    <w:p>
      <w:pPr>
        <w:pStyle w:val="6"/>
        <w:pageBreakBefore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color w:val="000000" w:themeColor="text1"/>
          <w14:textFill>
            <w14:solidFill>
              <w14:schemeClr w14:val="tx1"/>
            </w14:solidFill>
          </w14:textFill>
        </w:rPr>
      </w:pPr>
      <w:r>
        <w:rPr>
          <w:color w:val="000000" w:themeColor="text1"/>
          <w:sz w:val="28"/>
          <w14:textFill>
            <w14:solidFill>
              <w14:schemeClr w14:val="tx1"/>
            </w14:solidFill>
          </w14:textFill>
        </w:rPr>
        <w:t xml:space="preserve">4.1.2 </w:t>
      </w:r>
      <w:r>
        <w:rPr>
          <w:rFonts w:hint="eastAsia" w:ascii="黑体" w:hAnsi="黑体" w:eastAsia="黑体" w:cs="黑体"/>
          <w:color w:val="000000" w:themeColor="text1"/>
          <w:sz w:val="28"/>
          <w14:textFill>
            <w14:solidFill>
              <w14:schemeClr w14:val="tx1"/>
            </w14:solidFill>
          </w14:textFill>
        </w:rPr>
        <w:t>已损毁土地现状</w:t>
      </w:r>
    </w:p>
    <w:p>
      <w:pPr>
        <w:pageBreakBefore w:val="0"/>
        <w:kinsoku/>
        <w:wordWrap/>
        <w:overflowPunct/>
        <w:topLinePunct w:val="0"/>
        <w:autoSpaceDE/>
        <w:autoSpaceDN/>
        <w:bidi w:val="0"/>
        <w:adjustRightInd w:val="0"/>
        <w:snapToGrid w:val="0"/>
        <w:spacing w:line="360" w:lineRule="auto"/>
        <w:ind w:left="420" w:leftChars="200" w:right="0" w:rightChars="0"/>
        <w:textAlignment w:val="auto"/>
        <w:rPr>
          <w:rFonts w:hint="eastAsia" w:ascii="仿宋_GB2312" w:hAnsi="仿宋_GB2312" w:eastAsia="仿宋_GB2312" w:cs="仿宋_GB2312"/>
          <w:bCs/>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a</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永久建设用地已损毁现状</w:t>
      </w:r>
    </w:p>
    <w:p>
      <w:pPr>
        <w:pageBreakBefore w:val="0"/>
        <w:widowControl/>
        <w:kinsoku/>
        <w:wordWrap/>
        <w:overflowPunct/>
        <w:topLinePunct w:val="0"/>
        <w:autoSpaceDE/>
        <w:autoSpaceDN/>
        <w:bidi w:val="0"/>
        <w:adjustRightInd w:val="0"/>
        <w:snapToGrid w:val="0"/>
        <w:spacing w:line="360" w:lineRule="auto"/>
        <w:ind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新疆克孜河大桥渠首除险加固工程永久性建设用地主要为其项目工程</w:t>
      </w:r>
      <w:r>
        <w:rPr>
          <w:rFonts w:hint="eastAsia" w:eastAsia="仿宋_GB2312"/>
          <w:color w:val="000000" w:themeColor="text1"/>
          <w:sz w:val="24"/>
          <w:lang w:val="en-US" w:eastAsia="zh-CN"/>
          <w14:textFill>
            <w14:solidFill>
              <w14:schemeClr w14:val="tx1"/>
            </w14:solidFill>
          </w14:textFill>
        </w:rPr>
        <w:t>占地</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目前</w:t>
      </w:r>
      <w:r>
        <w:rPr>
          <w:rFonts w:hint="eastAsia" w:eastAsia="仿宋_GB2312"/>
          <w:color w:val="000000" w:themeColor="text1"/>
          <w:sz w:val="24"/>
          <w:lang w:val="en-US" w:eastAsia="zh-CN"/>
          <w14:textFill>
            <w14:solidFill>
              <w14:schemeClr w14:val="tx1"/>
            </w14:solidFill>
          </w14:textFill>
        </w:rPr>
        <w:t>项目未</w:t>
      </w:r>
      <w:r>
        <w:rPr>
          <w:rFonts w:hint="eastAsia" w:eastAsia="仿宋_GB2312"/>
          <w:color w:val="000000" w:themeColor="text1"/>
          <w:sz w:val="24"/>
          <w:lang w:eastAsia="zh-CN"/>
          <w14:textFill>
            <w14:solidFill>
              <w14:schemeClr w14:val="tx1"/>
            </w14:solidFill>
          </w14:textFill>
        </w:rPr>
        <w:t>开始施工，</w:t>
      </w:r>
      <w:r>
        <w:rPr>
          <w:rFonts w:hint="eastAsia" w:eastAsia="仿宋_GB2312"/>
          <w:color w:val="000000" w:themeColor="text1"/>
          <w:sz w:val="24"/>
          <w:lang w:val="en-US" w:eastAsia="zh-CN"/>
          <w14:textFill>
            <w14:solidFill>
              <w14:schemeClr w14:val="tx1"/>
            </w14:solidFill>
          </w14:textFill>
        </w:rPr>
        <w:t>无已损毁土地</w:t>
      </w:r>
      <w:r>
        <w:rPr>
          <w:rFonts w:hint="eastAsia" w:eastAsia="仿宋_GB2312"/>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eastAsia" w:ascii="仿宋_GB2312" w:hAnsi="仿宋_GB2312" w:eastAsia="仿宋_GB2312" w:cs="仿宋_GB2312"/>
          <w:bCs/>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b</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临时建设用地已损毁现状</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临时用地无已损毁土地，均为拟损毁土地</w:t>
      </w:r>
      <w:r>
        <w:rPr>
          <w:rFonts w:hint="default" w:ascii="Times New Roman" w:hAnsi="Times New Roman" w:eastAsia="仿宋_GB2312" w:cs="Times New Roman"/>
          <w:color w:val="000000" w:themeColor="text1"/>
          <w:sz w:val="24"/>
          <w:lang w:eastAsia="zh-CN"/>
          <w14:textFill>
            <w14:solidFill>
              <w14:schemeClr w14:val="tx1"/>
            </w14:solidFill>
          </w14:textFill>
        </w:rPr>
        <w:t>。</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4.1.3 </w:t>
      </w:r>
      <w:r>
        <w:rPr>
          <w:rFonts w:hint="eastAsia" w:ascii="黑体" w:hAnsi="黑体" w:eastAsia="黑体" w:cs="黑体"/>
          <w:color w:val="000000" w:themeColor="text1"/>
          <w:sz w:val="28"/>
          <w14:textFill>
            <w14:solidFill>
              <w14:schemeClr w14:val="tx1"/>
            </w14:solidFill>
          </w14:textFill>
        </w:rPr>
        <w:t>拟损毁土地预测</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eastAsia" w:eastAsia="仿宋_GB2312" w:cs="Times New Roman"/>
          <w:bCs/>
          <w:color w:val="000000" w:themeColor="text1"/>
          <w:sz w:val="24"/>
          <w:lang w:eastAsia="zh-CN"/>
          <w14:textFill>
            <w14:solidFill>
              <w14:schemeClr w14:val="tx1"/>
            </w14:solidFill>
          </w14:textFill>
        </w:rPr>
        <w:t>临时性用地</w:t>
      </w:r>
      <w:r>
        <w:rPr>
          <w:rFonts w:hint="default" w:ascii="Times New Roman" w:hAnsi="Times New Roman" w:eastAsia="仿宋_GB2312" w:cs="Times New Roman"/>
          <w:bCs/>
          <w:color w:val="000000" w:themeColor="text1"/>
          <w:sz w:val="24"/>
          <w:lang w:eastAsia="zh-CN"/>
          <w14:textFill>
            <w14:solidFill>
              <w14:schemeClr w14:val="tx1"/>
            </w14:solidFill>
          </w14:textFill>
        </w:rPr>
        <w:t>包括</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该</w:t>
      </w:r>
      <w:r>
        <w:rPr>
          <w:rFonts w:hint="eastAsia" w:eastAsia="仿宋_GB2312" w:cs="Times New Roman"/>
          <w:color w:val="000000" w:themeColor="text1"/>
          <w:sz w:val="24"/>
          <w:lang w:val="en-US" w:eastAsia="zh-CN"/>
          <w14:textFill>
            <w14:solidFill>
              <w14:schemeClr w14:val="tx1"/>
            </w14:solidFill>
          </w14:textFill>
        </w:rPr>
        <w:t>临时用地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拟用两年，上述临时用地均为</w:t>
      </w:r>
      <w:r>
        <w:rPr>
          <w:rFonts w:hint="eastAsia" w:eastAsia="仿宋_GB2312" w:cs="Times New Roman"/>
          <w:color w:val="000000" w:themeColor="text1"/>
          <w:sz w:val="24"/>
          <w:lang w:val="en-US" w:eastAsia="zh-CN"/>
          <w14:textFill>
            <w14:solidFill>
              <w14:schemeClr w14:val="tx1"/>
            </w14:solidFill>
          </w14:textFill>
        </w:rPr>
        <w:t>拟</w:t>
      </w:r>
      <w:r>
        <w:rPr>
          <w:rFonts w:hint="eastAsia" w:ascii="Times New Roman" w:hAnsi="Times New Roman" w:eastAsia="仿宋_GB2312" w:cs="Times New Roman"/>
          <w:color w:val="000000" w:themeColor="text1"/>
          <w:sz w:val="24"/>
          <w:lang w:val="en-US" w:eastAsia="zh-CN"/>
          <w14:textFill>
            <w14:solidFill>
              <w14:schemeClr w14:val="tx1"/>
            </w14:solidFill>
          </w14:textFill>
        </w:rPr>
        <w:t>损毁土地，该部分临时用地现还在使用过程中，目前暂未开展土地复垦工作，预期将于</w:t>
      </w:r>
      <w:r>
        <w:rPr>
          <w:rFonts w:hint="eastAsia" w:eastAsia="仿宋_GB2312" w:cs="Times New Roman"/>
          <w:color w:val="000000" w:themeColor="text1"/>
          <w:sz w:val="24"/>
          <w:lang w:val="en-US" w:eastAsia="zh-CN"/>
          <w14:textFill>
            <w14:solidFill>
              <w14:schemeClr w14:val="tx1"/>
            </w14:solidFill>
          </w14:textFill>
        </w:rPr>
        <w:t>2026年3月</w:t>
      </w:r>
      <w:r>
        <w:rPr>
          <w:rFonts w:hint="eastAsia" w:ascii="Times New Roman" w:hAnsi="Times New Roman" w:eastAsia="仿宋_GB2312" w:cs="Times New Roman"/>
          <w:color w:val="000000" w:themeColor="text1"/>
          <w:sz w:val="24"/>
          <w:lang w:val="en-US" w:eastAsia="zh-CN"/>
          <w14:textFill>
            <w14:solidFill>
              <w14:schemeClr w14:val="tx1"/>
            </w14:solidFill>
          </w14:textFill>
        </w:rPr>
        <w:t>开始开展复垦工作</w:t>
      </w:r>
      <w:r>
        <w:rPr>
          <w:rFonts w:hint="default" w:ascii="Times New Roman" w:hAnsi="Times New Roman" w:eastAsia="仿宋_GB2312" w:cs="Times New Roman"/>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kern w:val="0"/>
          <w:sz w:val="24"/>
          <w:lang w:eastAsia="zh-CN"/>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在</w:t>
      </w:r>
      <w:r>
        <w:rPr>
          <w:rFonts w:hint="default" w:ascii="Times New Roman" w:hAnsi="Times New Roman" w:eastAsia="仿宋_GB2312" w:cs="Times New Roman"/>
          <w:color w:val="000000" w:themeColor="text1"/>
          <w:sz w:val="24"/>
          <w:lang w:eastAsia="zh-CN"/>
          <w14:textFill>
            <w14:solidFill>
              <w14:schemeClr w14:val="tx1"/>
            </w14:solidFill>
          </w14:textFill>
        </w:rPr>
        <w:t>该项目</w:t>
      </w:r>
      <w:r>
        <w:rPr>
          <w:rFonts w:hint="eastAsia" w:eastAsia="仿宋_GB2312" w:cs="Times New Roman"/>
          <w:color w:val="000000" w:themeColor="text1"/>
          <w:sz w:val="24"/>
          <w:lang w:val="en-US" w:eastAsia="zh-CN"/>
          <w14:textFill>
            <w14:solidFill>
              <w14:schemeClr w14:val="tx1"/>
            </w14:solidFill>
          </w14:textFill>
        </w:rPr>
        <w:t>前期建设</w:t>
      </w:r>
      <w:r>
        <w:rPr>
          <w:rFonts w:hint="default" w:ascii="Times New Roman" w:hAnsi="Times New Roman" w:eastAsia="仿宋_GB2312" w:cs="Times New Roman"/>
          <w:color w:val="000000" w:themeColor="text1"/>
          <w:sz w:val="24"/>
          <w:lang w:eastAsia="zh-CN"/>
          <w14:textFill>
            <w14:solidFill>
              <w14:schemeClr w14:val="tx1"/>
            </w14:solidFill>
          </w14:textFill>
        </w:rPr>
        <w:t>过程中</w:t>
      </w:r>
      <w:r>
        <w:rPr>
          <w:rFonts w:hint="default" w:ascii="Times New Roman" w:hAnsi="Times New Roman" w:eastAsia="仿宋_GB2312" w:cs="Times New Roman"/>
          <w:color w:val="000000" w:themeColor="text1"/>
          <w:sz w:val="24"/>
          <w14:textFill>
            <w14:solidFill>
              <w14:schemeClr w14:val="tx1"/>
            </w14:solidFill>
          </w14:textFill>
        </w:rPr>
        <w:t>，对临时建设用地的损毁主要分布在</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lang w:eastAsia="zh-CN"/>
          <w14:textFill>
            <w14:solidFill>
              <w14:schemeClr w14:val="tx1"/>
            </w14:solidFill>
          </w14:textFill>
        </w:rPr>
        <w:t>。根据查看项目区土地利用现状图及实地调查可知，各临时占地损毁土地地类及面积</w:t>
      </w:r>
      <w:r>
        <w:rPr>
          <w:rFonts w:hint="default" w:ascii="Times New Roman" w:hAnsi="Times New Roman" w:eastAsia="仿宋_GB2312" w:cs="Times New Roman"/>
          <w:bCs/>
          <w:color w:val="000000" w:themeColor="text1"/>
          <w:sz w:val="24"/>
          <w:lang w:eastAsia="zh-CN"/>
          <w14:textFill>
            <w14:solidFill>
              <w14:schemeClr w14:val="tx1"/>
            </w14:solidFill>
          </w14:textFill>
        </w:rPr>
        <w:t>如下表</w:t>
      </w:r>
      <w:r>
        <w:rPr>
          <w:rFonts w:hint="default" w:ascii="Times New Roman" w:hAnsi="Times New Roman" w:eastAsia="仿宋_GB2312" w:cs="Times New Roman"/>
          <w:bCs/>
          <w:color w:val="000000" w:themeColor="text1"/>
          <w:sz w:val="24"/>
          <w:lang w:val="en-US" w:eastAsia="zh-CN"/>
          <w14:textFill>
            <w14:solidFill>
              <w14:schemeClr w14:val="tx1"/>
            </w14:solidFill>
          </w14:textFill>
        </w:rPr>
        <w:t>4-2</w:t>
      </w:r>
      <w:r>
        <w:rPr>
          <w:rFonts w:hint="default" w:ascii="Times New Roman" w:hAnsi="Times New Roman" w:eastAsia="仿宋_GB2312" w:cs="Times New Roman"/>
          <w:color w:val="000000" w:themeColor="text1"/>
          <w:kern w:val="0"/>
          <w:sz w:val="24"/>
          <w:lang w:eastAsia="zh-CN"/>
          <w14:textFill>
            <w14:solidFill>
              <w14:schemeClr w14:val="tx1"/>
            </w14:solidFill>
          </w14:textFill>
        </w:rPr>
        <w:t>。</w:t>
      </w:r>
    </w:p>
    <w:p>
      <w:pPr>
        <w:pageBreakBefore w:val="0"/>
        <w:kinsoku/>
        <w:wordWrap/>
        <w:topLinePunct w:val="0"/>
        <w:bidi w:val="0"/>
        <w:adjustRightInd w:val="0"/>
        <w:snapToGrid w:val="0"/>
        <w:spacing w:line="360" w:lineRule="auto"/>
        <w:jc w:val="right"/>
        <w:rPr>
          <w:rFonts w:hint="default" w:ascii="Times New Roman" w:hAnsi="Times New Roman" w:eastAsia="黑体" w:cs="Times New Roman"/>
          <w:color w:val="000000" w:themeColor="text1"/>
          <w:szCs w:val="21"/>
          <w:vertAlign w:val="superscript"/>
          <w:lang w:val="en-US" w:eastAsia="zh-CN"/>
          <w14:textFill>
            <w14:solidFill>
              <w14:schemeClr w14:val="tx1"/>
            </w14:solidFill>
          </w14:textFill>
        </w:rPr>
      </w:pPr>
      <w:r>
        <w:rPr>
          <w:rFonts w:hint="default" w:ascii="Times New Roman" w:hAnsi="Times New Roman" w:eastAsia="黑体" w:cs="Times New Roman"/>
          <w:color w:val="000000" w:themeColor="text1"/>
          <w:kern w:val="0"/>
          <w:szCs w:val="21"/>
          <w:lang w:eastAsia="zh-CN"/>
          <w14:textFill>
            <w14:solidFill>
              <w14:schemeClr w14:val="tx1"/>
            </w14:solidFill>
          </w14:textFill>
        </w:rPr>
        <w:t>表</w:t>
      </w:r>
      <w:r>
        <w:rPr>
          <w:rFonts w:hint="default" w:ascii="Times New Roman" w:hAnsi="Times New Roman" w:eastAsia="黑体" w:cs="Times New Roman"/>
          <w:color w:val="000000" w:themeColor="text1"/>
          <w:kern w:val="0"/>
          <w:szCs w:val="21"/>
          <w:lang w:val="en-US" w:eastAsia="zh-CN"/>
          <w14:textFill>
            <w14:solidFill>
              <w14:schemeClr w14:val="tx1"/>
            </w14:solidFill>
          </w14:textFill>
        </w:rPr>
        <w:t xml:space="preserve">4-2 </w:t>
      </w:r>
      <w:r>
        <w:rPr>
          <w:rFonts w:hint="default" w:ascii="Times New Roman" w:hAnsi="Times New Roman" w:eastAsia="黑体" w:cs="Times New Roman"/>
          <w:color w:val="000000" w:themeColor="text1"/>
          <w:kern w:val="0"/>
          <w:szCs w:val="21"/>
          <w14:textFill>
            <w14:solidFill>
              <w14:schemeClr w14:val="tx1"/>
            </w14:solidFill>
          </w14:textFill>
        </w:rPr>
        <w:t xml:space="preserve">临时占地损毁土地地类及面积统计表           </w:t>
      </w:r>
      <w:r>
        <w:rPr>
          <w:rFonts w:hint="default" w:ascii="Times New Roman" w:hAnsi="Times New Roman" w:eastAsia="黑体" w:cs="Times New Roman"/>
          <w:color w:val="000000" w:themeColor="text1"/>
          <w:szCs w:val="21"/>
          <w:lang w:val="vi-VN"/>
          <w14:textFill>
            <w14:solidFill>
              <w14:schemeClr w14:val="tx1"/>
            </w14:solidFill>
          </w14:textFill>
        </w:rPr>
        <w:t>单位：</w:t>
      </w:r>
      <w:r>
        <w:rPr>
          <w:rFonts w:hint="default" w:ascii="Times New Roman" w:hAnsi="Times New Roman" w:eastAsia="黑体" w:cs="Times New Roman"/>
          <w:color w:val="000000" w:themeColor="text1"/>
          <w:szCs w:val="21"/>
          <w:lang w:val="en-US" w:eastAsia="zh-CN"/>
          <w14:textFill>
            <w14:solidFill>
              <w14:schemeClr w14:val="tx1"/>
            </w14:solidFill>
          </w14:textFill>
        </w:rPr>
        <w:t>hm</w:t>
      </w:r>
      <w:r>
        <w:rPr>
          <w:rFonts w:hint="default" w:ascii="Times New Roman" w:hAnsi="Times New Roman" w:eastAsia="黑体" w:cs="Times New Roman"/>
          <w:color w:val="000000" w:themeColor="text1"/>
          <w:szCs w:val="21"/>
          <w:vertAlign w:val="superscript"/>
          <w:lang w:val="en-US" w:eastAsia="zh-CN"/>
          <w14:textFill>
            <w14:solidFill>
              <w14:schemeClr w14:val="tx1"/>
            </w14:solidFill>
          </w14:textFill>
        </w:rPr>
        <w:t>2</w:t>
      </w:r>
    </w:p>
    <w:tbl>
      <w:tblPr>
        <w:tblStyle w:val="20"/>
        <w:tblW w:w="85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6"/>
        <w:gridCol w:w="2126"/>
        <w:gridCol w:w="212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占地区域</w:t>
            </w:r>
          </w:p>
        </w:tc>
        <w:tc>
          <w:tcPr>
            <w:tcW w:w="42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地类</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材料堆场</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种植园用地（02）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3.3382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制梁厂</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1.0988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1.2581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施工驻地</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0.3218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637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合计</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8.0492</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黑体" w:cs="Times New Roman"/>
          <w:b/>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3)</w:t>
      </w:r>
      <w:r>
        <w:rPr>
          <w:rFonts w:hint="default" w:ascii="Times New Roman" w:hAnsi="Times New Roman" w:eastAsia="仿宋_GB2312" w:cs="Times New Roman"/>
          <w:bCs/>
          <w:color w:val="000000" w:themeColor="text1"/>
          <w:sz w:val="24"/>
          <w14:textFill>
            <w14:solidFill>
              <w14:schemeClr w14:val="tx1"/>
            </w14:solidFill>
          </w14:textFill>
        </w:rPr>
        <w:t>土地损毁类型</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根据实际现场踏勘和建设项目的性质可知，</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lang w:eastAsia="zh-CN"/>
          <w14:textFill>
            <w14:solidFill>
              <w14:schemeClr w14:val="tx1"/>
            </w14:solidFill>
          </w14:textFill>
        </w:rPr>
        <w:t>建设对临时用地的损毁主要表现为</w:t>
      </w:r>
      <w:r>
        <w:rPr>
          <w:rFonts w:hint="eastAsia" w:eastAsia="仿宋_GB2312" w:cs="Times New Roman"/>
          <w:color w:val="000000" w:themeColor="text1"/>
          <w:sz w:val="24"/>
          <w:lang w:eastAsia="zh-CN"/>
          <w14:textFill>
            <w14:solidFill>
              <w14:schemeClr w14:val="tx1"/>
            </w14:solidFill>
          </w14:textFill>
        </w:rPr>
        <w:t>压占</w:t>
      </w:r>
      <w:r>
        <w:rPr>
          <w:rFonts w:hint="default" w:ascii="Times New Roman" w:hAnsi="Times New Roman" w:eastAsia="仿宋_GB2312" w:cs="Times New Roman"/>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压占主要指</w:t>
      </w:r>
      <w:r>
        <w:rPr>
          <w:rFonts w:hint="eastAsia" w:eastAsia="仿宋_GB2312" w:cs="Times New Roman"/>
          <w:color w:val="000000" w:themeColor="text1"/>
          <w:sz w:val="24"/>
          <w:lang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14:textFill>
            <w14:solidFill>
              <w14:schemeClr w14:val="tx1"/>
            </w14:solidFill>
          </w14:textFill>
        </w:rPr>
        <w:t>等临时占用土地。这部分临时用地会引起土壤的板结，会给当地的</w:t>
      </w:r>
      <w:r>
        <w:rPr>
          <w:rFonts w:hint="eastAsia" w:eastAsia="仿宋_GB2312" w:cs="Times New Roman"/>
          <w:color w:val="000000" w:themeColor="text1"/>
          <w:sz w:val="24"/>
          <w:lang w:val="en-US" w:eastAsia="zh-CN"/>
          <w14:textFill>
            <w14:solidFill>
              <w14:schemeClr w14:val="tx1"/>
            </w14:solidFill>
          </w14:textFill>
        </w:rPr>
        <w:t>植被</w:t>
      </w:r>
      <w:r>
        <w:rPr>
          <w:rFonts w:hint="default" w:ascii="Times New Roman" w:hAnsi="Times New Roman" w:eastAsia="仿宋_GB2312" w:cs="Times New Roman"/>
          <w:color w:val="000000" w:themeColor="text1"/>
          <w:sz w:val="24"/>
          <w14:textFill>
            <w14:solidFill>
              <w14:schemeClr w14:val="tx1"/>
            </w14:solidFill>
          </w14:textFill>
        </w:rPr>
        <w:t>生长带来不利。</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4)土地损毁程度</w:t>
      </w:r>
    </w:p>
    <w:p>
      <w:pPr>
        <w:pageBreakBefore w:val="0"/>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参照《中华人民共和国土地管理法》和《土地复垦方案编制规程》和《土地复垦技术标准（试行）》</w:t>
      </w:r>
      <w:r>
        <w:rPr>
          <w:rFonts w:hint="eastAsia" w:ascii="Times New Roman" w:hAnsi="Times New Roman" w:eastAsia="仿宋_GB2312" w:cs="Times New Roman"/>
          <w:color w:val="000000" w:themeColor="text1"/>
          <w:sz w:val="24"/>
          <w:lang w:val="zh-CN" w:eastAsia="zh-CN"/>
          <w14:textFill>
            <w14:solidFill>
              <w14:schemeClr w14:val="tx1"/>
            </w14:solidFill>
          </w14:textFill>
        </w:rPr>
        <w:t>、《土地复垦质量控制标准》</w:t>
      </w:r>
      <w:r>
        <w:rPr>
          <w:rFonts w:hint="default" w:ascii="Times New Roman" w:hAnsi="Times New Roman" w:eastAsia="仿宋_GB2312" w:cs="Times New Roman"/>
          <w:color w:val="000000" w:themeColor="text1"/>
          <w:sz w:val="24"/>
          <w:lang w:val="en-US" w:eastAsia="zh-CN"/>
          <w14:textFill>
            <w14:solidFill>
              <w14:schemeClr w14:val="tx1"/>
            </w14:solidFill>
          </w14:textFill>
        </w:rPr>
        <w:t>的复垦要求，将临时用地土地损毁程度划分3级标准</w:t>
      </w:r>
      <w:r>
        <w:rPr>
          <w:rFonts w:hint="eastAsia" w:ascii="Times New Roman" w:hAnsi="Times New Roman" w:eastAsia="仿宋_GB2312" w:cs="Times New Roman"/>
          <w:color w:val="000000" w:themeColor="text1"/>
          <w:sz w:val="24"/>
          <w:lang w:val="en-US" w:eastAsia="zh-CN"/>
          <w14:textFill>
            <w14:solidFill>
              <w14:schemeClr w14:val="tx1"/>
            </w14:solidFill>
          </w14:textFill>
        </w:rPr>
        <w:t>，划分如下：</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黑体" w:cs="Times New Roman"/>
          <w:color w:val="000000" w:themeColor="text1"/>
          <w:kern w:val="0"/>
          <w:szCs w:val="21"/>
          <w:lang w:eastAsia="zh-CN"/>
          <w14:textFill>
            <w14:solidFill>
              <w14:schemeClr w14:val="tx1"/>
            </w14:solidFill>
          </w14:textFill>
        </w:rPr>
      </w:pPr>
      <w:r>
        <w:rPr>
          <w:rFonts w:hint="default" w:ascii="Times New Roman" w:hAnsi="Times New Roman" w:eastAsia="黑体" w:cs="Times New Roman"/>
          <w:color w:val="000000" w:themeColor="text1"/>
          <w:kern w:val="0"/>
          <w:szCs w:val="21"/>
          <w:lang w:eastAsia="zh-CN"/>
          <w14:textFill>
            <w14:solidFill>
              <w14:schemeClr w14:val="tx1"/>
            </w14:solidFill>
          </w14:textFill>
        </w:rPr>
        <w:t>表</w:t>
      </w:r>
      <w:r>
        <w:rPr>
          <w:rFonts w:hint="default" w:ascii="Times New Roman" w:hAnsi="Times New Roman" w:eastAsia="黑体" w:cs="Times New Roman"/>
          <w:color w:val="000000" w:themeColor="text1"/>
          <w:kern w:val="0"/>
          <w:szCs w:val="21"/>
          <w:lang w:val="en-US" w:eastAsia="zh-CN"/>
          <w14:textFill>
            <w14:solidFill>
              <w14:schemeClr w14:val="tx1"/>
            </w14:solidFill>
          </w14:textFill>
        </w:rPr>
        <w:t>4-</w:t>
      </w:r>
      <w:r>
        <w:rPr>
          <w:rFonts w:hint="eastAsia" w:ascii="Times New Roman" w:hAnsi="Times New Roman" w:eastAsia="黑体" w:cs="Times New Roman"/>
          <w:color w:val="000000" w:themeColor="text1"/>
          <w:kern w:val="0"/>
          <w:szCs w:val="21"/>
          <w:lang w:val="en-US" w:eastAsia="zh-CN"/>
          <w14:textFill>
            <w14:solidFill>
              <w14:schemeClr w14:val="tx1"/>
            </w14:solidFill>
          </w14:textFill>
        </w:rPr>
        <w:t>3</w:t>
      </w:r>
      <w:r>
        <w:rPr>
          <w:rFonts w:hint="eastAsia" w:ascii="Times New Roman" w:hAnsi="Times New Roman" w:eastAsia="黑体" w:cs="Times New Roman"/>
          <w:color w:val="000000" w:themeColor="text1"/>
          <w:kern w:val="0"/>
          <w:szCs w:val="21"/>
          <w:lang w:eastAsia="zh-CN"/>
          <w14:textFill>
            <w14:solidFill>
              <w14:schemeClr w14:val="tx1"/>
            </w14:solidFill>
          </w14:textFill>
        </w:rPr>
        <w:t xml:space="preserve">  损毁程度评价因素及等级标准表</w:t>
      </w:r>
    </w:p>
    <w:tbl>
      <w:tblPr>
        <w:tblStyle w:val="20"/>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929"/>
        <w:gridCol w:w="1930"/>
        <w:gridCol w:w="194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评价</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因素</w:t>
            </w:r>
          </w:p>
        </w:tc>
        <w:tc>
          <w:tcPr>
            <w:tcW w:w="192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评价因子</w:t>
            </w:r>
          </w:p>
        </w:tc>
        <w:tc>
          <w:tcPr>
            <w:tcW w:w="6137"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192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轻度损毁</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中度损毁</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重度损毁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地表</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变形</w:t>
            </w:r>
          </w:p>
        </w:tc>
        <w:tc>
          <w:tcPr>
            <w:tcW w:w="1929"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挖掘（弃土）深度</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≤2米</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r>
              <w:rPr>
                <w:rFonts w:hint="eastAsia" w:eastAsia="仿宋_GB2312" w:cs="Times New Roman"/>
                <w:color w:val="000000" w:themeColor="text1"/>
                <w:sz w:val="21"/>
                <w:szCs w:val="21"/>
                <w:lang w:val="en-US" w:eastAsia="zh-CN"/>
                <w14:textFill>
                  <w14:solidFill>
                    <w14:schemeClr w14:val="tx1"/>
                  </w14:solidFill>
                </w14:textFill>
              </w:rPr>
              <w:t>-</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5米</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&gt;5米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1929"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挖损面积</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≤1公顷</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r>
              <w:rPr>
                <w:rFonts w:hint="eastAsia" w:eastAsia="仿宋_GB2312" w:cs="Times New Roman"/>
                <w:color w:val="000000" w:themeColor="text1"/>
                <w:sz w:val="21"/>
                <w:szCs w:val="21"/>
                <w:lang w:val="en-US" w:eastAsia="zh-CN"/>
                <w14:textFill>
                  <w14:solidFill>
                    <w14:schemeClr w14:val="tx1"/>
                  </w14:solidFill>
                </w14:textFill>
              </w:rPr>
              <w:t>-</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2公顷</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1929"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压占面积</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≤1公顷</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r>
              <w:rPr>
                <w:rFonts w:hint="eastAsia" w:eastAsia="仿宋_GB2312" w:cs="Times New Roman"/>
                <w:color w:val="000000" w:themeColor="text1"/>
                <w:sz w:val="21"/>
                <w:szCs w:val="21"/>
                <w:lang w:val="en-US" w:eastAsia="zh-CN"/>
                <w14:textFill>
                  <w14:solidFill>
                    <w14:schemeClr w14:val="tx1"/>
                  </w14:solidFill>
                </w14:textFill>
              </w:rPr>
              <w:t>-</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10公顷</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&gt;10公顷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1929"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排土高度</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＜5米</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5</w:t>
            </w:r>
            <w:r>
              <w:rPr>
                <w:rFonts w:hint="eastAsia" w:eastAsia="仿宋_GB2312" w:cs="Times New Roman"/>
                <w:color w:val="000000" w:themeColor="text1"/>
                <w:sz w:val="21"/>
                <w:szCs w:val="21"/>
                <w:lang w:val="en-US" w:eastAsia="zh-CN"/>
                <w14:textFill>
                  <w14:solidFill>
                    <w14:schemeClr w14:val="tx1"/>
                  </w14:solidFill>
                </w14:textFill>
              </w:rPr>
              <w:t>-</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10米</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34" w:type="dxa"/>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损毁时长（年）</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≤5</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5-10</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3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复垦难易程度</w:t>
            </w:r>
          </w:p>
        </w:tc>
        <w:tc>
          <w:tcPr>
            <w:tcW w:w="1930"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容易</w:t>
            </w:r>
          </w:p>
        </w:tc>
        <w:tc>
          <w:tcPr>
            <w:tcW w:w="1942"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较难</w:t>
            </w:r>
          </w:p>
        </w:tc>
        <w:tc>
          <w:tcPr>
            <w:tcW w:w="2265"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3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6137"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损毁土地恢复原地类的难易程度指数：</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“容易”-地势相对平坦的土地损毁：如废渣堆场、煤矸石堆场压占</w:t>
            </w:r>
            <w:r>
              <w:rPr>
                <w:rFonts w:hint="eastAsia" w:eastAsia="仿宋_GB2312" w:cs="Times New Roman"/>
                <w:color w:val="000000" w:themeColor="text1"/>
                <w:sz w:val="21"/>
                <w:szCs w:val="21"/>
                <w:lang w:val="en-US" w:eastAsia="zh-CN"/>
                <w14:textFill>
                  <w14:solidFill>
                    <w14:schemeClr w14:val="tx1"/>
                  </w14:solidFill>
                </w14:textFill>
              </w:rPr>
              <w:t>林地</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、草地和其他用地，气候温室的</w:t>
            </w:r>
            <w:r>
              <w:rPr>
                <w:rFonts w:hint="eastAsia" w:eastAsia="仿宋_GB2312" w:cs="Times New Roman"/>
                <w:color w:val="000000" w:themeColor="text1"/>
                <w:sz w:val="21"/>
                <w:szCs w:val="21"/>
                <w:lang w:val="en-US" w:eastAsia="zh-CN"/>
                <w14:textFill>
                  <w14:solidFill>
                    <w14:schemeClr w14:val="tx1"/>
                  </w14:solidFill>
                </w14:textFill>
              </w:rPr>
              <w:t>草地</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复垦:</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“难”-山坡型露天采矿台阶和立面、凹坑型露天采坑、山体陡坡上的塌陷坑、土壤重金属复合污染土地等。干旱半干旱地区、缺土地区的林地、草地复垦困难；</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“较难-介于“容易”和“难”之间情况；</w:t>
            </w:r>
          </w:p>
        </w:tc>
      </w:tr>
    </w:tbl>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项目临时用地土地损毁程度评价指标主要为：压占面积、硬化面积、硬化厚度、损毁时长、复垦难易程度：</w:t>
      </w:r>
    </w:p>
    <w:p>
      <w:pPr>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val="vi-VN" w:eastAsia="zh-CN"/>
          <w14:textFill>
            <w14:solidFill>
              <w14:schemeClr w14:val="tx1"/>
            </w14:solidFill>
          </w14:textFill>
        </w:rPr>
        <w:t>材料堆场、制梁厂、施工驻地</w:t>
      </w:r>
      <w:r>
        <w:rPr>
          <w:rFonts w:hint="eastAsia" w:eastAsia="仿宋_GB2312" w:cs="Times New Roman"/>
          <w:color w:val="000000" w:themeColor="text1"/>
          <w:sz w:val="24"/>
          <w:lang w:val="en-US" w:eastAsia="zh-CN"/>
          <w14:textFill>
            <w14:solidFill>
              <w14:schemeClr w14:val="tx1"/>
            </w14:solidFill>
          </w14:textFill>
        </w:rPr>
        <w:t>除坑塘水面外各种地类均小于1公顷</w:t>
      </w:r>
      <w:r>
        <w:rPr>
          <w:rFonts w:hint="eastAsia" w:ascii="Times New Roman" w:hAnsi="Times New Roman" w:eastAsia="仿宋_GB2312" w:cs="Times New Roman"/>
          <w:color w:val="000000" w:themeColor="text1"/>
          <w:sz w:val="24"/>
          <w:lang w:val="en-US" w:eastAsia="zh-CN"/>
          <w14:textFill>
            <w14:solidFill>
              <w14:schemeClr w14:val="tx1"/>
            </w14:solidFill>
          </w14:textFill>
        </w:rPr>
        <w:t>，临时用地损毁时长均为2年≤5年，项目位于干旱地区，土壤条件较好，按复垦难易程度</w:t>
      </w:r>
      <w:r>
        <w:rPr>
          <w:rFonts w:hint="eastAsia" w:eastAsia="仿宋_GB2312" w:cs="Times New Roman"/>
          <w:color w:val="000000" w:themeColor="text1"/>
          <w:sz w:val="24"/>
          <w:lang w:val="en-US" w:eastAsia="zh-CN"/>
          <w14:textFill>
            <w14:solidFill>
              <w14:schemeClr w14:val="tx1"/>
            </w14:solidFill>
          </w14:textFill>
        </w:rPr>
        <w:t>，坑塘水面</w:t>
      </w:r>
      <w:r>
        <w:rPr>
          <w:rFonts w:hint="eastAsia" w:ascii="Times New Roman" w:hAnsi="Times New Roman" w:eastAsia="仿宋_GB2312" w:cs="Times New Roman"/>
          <w:color w:val="000000" w:themeColor="text1"/>
          <w:sz w:val="24"/>
          <w:lang w:val="en-US" w:eastAsia="zh-CN"/>
          <w14:textFill>
            <w14:solidFill>
              <w14:schemeClr w14:val="tx1"/>
            </w14:solidFill>
          </w14:textFill>
        </w:rPr>
        <w:t>判定为</w:t>
      </w:r>
      <w:r>
        <w:rPr>
          <w:rFonts w:hint="eastAsia" w:eastAsia="仿宋_GB2312" w:cs="Times New Roman"/>
          <w:color w:val="000000" w:themeColor="text1"/>
          <w:sz w:val="24"/>
          <w:lang w:val="en-US" w:eastAsia="zh-CN"/>
          <w14:textFill>
            <w14:solidFill>
              <w14:schemeClr w14:val="tx1"/>
            </w14:solidFill>
          </w14:textFill>
        </w:rPr>
        <w:t>较难，其余均为容易</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通过综合分析认为，该项目建设进行过程中对临时用地的损毁主要是</w:t>
      </w:r>
      <w:r>
        <w:rPr>
          <w:rFonts w:hint="eastAsia" w:ascii="Times New Roman" w:hAnsi="Times New Roman" w:eastAsia="仿宋_GB2312" w:cs="Times New Roman"/>
          <w:color w:val="000000" w:themeColor="text1"/>
          <w:sz w:val="24"/>
          <w:lang w:eastAsia="zh-CN"/>
          <w14:textFill>
            <w14:solidFill>
              <w14:schemeClr w14:val="tx1"/>
            </w14:solidFill>
          </w14:textFill>
        </w:rPr>
        <w:t>压占</w:t>
      </w:r>
      <w:r>
        <w:rPr>
          <w:rFonts w:hint="default"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根据损毁时长、复垦难易程度判定</w:t>
      </w:r>
      <w:r>
        <w:rPr>
          <w:rFonts w:hint="default" w:ascii="Times New Roman" w:hAnsi="Times New Roman" w:eastAsia="仿宋_GB2312" w:cs="Times New Roman"/>
          <w:color w:val="000000" w:themeColor="text1"/>
          <w:sz w:val="24"/>
          <w14:textFill>
            <w14:solidFill>
              <w14:schemeClr w14:val="tx1"/>
            </w14:solidFill>
          </w14:textFill>
        </w:rPr>
        <w:t>对土地</w:t>
      </w:r>
      <w:r>
        <w:rPr>
          <w:rFonts w:hint="default" w:ascii="Times New Roman" w:hAnsi="Times New Roman" w:eastAsia="仿宋_GB2312" w:cs="Times New Roman"/>
          <w:color w:val="000000" w:themeColor="text1"/>
          <w:sz w:val="24"/>
          <w:lang w:eastAsia="zh-CN"/>
          <w14:textFill>
            <w14:solidFill>
              <w14:schemeClr w14:val="tx1"/>
            </w14:solidFill>
          </w14:textFill>
        </w:rPr>
        <w:t>造成了</w:t>
      </w:r>
      <w:r>
        <w:rPr>
          <w:rFonts w:hint="eastAsia" w:ascii="Times New Roman" w:hAnsi="Times New Roman" w:eastAsia="仿宋_GB2312" w:cs="Times New Roman"/>
          <w:color w:val="000000" w:themeColor="text1"/>
          <w:sz w:val="24"/>
          <w:lang w:eastAsia="zh-CN"/>
          <w14:textFill>
            <w14:solidFill>
              <w14:schemeClr w14:val="tx1"/>
            </w14:solidFill>
          </w14:textFill>
        </w:rPr>
        <w:t>中度</w:t>
      </w:r>
      <w:r>
        <w:rPr>
          <w:rFonts w:hint="default" w:ascii="Times New Roman" w:hAnsi="Times New Roman" w:eastAsia="仿宋_GB2312" w:cs="Times New Roman"/>
          <w:color w:val="000000" w:themeColor="text1"/>
          <w:sz w:val="24"/>
          <w:lang w:eastAsia="zh-CN"/>
          <w14:textFill>
            <w14:solidFill>
              <w14:schemeClr w14:val="tx1"/>
            </w14:solidFill>
          </w14:textFill>
        </w:rPr>
        <w:t>损毁，待该项目建设完毕后，应及时整理土地，进行复垦工作</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损</w:t>
      </w:r>
      <w:r>
        <w:rPr>
          <w:rFonts w:hint="default" w:ascii="Times New Roman" w:hAnsi="Times New Roman" w:eastAsia="仿宋_GB2312" w:cs="Times New Roman"/>
          <w:color w:val="000000" w:themeColor="text1"/>
          <w:sz w:val="24"/>
          <w:lang w:eastAsia="zh-CN"/>
          <w14:textFill>
            <w14:solidFill>
              <w14:schemeClr w14:val="tx1"/>
            </w14:solidFill>
          </w14:textFill>
        </w:rPr>
        <w:t>毁土地结果见表4-</w:t>
      </w:r>
      <w:r>
        <w:rPr>
          <w:rFonts w:hint="default" w:ascii="Times New Roman" w:hAnsi="Times New Roman" w:eastAsia="仿宋_GB2312" w:cs="Times New Roman"/>
          <w:color w:val="000000" w:themeColor="text1"/>
          <w:sz w:val="24"/>
          <w:lang w:val="en-US" w:eastAsia="zh-CN"/>
          <w14:textFill>
            <w14:solidFill>
              <w14:schemeClr w14:val="tx1"/>
            </w14:solidFill>
          </w14:textFill>
        </w:rPr>
        <w:t>4</w:t>
      </w:r>
      <w:r>
        <w:rPr>
          <w:rFonts w:hint="default" w:ascii="Times New Roman" w:hAnsi="Times New Roman" w:eastAsia="仿宋_GB2312" w:cs="Times New Roman"/>
          <w:color w:val="000000" w:themeColor="text1"/>
          <w:sz w:val="24"/>
          <w14:textFill>
            <w14:solidFill>
              <w14:schemeClr w14:val="tx1"/>
            </w14:solidFill>
          </w14:textFill>
        </w:rPr>
        <w:t>。</w:t>
      </w:r>
      <w:r>
        <w:rPr>
          <w:rFonts w:hint="default" w:ascii="Times New Roman" w:hAnsi="Times New Roman" w:eastAsia="黑体" w:cs="Times New Roman"/>
          <w:color w:val="000000" w:themeColor="text1"/>
          <w:szCs w:val="21"/>
          <w14:textFill>
            <w14:solidFill>
              <w14:schemeClr w14:val="tx1"/>
            </w14:solidFill>
          </w14:textFill>
        </w:rPr>
        <w:t xml:space="preserve">     </w:t>
      </w:r>
    </w:p>
    <w:p>
      <w:pPr>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eastAsia="黑体" w:cs="Times New Roman"/>
          <w:color w:val="000000" w:themeColor="text1"/>
          <w:szCs w:val="21"/>
          <w14:textFill>
            <w14:solidFill>
              <w14:schemeClr w14:val="tx1"/>
            </w14:solidFill>
          </w14:textFill>
        </w:rPr>
        <w:t>表4-</w:t>
      </w:r>
      <w:r>
        <w:rPr>
          <w:rFonts w:hint="default" w:ascii="Times New Roman" w:hAnsi="Times New Roman" w:eastAsia="黑体" w:cs="Times New Roman"/>
          <w:color w:val="000000" w:themeColor="text1"/>
          <w:szCs w:val="21"/>
          <w:lang w:val="en-US" w:eastAsia="zh-CN"/>
          <w14:textFill>
            <w14:solidFill>
              <w14:schemeClr w14:val="tx1"/>
            </w14:solidFill>
          </w14:textFill>
        </w:rPr>
        <w:t xml:space="preserve">4 </w:t>
      </w:r>
      <w:r>
        <w:rPr>
          <w:rFonts w:hint="default" w:ascii="Times New Roman" w:hAnsi="Times New Roman" w:eastAsia="黑体" w:cs="Times New Roman"/>
          <w:color w:val="000000" w:themeColor="text1"/>
          <w:szCs w:val="21"/>
          <w14:textFill>
            <w14:solidFill>
              <w14:schemeClr w14:val="tx1"/>
            </w14:solidFill>
          </w14:textFill>
        </w:rPr>
        <w:t>损毁土地结果表</w:t>
      </w:r>
    </w:p>
    <w:tbl>
      <w:tblPr>
        <w:tblStyle w:val="20"/>
        <w:tblW w:w="852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1"/>
        <w:gridCol w:w="1976"/>
        <w:gridCol w:w="1633"/>
        <w:gridCol w:w="1142"/>
        <w:gridCol w:w="933"/>
        <w:gridCol w:w="1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临时建设用地用途</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地类</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面积</w:t>
            </w:r>
            <w:r>
              <w:rPr>
                <w:rFonts w:hint="eastAsia" w:eastAsia="仿宋_GB2312" w:cs="Times New Roman"/>
                <w:color w:val="000000" w:themeColor="text1"/>
                <w:szCs w:val="21"/>
                <w:lang w:val="en-US" w:eastAsia="zh-CN"/>
                <w14:textFill>
                  <w14:solidFill>
                    <w14:schemeClr w14:val="tx1"/>
                  </w14:solidFill>
                </w14:textFill>
              </w:rPr>
              <w:t>（单位：公顷）</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损毁时长</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复垦难易程度</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损毁程度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材料堆场</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0.0498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0.0139</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0.0567</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0.0373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0.2432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0.1837</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3.3382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较难</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制梁厂</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0.0684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0.0315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0.0868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1.0988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1.2581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较难</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jc w:val="center"/>
        </w:trPr>
        <w:tc>
          <w:tcPr>
            <w:tcW w:w="142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施工驻地</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0.0572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0.0147</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0.1353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0.0135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0.0184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0.2429</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容易</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0.3218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仿宋_GB2312" w:cs="Times New Roman"/>
                <w:color w:val="000000" w:themeColor="text1"/>
                <w:szCs w:val="21"/>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较难</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中度损毁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3397"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8.0492</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r>
    </w:tbl>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eastAsia="黑体"/>
          <w:bCs w:val="0"/>
          <w:color w:val="000000" w:themeColor="text1"/>
          <w:sz w:val="28"/>
          <w14:textFill>
            <w14:solidFill>
              <w14:schemeClr w14:val="tx1"/>
            </w14:solidFill>
          </w14:textFill>
        </w:rPr>
      </w:pPr>
      <w:r>
        <w:rPr>
          <w:rFonts w:eastAsia="黑体"/>
          <w:bCs w:val="0"/>
          <w:color w:val="000000" w:themeColor="text1"/>
          <w:sz w:val="28"/>
          <w14:textFill>
            <w14:solidFill>
              <w14:schemeClr w14:val="tx1"/>
            </w14:solidFill>
          </w14:textFill>
        </w:rPr>
        <w:t>4.1.4 复垦区与复垦责任范围确定</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通过上述分析，</w:t>
      </w: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default" w:ascii="Times New Roman" w:hAnsi="Times New Roman" w:eastAsia="仿宋_GB2312" w:cs="Times New Roman"/>
          <w:color w:val="000000" w:themeColor="text1"/>
          <w:sz w:val="24"/>
          <w:lang w:eastAsia="zh-CN"/>
          <w14:textFill>
            <w14:solidFill>
              <w14:schemeClr w14:val="tx1"/>
            </w14:solidFill>
          </w14:textFill>
        </w:rPr>
        <w:t>临时</w:t>
      </w:r>
      <w:r>
        <w:rPr>
          <w:rFonts w:hint="default" w:ascii="Times New Roman" w:hAnsi="Times New Roman" w:eastAsia="仿宋_GB2312" w:cs="Times New Roman"/>
          <w:color w:val="000000" w:themeColor="text1"/>
          <w:sz w:val="24"/>
          <w14:textFill>
            <w14:solidFill>
              <w14:schemeClr w14:val="tx1"/>
            </w14:solidFill>
          </w14:textFill>
        </w:rPr>
        <w:t>性建设用地</w:t>
      </w:r>
      <w:r>
        <w:rPr>
          <w:rFonts w:hint="eastAsia" w:eastAsia="仿宋_GB2312" w:cs="Times New Roman"/>
          <w:color w:val="000000" w:themeColor="text1"/>
          <w:sz w:val="24"/>
          <w:lang w:val="en-US" w:eastAsia="zh-CN"/>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喀什市</w:t>
      </w:r>
      <w:r>
        <w:rPr>
          <w:rFonts w:hint="eastAsia" w:eastAsia="仿宋_GB2312"/>
          <w:color w:val="000000" w:themeColor="text1"/>
          <w:kern w:val="0"/>
          <w:sz w:val="24"/>
          <w:lang w:eastAsia="zh-CN"/>
          <w14:textFill>
            <w14:solidFill>
              <w14:schemeClr w14:val="tx1"/>
            </w14:solidFill>
          </w14:textFill>
        </w:rPr>
        <w:t>托万克喀库拉村、尤勒古鲁克村、尤喀尔克喀库拉村国有及集体土地</w:t>
      </w:r>
      <w:r>
        <w:rPr>
          <w:rFonts w:hint="eastAsia" w:eastAsia="仿宋_GB2312"/>
          <w:color w:val="000000" w:themeColor="text1"/>
          <w:kern w:val="0"/>
          <w:sz w:val="24"/>
          <w:lang w:val="en-US" w:eastAsia="zh-CN"/>
          <w14:textFill>
            <w14:solidFill>
              <w14:schemeClr w14:val="tx1"/>
            </w14:solidFill>
          </w14:textFill>
        </w:rPr>
        <w:t>6.0416</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lang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疏附县</w:t>
      </w:r>
      <w:r>
        <w:rPr>
          <w:rFonts w:hint="eastAsia" w:eastAsia="仿宋_GB2312"/>
          <w:color w:val="000000" w:themeColor="text1"/>
          <w:kern w:val="0"/>
          <w:sz w:val="24"/>
          <w:lang w:eastAsia="zh-CN"/>
          <w14:textFill>
            <w14:solidFill>
              <w14:schemeClr w14:val="tx1"/>
            </w14:solidFill>
          </w14:textFill>
        </w:rPr>
        <w:t>喀库拉村国有土地</w:t>
      </w:r>
      <w:r>
        <w:rPr>
          <w:rFonts w:hint="eastAsia" w:eastAsia="仿宋_GB2312"/>
          <w:color w:val="000000" w:themeColor="text1"/>
          <w:kern w:val="0"/>
          <w:sz w:val="24"/>
          <w:lang w:val="en-US" w:eastAsia="zh-CN"/>
          <w14:textFill>
            <w14:solidFill>
              <w14:schemeClr w14:val="tx1"/>
            </w14:solidFill>
          </w14:textFill>
        </w:rPr>
        <w:t>1.3449</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疏勒县</w:t>
      </w:r>
      <w:r>
        <w:rPr>
          <w:rFonts w:hint="eastAsia" w:eastAsia="仿宋_GB2312"/>
          <w:color w:val="000000" w:themeColor="text1"/>
          <w:kern w:val="0"/>
          <w:sz w:val="24"/>
          <w:lang w:eastAsia="zh-CN"/>
          <w14:textFill>
            <w14:solidFill>
              <w14:schemeClr w14:val="tx1"/>
            </w14:solidFill>
          </w14:textFill>
        </w:rPr>
        <w:t>坎吐曼艾力克村国有</w:t>
      </w:r>
      <w:r>
        <w:rPr>
          <w:rFonts w:hint="eastAsia" w:eastAsia="仿宋_GB2312"/>
          <w:color w:val="000000" w:themeColor="text1"/>
          <w:kern w:val="0"/>
          <w:sz w:val="24"/>
          <w:lang w:val="en-US" w:eastAsia="zh-CN"/>
          <w14:textFill>
            <w14:solidFill>
              <w14:schemeClr w14:val="tx1"/>
            </w14:solidFill>
          </w14:textFill>
        </w:rPr>
        <w:t>及集体</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lang w:val="en-US" w:eastAsia="zh-CN"/>
          <w14:textFill>
            <w14:solidFill>
              <w14:schemeClr w14:val="tx1"/>
            </w14:solidFill>
          </w14:textFill>
        </w:rPr>
        <w:t>0.6627</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。临时用地</w:t>
      </w:r>
      <w:r>
        <w:rPr>
          <w:rFonts w:hint="default" w:ascii="Times New Roman" w:hAnsi="Times New Roman" w:eastAsia="仿宋_GB2312" w:cs="Times New Roman"/>
          <w:color w:val="000000" w:themeColor="text1"/>
          <w:sz w:val="24"/>
          <w:lang w:eastAsia="zh-CN"/>
          <w14:textFill>
            <w14:solidFill>
              <w14:schemeClr w14:val="tx1"/>
            </w14:solidFill>
          </w14:textFill>
        </w:rPr>
        <w:t>总面积为</w:t>
      </w:r>
      <w:r>
        <w:rPr>
          <w:rFonts w:hint="eastAsia" w:eastAsia="仿宋_GB2312" w:cs="Times New Roman"/>
          <w:color w:val="000000" w:themeColor="text1"/>
          <w:sz w:val="24"/>
          <w:lang w:val="en-US" w:eastAsia="zh-CN"/>
          <w14:textFill>
            <w14:solidFill>
              <w14:schemeClr w14:val="tx1"/>
            </w14:solidFill>
          </w14:textFill>
        </w:rPr>
        <w:t>8.0492</w:t>
      </w:r>
      <w:r>
        <w:rPr>
          <w:rFonts w:hint="default" w:ascii="Times New Roman" w:hAnsi="Times New Roman" w:eastAsia="仿宋_GB2312" w:cs="Times New Roman"/>
          <w:color w:val="000000" w:themeColor="text1"/>
          <w:sz w:val="24"/>
          <w:lang w:eastAsia="zh-CN"/>
          <w14:textFill>
            <w14:solidFill>
              <w14:schemeClr w14:val="tx1"/>
            </w14:solidFill>
          </w14:textFill>
        </w:rPr>
        <w:t>hm</w:t>
      </w:r>
      <w:r>
        <w:rPr>
          <w:rFonts w:hint="default" w:ascii="Times New Roman" w:hAnsi="Times New Roman" w:eastAsia="仿宋_GB2312"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仿宋_GB2312" w:cs="Times New Roman"/>
          <w:color w:val="000000" w:themeColor="text1"/>
          <w:sz w:val="24"/>
          <w:vertAlign w:val="baseline"/>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以上土地将全部划入复垦区，复垦区总面积为</w:t>
      </w:r>
      <w:r>
        <w:rPr>
          <w:rFonts w:hint="eastAsia" w:eastAsia="仿宋_GB2312" w:cs="Times New Roman"/>
          <w:color w:val="000000" w:themeColor="text1"/>
          <w:sz w:val="24"/>
          <w:lang w:eastAsia="zh-CN"/>
          <w14:textFill>
            <w14:solidFill>
              <w14:schemeClr w14:val="tx1"/>
            </w14:solidFill>
          </w14:textFill>
        </w:rPr>
        <w:t>8.0492</w:t>
      </w:r>
      <w:r>
        <w:rPr>
          <w:rFonts w:hint="default" w:ascii="Times New Roman" w:hAnsi="Times New Roman" w:eastAsia="仿宋_GB2312" w:cs="Times New Roman"/>
          <w:color w:val="000000" w:themeColor="text1"/>
          <w:sz w:val="24"/>
          <w14:textFill>
            <w14:solidFill>
              <w14:schemeClr w14:val="tx1"/>
            </w14:solidFill>
          </w14:textFill>
        </w:rPr>
        <w:t>hm</w:t>
      </w:r>
      <w:r>
        <w:rPr>
          <w:rFonts w:hint="default" w:ascii="Times New Roman" w:hAnsi="Times New Roman" w:eastAsia="仿宋_GB2312" w:cs="Times New Roman"/>
          <w:color w:val="000000" w:themeColor="text1"/>
          <w:sz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14:textFill>
            <w14:solidFill>
              <w14:schemeClr w14:val="tx1"/>
            </w14:solidFill>
          </w14:textFill>
        </w:rPr>
        <w:t>；复垦责任范围面积</w:t>
      </w:r>
      <w:r>
        <w:rPr>
          <w:rFonts w:hint="eastAsia" w:eastAsia="仿宋_GB2312" w:cs="Times New Roman"/>
          <w:color w:val="000000" w:themeColor="text1"/>
          <w:sz w:val="24"/>
          <w:lang w:eastAsia="zh-CN"/>
          <w14:textFill>
            <w14:solidFill>
              <w14:schemeClr w14:val="tx1"/>
            </w14:solidFill>
          </w14:textFill>
        </w:rPr>
        <w:t>8.0492</w:t>
      </w:r>
      <w:r>
        <w:rPr>
          <w:rFonts w:hint="default" w:ascii="Times New Roman" w:hAnsi="Times New Roman" w:eastAsia="仿宋_GB2312" w:cs="Times New Roman"/>
          <w:color w:val="000000" w:themeColor="text1"/>
          <w:sz w:val="24"/>
          <w14:textFill>
            <w14:solidFill>
              <w14:schemeClr w14:val="tx1"/>
            </w14:solidFill>
          </w14:textFill>
        </w:rPr>
        <w:t>hm</w:t>
      </w:r>
      <w:r>
        <w:rPr>
          <w:rFonts w:hint="default" w:ascii="Times New Roman" w:hAnsi="Times New Roman" w:eastAsia="仿宋_GB2312" w:cs="Times New Roman"/>
          <w:color w:val="000000" w:themeColor="text1"/>
          <w:sz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14:textFill>
            <w14:solidFill>
              <w14:schemeClr w14:val="tx1"/>
            </w14:solidFill>
          </w14:textFill>
        </w:rPr>
        <w:t>；土地产权明晰，界址清楚，没有争议。</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该项目在建设过程中，将会临时占用一定的土地面积，该临时占地大致可分为</w:t>
      </w:r>
      <w:r>
        <w:rPr>
          <w:rFonts w:hint="eastAsia" w:eastAsia="仿宋_GB2312" w:cs="Times New Roman"/>
          <w:color w:val="000000" w:themeColor="text1"/>
          <w:sz w:val="24"/>
          <w:lang w:val="en-US" w:eastAsia="zh-CN"/>
          <w14:textFill>
            <w14:solidFill>
              <w14:schemeClr w14:val="tx1"/>
            </w14:solidFill>
          </w14:textFill>
        </w:rPr>
        <w:t>3个</w:t>
      </w:r>
      <w:r>
        <w:rPr>
          <w:rFonts w:hint="default" w:ascii="Times New Roman" w:hAnsi="Times New Roman" w:eastAsia="仿宋_GB2312" w:cs="Times New Roman"/>
          <w:color w:val="000000" w:themeColor="text1"/>
          <w:sz w:val="24"/>
          <w:lang w:eastAsia="zh-CN"/>
          <w14:textFill>
            <w14:solidFill>
              <w14:schemeClr w14:val="tx1"/>
            </w14:solidFill>
          </w14:textFill>
        </w:rPr>
        <w:t>区，即该项目</w:t>
      </w:r>
      <w:r>
        <w:rPr>
          <w:rFonts w:hint="eastAsia" w:eastAsia="仿宋_GB2312" w:cs="Times New Roman"/>
          <w:color w:val="000000" w:themeColor="text1"/>
          <w:sz w:val="24"/>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24"/>
          <w:lang w:eastAsia="zh-CN"/>
          <w14:textFill>
            <w14:solidFill>
              <w14:schemeClr w14:val="tx1"/>
            </w14:solidFill>
          </w14:textFill>
        </w:rPr>
        <w:t>过程设置的</w:t>
      </w:r>
      <w:r>
        <w:rPr>
          <w:rFonts w:hint="eastAsia" w:eastAsia="仿宋_GB2312" w:cs="Times New Roman"/>
          <w:color w:val="000000" w:themeColor="text1"/>
          <w:sz w:val="24"/>
          <w:lang w:val="vi-VN" w:eastAsia="zh-CN"/>
          <w14:textFill>
            <w14:solidFill>
              <w14:schemeClr w14:val="tx1"/>
            </w14:solidFill>
          </w14:textFill>
        </w:rPr>
        <w:t>材料堆场、制梁厂、施工驻地</w:t>
      </w:r>
      <w:r>
        <w:rPr>
          <w:rFonts w:hint="default" w:ascii="Times New Roman" w:hAnsi="Times New Roman" w:eastAsia="仿宋_GB2312" w:cs="Times New Roman"/>
          <w:color w:val="000000" w:themeColor="text1"/>
          <w:sz w:val="24"/>
          <w:lang w:eastAsia="zh-CN"/>
          <w14:textFill>
            <w14:solidFill>
              <w14:schemeClr w14:val="tx1"/>
            </w14:solidFill>
          </w14:textFill>
        </w:rPr>
        <w:t>；其将</w:t>
      </w:r>
      <w:r>
        <w:rPr>
          <w:rFonts w:hint="default" w:ascii="Times New Roman" w:hAnsi="Times New Roman" w:eastAsia="仿宋_GB2312" w:cs="Times New Roman"/>
          <w:color w:val="000000" w:themeColor="text1"/>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喀什市</w:t>
      </w:r>
      <w:r>
        <w:rPr>
          <w:rFonts w:hint="eastAsia" w:eastAsia="仿宋_GB2312"/>
          <w:color w:val="000000" w:themeColor="text1"/>
          <w:kern w:val="0"/>
          <w:sz w:val="24"/>
          <w:lang w:eastAsia="zh-CN"/>
          <w14:textFill>
            <w14:solidFill>
              <w14:schemeClr w14:val="tx1"/>
            </w14:solidFill>
          </w14:textFill>
        </w:rPr>
        <w:t>托万克喀库拉村、尤勒古鲁克村、尤喀尔克喀库拉村国有及集体土地</w:t>
      </w:r>
      <w:r>
        <w:rPr>
          <w:rFonts w:hint="eastAsia" w:eastAsia="仿宋_GB2312"/>
          <w:color w:val="000000" w:themeColor="text1"/>
          <w:kern w:val="0"/>
          <w:sz w:val="24"/>
          <w:lang w:val="en-US" w:eastAsia="zh-CN"/>
          <w14:textFill>
            <w14:solidFill>
              <w14:schemeClr w14:val="tx1"/>
            </w14:solidFill>
          </w14:textFill>
        </w:rPr>
        <w:t>6.0416</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lang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疏附县</w:t>
      </w:r>
      <w:r>
        <w:rPr>
          <w:rFonts w:hint="eastAsia" w:eastAsia="仿宋_GB2312"/>
          <w:color w:val="000000" w:themeColor="text1"/>
          <w:kern w:val="0"/>
          <w:sz w:val="24"/>
          <w:lang w:eastAsia="zh-CN"/>
          <w14:textFill>
            <w14:solidFill>
              <w14:schemeClr w14:val="tx1"/>
            </w14:solidFill>
          </w14:textFill>
        </w:rPr>
        <w:t>喀库拉村国有土地</w:t>
      </w:r>
      <w:r>
        <w:rPr>
          <w:rFonts w:hint="eastAsia" w:eastAsia="仿宋_GB2312"/>
          <w:color w:val="000000" w:themeColor="text1"/>
          <w:kern w:val="0"/>
          <w:sz w:val="24"/>
          <w:lang w:val="en-US" w:eastAsia="zh-CN"/>
          <w14:textFill>
            <w14:solidFill>
              <w14:schemeClr w14:val="tx1"/>
            </w14:solidFill>
          </w14:textFill>
        </w:rPr>
        <w:t>1.3449</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w:t>
      </w:r>
      <w:r>
        <w:rPr>
          <w:rFonts w:hint="eastAsia" w:eastAsia="仿宋_GB2312"/>
          <w:color w:val="000000" w:themeColor="text1"/>
          <w:kern w:val="0"/>
          <w:sz w:val="24"/>
          <w14:textFill>
            <w14:solidFill>
              <w14:schemeClr w14:val="tx1"/>
            </w14:solidFill>
          </w14:textFill>
        </w:rPr>
        <w:t>占用</w:t>
      </w:r>
      <w:r>
        <w:rPr>
          <w:rFonts w:hint="eastAsia" w:eastAsia="仿宋_GB2312"/>
          <w:color w:val="000000" w:themeColor="text1"/>
          <w:kern w:val="0"/>
          <w:sz w:val="24"/>
          <w:lang w:val="en-US" w:eastAsia="zh-CN"/>
          <w14:textFill>
            <w14:solidFill>
              <w14:schemeClr w14:val="tx1"/>
            </w14:solidFill>
          </w14:textFill>
        </w:rPr>
        <w:t>疏勒县</w:t>
      </w:r>
      <w:r>
        <w:rPr>
          <w:rFonts w:hint="eastAsia" w:eastAsia="仿宋_GB2312"/>
          <w:color w:val="000000" w:themeColor="text1"/>
          <w:kern w:val="0"/>
          <w:sz w:val="24"/>
          <w:lang w:eastAsia="zh-CN"/>
          <w14:textFill>
            <w14:solidFill>
              <w14:schemeClr w14:val="tx1"/>
            </w14:solidFill>
          </w14:textFill>
        </w:rPr>
        <w:t>坎吐曼艾力克村国有</w:t>
      </w:r>
      <w:r>
        <w:rPr>
          <w:rFonts w:hint="eastAsia" w:eastAsia="仿宋_GB2312"/>
          <w:color w:val="000000" w:themeColor="text1"/>
          <w:kern w:val="0"/>
          <w:sz w:val="24"/>
          <w:lang w:val="en-US" w:eastAsia="zh-CN"/>
          <w14:textFill>
            <w14:solidFill>
              <w14:schemeClr w14:val="tx1"/>
            </w14:solidFill>
          </w14:textFill>
        </w:rPr>
        <w:t>及集体</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lang w:val="en-US" w:eastAsia="zh-CN"/>
          <w14:textFill>
            <w14:solidFill>
              <w14:schemeClr w14:val="tx1"/>
            </w14:solidFill>
          </w14:textFill>
        </w:rPr>
        <w:t>0.6627</w:t>
      </w:r>
      <w:r>
        <w:rPr>
          <w:rFonts w:hint="default" w:eastAsia="仿宋_GB2312"/>
          <w:color w:val="000000" w:themeColor="text1"/>
          <w:kern w:val="0"/>
          <w:sz w:val="24"/>
          <w:lang w:val="en-US" w:eastAsia="zh-CN"/>
          <w14:textFill>
            <w14:solidFill>
              <w14:schemeClr w14:val="tx1"/>
            </w14:solidFill>
          </w14:textFill>
        </w:rPr>
        <w:t>hm</w:t>
      </w:r>
      <w:r>
        <w:rPr>
          <w:rFonts w:hint="default" w:eastAsia="仿宋_GB2312"/>
          <w:color w:val="000000" w:themeColor="text1"/>
          <w:kern w:val="0"/>
          <w:sz w:val="24"/>
          <w:vertAlign w:val="superscript"/>
          <w:lang w:val="en-US" w:eastAsia="zh-CN"/>
          <w14:textFill>
            <w14:solidFill>
              <w14:schemeClr w14:val="tx1"/>
            </w14:solidFill>
          </w14:textFill>
        </w:rPr>
        <w:t>2</w:t>
      </w:r>
      <w:r>
        <w:rPr>
          <w:rFonts w:hint="eastAsia" w:eastAsia="仿宋_GB2312"/>
          <w:color w:val="000000" w:themeColor="text1"/>
          <w:kern w:val="0"/>
          <w:sz w:val="24"/>
          <w:vertAlign w:val="baseline"/>
          <w:lang w:val="en-US" w:eastAsia="zh-CN"/>
          <w14:textFill>
            <w14:solidFill>
              <w14:schemeClr w14:val="tx1"/>
            </w14:solidFill>
          </w14:textFill>
        </w:rPr>
        <w:t>。临时用地</w:t>
      </w:r>
      <w:r>
        <w:rPr>
          <w:rFonts w:hint="default" w:ascii="Times New Roman" w:hAnsi="Times New Roman" w:eastAsia="仿宋_GB2312" w:cs="Times New Roman"/>
          <w:color w:val="000000" w:themeColor="text1"/>
          <w:sz w:val="24"/>
          <w:lang w:eastAsia="zh-CN"/>
          <w14:textFill>
            <w14:solidFill>
              <w14:schemeClr w14:val="tx1"/>
            </w14:solidFill>
          </w14:textFill>
        </w:rPr>
        <w:t>总面积为</w:t>
      </w:r>
      <w:r>
        <w:rPr>
          <w:rFonts w:hint="eastAsia" w:eastAsia="仿宋_GB2312" w:cs="Times New Roman"/>
          <w:color w:val="000000" w:themeColor="text1"/>
          <w:sz w:val="24"/>
          <w:lang w:val="en-US" w:eastAsia="zh-CN"/>
          <w14:textFill>
            <w14:solidFill>
              <w14:schemeClr w14:val="tx1"/>
            </w14:solidFill>
          </w14:textFill>
        </w:rPr>
        <w:t>8.0492</w:t>
      </w:r>
      <w:r>
        <w:rPr>
          <w:rFonts w:hint="default" w:ascii="Times New Roman" w:hAnsi="Times New Roman" w:eastAsia="仿宋_GB2312" w:cs="Times New Roman"/>
          <w:color w:val="000000" w:themeColor="text1"/>
          <w:sz w:val="24"/>
          <w:lang w:eastAsia="zh-CN"/>
          <w14:textFill>
            <w14:solidFill>
              <w14:schemeClr w14:val="tx1"/>
            </w14:solidFill>
          </w14:textFill>
        </w:rPr>
        <w:t>hm</w:t>
      </w:r>
      <w:r>
        <w:rPr>
          <w:rFonts w:hint="default" w:ascii="Times New Roman" w:hAnsi="Times New Roman" w:eastAsia="仿宋_GB2312"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仿宋_GB2312" w:cs="Times New Roman"/>
          <w:color w:val="000000" w:themeColor="text1"/>
          <w:sz w:val="24"/>
          <w:vertAlign w:val="baseline"/>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以上土地将全部划入复垦区，复垦区总面积为</w:t>
      </w:r>
      <w:r>
        <w:rPr>
          <w:rFonts w:hint="eastAsia" w:eastAsia="仿宋_GB2312" w:cs="Times New Roman"/>
          <w:color w:val="000000" w:themeColor="text1"/>
          <w:sz w:val="24"/>
          <w:lang w:eastAsia="zh-CN"/>
          <w14:textFill>
            <w14:solidFill>
              <w14:schemeClr w14:val="tx1"/>
            </w14:solidFill>
          </w14:textFill>
        </w:rPr>
        <w:t>8.0492</w:t>
      </w:r>
      <w:r>
        <w:rPr>
          <w:rFonts w:hint="default" w:ascii="Times New Roman" w:hAnsi="Times New Roman" w:eastAsia="仿宋_GB2312" w:cs="Times New Roman"/>
          <w:color w:val="000000" w:themeColor="text1"/>
          <w:sz w:val="24"/>
          <w14:textFill>
            <w14:solidFill>
              <w14:schemeClr w14:val="tx1"/>
            </w14:solidFill>
          </w14:textFill>
        </w:rPr>
        <w:t>hm</w:t>
      </w:r>
      <w:r>
        <w:rPr>
          <w:rFonts w:hint="default" w:ascii="Times New Roman" w:hAnsi="Times New Roman" w:eastAsia="仿宋_GB2312" w:cs="Times New Roman"/>
          <w:color w:val="000000" w:themeColor="text1"/>
          <w:sz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这部分临时建设用地，即为本次复垦责任范围区，本次复</w:t>
      </w:r>
      <w:r>
        <w:rPr>
          <w:rFonts w:hint="default" w:ascii="Times New Roman" w:hAnsi="Times New Roman" w:eastAsia="仿宋_GB2312" w:cs="Times New Roman"/>
          <w:color w:val="000000" w:themeColor="text1"/>
          <w:sz w:val="24"/>
          <w14:textFill>
            <w14:solidFill>
              <w14:schemeClr w14:val="tx1"/>
            </w14:solidFill>
          </w14:textFill>
        </w:rPr>
        <w:t>垦责任范围区面积</w:t>
      </w:r>
      <w:r>
        <w:rPr>
          <w:rFonts w:hint="eastAsia" w:eastAsia="仿宋_GB2312" w:cs="Times New Roman"/>
          <w:color w:val="000000" w:themeColor="text1"/>
          <w:sz w:val="24"/>
          <w:lang w:val="en-US" w:eastAsia="zh-CN"/>
          <w14:textFill>
            <w14:solidFill>
              <w14:schemeClr w14:val="tx1"/>
            </w14:solidFill>
          </w14:textFill>
        </w:rPr>
        <w:t>8.0492</w:t>
      </w:r>
      <w:r>
        <w:rPr>
          <w:rFonts w:hint="default" w:ascii="Times New Roman" w:hAnsi="Times New Roman" w:eastAsia="仿宋_GB2312" w:cs="Times New Roman"/>
          <w:color w:val="000000" w:themeColor="text1"/>
          <w:sz w:val="24"/>
          <w14:textFill>
            <w14:solidFill>
              <w14:schemeClr w14:val="tx1"/>
            </w14:solidFill>
          </w14:textFill>
        </w:rPr>
        <w:t>hm</w:t>
      </w:r>
      <w:r>
        <w:rPr>
          <w:rFonts w:hint="default" w:ascii="Times New Roman" w:hAnsi="Times New Roman" w:eastAsia="仿宋_GB2312" w:cs="Times New Roman"/>
          <w:color w:val="000000" w:themeColor="text1"/>
          <w:sz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14:textFill>
            <w14:solidFill>
              <w14:schemeClr w14:val="tx1"/>
            </w14:solidFill>
          </w14:textFill>
        </w:rPr>
        <w:t>。</w:t>
      </w:r>
      <w:bookmarkStart w:id="53" w:name="_Toc383531816"/>
    </w:p>
    <w:bookmarkEnd w:id="53"/>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hint="eastAsia" w:ascii="黑体" w:hAnsi="黑体" w:cs="黑体"/>
          <w:b w:val="0"/>
          <w:bCs w:val="0"/>
          <w:color w:val="000000" w:themeColor="text1"/>
          <w:sz w:val="30"/>
          <w:szCs w:val="30"/>
          <w14:textFill>
            <w14:solidFill>
              <w14:schemeClr w14:val="tx1"/>
            </w14:solidFill>
          </w14:textFill>
        </w:rPr>
      </w:pPr>
      <w:bookmarkStart w:id="54" w:name="_Toc20628"/>
      <w:bookmarkStart w:id="55" w:name="_Toc25141"/>
      <w:bookmarkStart w:id="56" w:name="OLE_LINK6"/>
      <w:bookmarkStart w:id="57" w:name="OLE_LINK5"/>
      <w:r>
        <w:rPr>
          <w:rFonts w:hint="default" w:ascii="Times New Roman" w:hAnsi="Times New Roman" w:cs="Times New Roman"/>
          <w:b w:val="0"/>
          <w:bCs w:val="0"/>
          <w:color w:val="000000" w:themeColor="text1"/>
          <w:sz w:val="30"/>
          <w:szCs w:val="30"/>
          <w14:textFill>
            <w14:solidFill>
              <w14:schemeClr w14:val="tx1"/>
            </w14:solidFill>
          </w14:textFill>
        </w:rPr>
        <w:t xml:space="preserve">4.2 </w:t>
      </w:r>
      <w:r>
        <w:rPr>
          <w:rFonts w:hint="eastAsia" w:ascii="黑体" w:hAnsi="黑体" w:cs="黑体"/>
          <w:b w:val="0"/>
          <w:bCs w:val="0"/>
          <w:color w:val="000000" w:themeColor="text1"/>
          <w:sz w:val="30"/>
          <w:szCs w:val="30"/>
          <w14:textFill>
            <w14:solidFill>
              <w14:schemeClr w14:val="tx1"/>
            </w14:solidFill>
          </w14:textFill>
        </w:rPr>
        <w:t>复垦区土地利用现状</w:t>
      </w:r>
      <w:bookmarkEnd w:id="54"/>
      <w:bookmarkEnd w:id="55"/>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综上所述</w:t>
      </w:r>
      <w:r>
        <w:rPr>
          <w:rFonts w:hint="eastAsia" w:eastAsia="仿宋_GB2312"/>
          <w:color w:val="000000" w:themeColor="text1"/>
          <w:sz w:val="24"/>
          <w:lang w:eastAsia="zh-CN"/>
          <w14:textFill>
            <w14:solidFill>
              <w14:schemeClr w14:val="tx1"/>
            </w14:solidFill>
          </w14:textFill>
        </w:rPr>
        <w:t>，</w:t>
      </w:r>
      <w:r>
        <w:rPr>
          <w:rFonts w:hint="eastAsia" w:ascii="仿宋_GB2312" w:eastAsia="仿宋_GB2312"/>
          <w:color w:val="000000" w:themeColor="text1"/>
          <w:sz w:val="24"/>
          <w:lang w:val="vi-VN" w:eastAsia="zh-CN"/>
          <w14:textFill>
            <w14:solidFill>
              <w14:schemeClr w14:val="tx1"/>
            </w14:solidFill>
          </w14:textFill>
        </w:rPr>
        <w:t>该</w:t>
      </w:r>
      <w:r>
        <w:rPr>
          <w:rFonts w:hint="eastAsia" w:eastAsia="仿宋_GB2312"/>
          <w:color w:val="000000" w:themeColor="text1"/>
          <w:sz w:val="24"/>
          <w14:textFill>
            <w14:solidFill>
              <w14:schemeClr w14:val="tx1"/>
            </w14:solidFill>
          </w14:textFill>
        </w:rPr>
        <w:t>项目</w:t>
      </w:r>
      <w:r>
        <w:rPr>
          <w:rFonts w:eastAsia="仿宋_GB2312"/>
          <w:color w:val="000000" w:themeColor="text1"/>
          <w:sz w:val="24"/>
          <w14:textFill>
            <w14:solidFill>
              <w14:schemeClr w14:val="tx1"/>
            </w14:solidFill>
          </w14:textFill>
        </w:rPr>
        <w:t>复垦</w:t>
      </w:r>
      <w:r>
        <w:rPr>
          <w:rFonts w:hint="eastAsia" w:eastAsia="仿宋_GB2312"/>
          <w:color w:val="000000" w:themeColor="text1"/>
          <w:sz w:val="24"/>
          <w14:textFill>
            <w14:solidFill>
              <w14:schemeClr w14:val="tx1"/>
            </w14:solidFill>
          </w14:textFill>
        </w:rPr>
        <w:t>区临时用地</w:t>
      </w:r>
      <w:r>
        <w:rPr>
          <w:rFonts w:eastAsia="仿宋_GB2312"/>
          <w:color w:val="000000" w:themeColor="text1"/>
          <w:sz w:val="24"/>
          <w14:textFill>
            <w14:solidFill>
              <w14:schemeClr w14:val="tx1"/>
            </w14:solidFill>
          </w14:textFill>
        </w:rPr>
        <w:t>面积</w:t>
      </w:r>
      <w:r>
        <w:rPr>
          <w:rFonts w:hint="eastAsia" w:eastAsia="仿宋_GB2312"/>
          <w:color w:val="000000" w:themeColor="text1"/>
          <w:sz w:val="24"/>
          <w:lang w:val="en-US" w:eastAsia="zh-CN"/>
          <w14:textFill>
            <w14:solidFill>
              <w14:schemeClr w14:val="tx1"/>
            </w14:solidFill>
          </w14:textFill>
        </w:rPr>
        <w:t>8.0492</w:t>
      </w:r>
      <w:r>
        <w:rPr>
          <w:rFonts w:hint="eastAsia" w:eastAsia="仿宋_GB2312"/>
          <w:color w:val="000000" w:themeColor="text1"/>
          <w:sz w:val="24"/>
          <w14:textFill>
            <w14:solidFill>
              <w14:schemeClr w14:val="tx1"/>
            </w14:solidFill>
          </w14:textFill>
        </w:rPr>
        <w:t>hm</w:t>
      </w:r>
      <w:r>
        <w:rPr>
          <w:rFonts w:hint="eastAsia" w:eastAsia="仿宋_GB2312"/>
          <w:color w:val="000000" w:themeColor="text1"/>
          <w:sz w:val="24"/>
          <w:vertAlign w:val="superscript"/>
          <w14:textFill>
            <w14:solidFill>
              <w14:schemeClr w14:val="tx1"/>
            </w14:solidFill>
          </w14:textFill>
        </w:rPr>
        <w:t>2</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复垦责任范围面积</w:t>
      </w:r>
      <w:r>
        <w:rPr>
          <w:rFonts w:hint="eastAsia" w:eastAsia="仿宋_GB2312"/>
          <w:color w:val="000000" w:themeColor="text1"/>
          <w:sz w:val="24"/>
          <w:lang w:eastAsia="zh-CN"/>
          <w14:textFill>
            <w14:solidFill>
              <w14:schemeClr w14:val="tx1"/>
            </w14:solidFill>
          </w14:textFill>
        </w:rPr>
        <w:t>8.0492</w:t>
      </w:r>
      <w:r>
        <w:rPr>
          <w:rFonts w:hint="eastAsia" w:eastAsia="仿宋_GB2312"/>
          <w:color w:val="000000" w:themeColor="text1"/>
          <w:sz w:val="24"/>
          <w14:textFill>
            <w14:solidFill>
              <w14:schemeClr w14:val="tx1"/>
            </w14:solidFill>
          </w14:textFill>
        </w:rPr>
        <w:t>hm2</w:t>
      </w: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14:textFill>
            <w14:solidFill>
              <w14:schemeClr w14:val="tx1"/>
            </w14:solidFill>
          </w14:textFill>
        </w:rPr>
        <w:t>复垦责任范围</w:t>
      </w:r>
      <w:r>
        <w:rPr>
          <w:rFonts w:hint="eastAsia" w:eastAsia="仿宋_GB2312"/>
          <w:color w:val="000000" w:themeColor="text1"/>
          <w:sz w:val="24"/>
          <w:lang w:val="en-US" w:eastAsia="zh-CN"/>
          <w14:textFill>
            <w14:solidFill>
              <w14:schemeClr w14:val="tx1"/>
            </w14:solidFill>
          </w14:textFill>
        </w:rPr>
        <w:t>示意见图4-2、图4-3</w:t>
      </w:r>
      <w:r>
        <w:rPr>
          <w:rFonts w:hint="eastAsia" w:eastAsia="仿宋_GB2312"/>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临时占用土地权属为</w:t>
      </w:r>
      <w:r>
        <w:rPr>
          <w:rFonts w:hint="eastAsia" w:eastAsia="仿宋_GB2312"/>
          <w:color w:val="000000" w:themeColor="text1"/>
          <w:kern w:val="0"/>
          <w:sz w:val="24"/>
          <w:lang w:val="en-US" w:eastAsia="zh-CN"/>
          <w14:textFill>
            <w14:solidFill>
              <w14:schemeClr w14:val="tx1"/>
            </w14:solidFill>
          </w14:textFill>
        </w:rPr>
        <w:t>喀什市</w:t>
      </w:r>
      <w:r>
        <w:rPr>
          <w:rFonts w:hint="eastAsia" w:eastAsia="仿宋_GB2312"/>
          <w:color w:val="000000" w:themeColor="text1"/>
          <w:kern w:val="0"/>
          <w:sz w:val="24"/>
          <w:lang w:eastAsia="zh-CN"/>
          <w14:textFill>
            <w14:solidFill>
              <w14:schemeClr w14:val="tx1"/>
            </w14:solidFill>
          </w14:textFill>
        </w:rPr>
        <w:t>托万克喀库拉村、尤勒古鲁克村、尤喀尔克喀库拉村、</w:t>
      </w:r>
      <w:r>
        <w:rPr>
          <w:rFonts w:hint="eastAsia" w:eastAsia="仿宋_GB2312"/>
          <w:color w:val="000000" w:themeColor="text1"/>
          <w:kern w:val="0"/>
          <w:sz w:val="24"/>
          <w:lang w:val="en-US" w:eastAsia="zh-CN"/>
          <w14:textFill>
            <w14:solidFill>
              <w14:schemeClr w14:val="tx1"/>
            </w14:solidFill>
          </w14:textFill>
        </w:rPr>
        <w:t>疏附县</w:t>
      </w:r>
      <w:r>
        <w:rPr>
          <w:rFonts w:hint="eastAsia" w:eastAsia="仿宋_GB2312"/>
          <w:color w:val="000000" w:themeColor="text1"/>
          <w:kern w:val="0"/>
          <w:sz w:val="24"/>
          <w:lang w:eastAsia="zh-CN"/>
          <w14:textFill>
            <w14:solidFill>
              <w14:schemeClr w14:val="tx1"/>
            </w14:solidFill>
          </w14:textFill>
        </w:rPr>
        <w:t>喀库拉村、</w:t>
      </w:r>
      <w:r>
        <w:rPr>
          <w:rFonts w:hint="eastAsia" w:eastAsia="仿宋_GB2312"/>
          <w:color w:val="000000" w:themeColor="text1"/>
          <w:kern w:val="0"/>
          <w:sz w:val="24"/>
          <w:lang w:val="en-US" w:eastAsia="zh-CN"/>
          <w14:textFill>
            <w14:solidFill>
              <w14:schemeClr w14:val="tx1"/>
            </w14:solidFill>
          </w14:textFill>
        </w:rPr>
        <w:t>疏勒县</w:t>
      </w:r>
      <w:r>
        <w:rPr>
          <w:rFonts w:hint="eastAsia" w:eastAsia="仿宋_GB2312"/>
          <w:color w:val="000000" w:themeColor="text1"/>
          <w:kern w:val="0"/>
          <w:sz w:val="24"/>
          <w:lang w:eastAsia="zh-CN"/>
          <w14:textFill>
            <w14:solidFill>
              <w14:schemeClr w14:val="tx1"/>
            </w14:solidFill>
          </w14:textFill>
        </w:rPr>
        <w:t>坎吐曼艾力克村国有</w:t>
      </w:r>
      <w:r>
        <w:rPr>
          <w:rFonts w:hint="eastAsia" w:eastAsia="仿宋_GB2312"/>
          <w:color w:val="000000" w:themeColor="text1"/>
          <w:kern w:val="0"/>
          <w:sz w:val="24"/>
          <w:lang w:val="en-US" w:eastAsia="zh-CN"/>
          <w14:textFill>
            <w14:solidFill>
              <w14:schemeClr w14:val="tx1"/>
            </w14:solidFill>
          </w14:textFill>
        </w:rPr>
        <w:t>及集体</w:t>
      </w:r>
      <w:r>
        <w:rPr>
          <w:rFonts w:hint="eastAsia" w:eastAsia="仿宋_GB2312"/>
          <w:color w:val="000000" w:themeColor="text1"/>
          <w:kern w:val="0"/>
          <w:sz w:val="24"/>
          <w:lang w:eastAsia="zh-CN"/>
          <w14:textFill>
            <w14:solidFill>
              <w14:schemeClr w14:val="tx1"/>
            </w14:solidFill>
          </w14:textFill>
        </w:rPr>
        <w:t>土地</w:t>
      </w:r>
      <w:r>
        <w:rPr>
          <w:rFonts w:hint="eastAsia" w:eastAsia="仿宋_GB2312"/>
          <w:color w:val="000000" w:themeColor="text1"/>
          <w:kern w:val="0"/>
          <w:sz w:val="24"/>
          <w:vertAlign w:val="baseline"/>
          <w:lang w:val="en-US" w:eastAsia="zh-CN"/>
          <w14:textFill>
            <w14:solidFill>
              <w14:schemeClr w14:val="tx1"/>
            </w14:solidFill>
          </w14:textFill>
        </w:rPr>
        <w:t>。临时用地</w:t>
      </w:r>
      <w:r>
        <w:rPr>
          <w:rFonts w:hint="default" w:ascii="Times New Roman" w:hAnsi="Times New Roman" w:eastAsia="仿宋_GB2312" w:cs="Times New Roman"/>
          <w:color w:val="000000" w:themeColor="text1"/>
          <w:sz w:val="24"/>
          <w:lang w:eastAsia="zh-CN"/>
          <w14:textFill>
            <w14:solidFill>
              <w14:schemeClr w14:val="tx1"/>
            </w14:solidFill>
          </w14:textFill>
        </w:rPr>
        <w:t>总面积为</w:t>
      </w:r>
      <w:r>
        <w:rPr>
          <w:rFonts w:hint="eastAsia" w:eastAsia="仿宋_GB2312" w:cs="Times New Roman"/>
          <w:color w:val="000000" w:themeColor="text1"/>
          <w:sz w:val="24"/>
          <w:lang w:val="en-US" w:eastAsia="zh-CN"/>
          <w14:textFill>
            <w14:solidFill>
              <w14:schemeClr w14:val="tx1"/>
            </w14:solidFill>
          </w14:textFill>
        </w:rPr>
        <w:t>8.0492</w:t>
      </w:r>
      <w:r>
        <w:rPr>
          <w:rFonts w:hint="default" w:ascii="Times New Roman" w:hAnsi="Times New Roman" w:eastAsia="仿宋_GB2312" w:cs="Times New Roman"/>
          <w:color w:val="000000" w:themeColor="text1"/>
          <w:sz w:val="24"/>
          <w:lang w:eastAsia="zh-CN"/>
          <w14:textFill>
            <w14:solidFill>
              <w14:schemeClr w14:val="tx1"/>
            </w14:solidFill>
          </w14:textFill>
        </w:rPr>
        <w:t>hm</w:t>
      </w:r>
      <w:r>
        <w:rPr>
          <w:rFonts w:hint="default" w:ascii="Times New Roman" w:hAnsi="Times New Roman" w:eastAsia="仿宋_GB2312"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仿宋_GB2312" w:cs="Times New Roman"/>
          <w:color w:val="000000" w:themeColor="text1"/>
          <w:sz w:val="24"/>
          <w:vertAlign w:val="baseline"/>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以上土地将全部划入复垦区，复垦区总面积为</w:t>
      </w:r>
      <w:r>
        <w:rPr>
          <w:rFonts w:hint="eastAsia" w:eastAsia="仿宋_GB2312" w:cs="Times New Roman"/>
          <w:color w:val="000000" w:themeColor="text1"/>
          <w:sz w:val="24"/>
          <w:lang w:eastAsia="zh-CN"/>
          <w14:textFill>
            <w14:solidFill>
              <w14:schemeClr w14:val="tx1"/>
            </w14:solidFill>
          </w14:textFill>
        </w:rPr>
        <w:t>8.0492</w:t>
      </w:r>
      <w:r>
        <w:rPr>
          <w:rFonts w:hint="default" w:ascii="Times New Roman" w:hAnsi="Times New Roman" w:eastAsia="仿宋_GB2312" w:cs="Times New Roman"/>
          <w:color w:val="000000" w:themeColor="text1"/>
          <w:sz w:val="24"/>
          <w14:textFill>
            <w14:solidFill>
              <w14:schemeClr w14:val="tx1"/>
            </w14:solidFill>
          </w14:textFill>
        </w:rPr>
        <w:t>hm</w:t>
      </w:r>
      <w:r>
        <w:rPr>
          <w:rFonts w:hint="default" w:ascii="Times New Roman" w:hAnsi="Times New Roman" w:eastAsia="仿宋_GB2312" w:cs="Times New Roman"/>
          <w:color w:val="000000" w:themeColor="text1"/>
          <w:sz w:val="24"/>
          <w:vertAlign w:val="superscript"/>
          <w14:textFill>
            <w14:solidFill>
              <w14:schemeClr w14:val="tx1"/>
            </w14:solidFill>
          </w14:textFill>
        </w:rPr>
        <w:t>2</w:t>
      </w:r>
      <w:r>
        <w:rPr>
          <w:rFonts w:eastAsia="仿宋_GB2312"/>
          <w:color w:val="000000" w:themeColor="text1"/>
          <w:sz w:val="24"/>
          <w14:textFill>
            <w14:solidFill>
              <w14:schemeClr w14:val="tx1"/>
            </w14:solidFill>
          </w14:textFill>
        </w:rPr>
        <w:t>，土地权属清楚，无纠纷</w:t>
      </w:r>
      <w:r>
        <w:rPr>
          <w:rFonts w:hint="eastAsia" w:eastAsia="仿宋_GB2312"/>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土地类型</w:t>
      </w:r>
      <w:r>
        <w:rPr>
          <w:rFonts w:hint="eastAsia" w:eastAsia="仿宋_GB2312"/>
          <w:color w:val="000000" w:themeColor="text1"/>
          <w:sz w:val="24"/>
          <w:lang w:eastAsia="zh-CN"/>
          <w14:textFill>
            <w14:solidFill>
              <w14:schemeClr w14:val="tx1"/>
            </w14:solidFill>
          </w14:textFill>
        </w:rPr>
        <w:t>为水浇地、果园、灌木林地、农村宅基地、公路用地、农村道路、河流水面、坑塘水面、沟渠</w:t>
      </w:r>
      <w:r>
        <w:rPr>
          <w:rFonts w:eastAsia="仿宋_GB2312"/>
          <w:color w:val="000000" w:themeColor="text1"/>
          <w:sz w:val="24"/>
          <w14:textFill>
            <w14:solidFill>
              <w14:schemeClr w14:val="tx1"/>
            </w14:solidFill>
          </w14:textFill>
        </w:rPr>
        <w:t>，土地损毁形式为</w:t>
      </w:r>
      <w:r>
        <w:rPr>
          <w:rFonts w:hint="eastAsia" w:eastAsia="仿宋_GB2312"/>
          <w:color w:val="000000" w:themeColor="text1"/>
          <w:sz w:val="24"/>
          <w:lang w:eastAsia="zh-CN"/>
          <w14:textFill>
            <w14:solidFill>
              <w14:schemeClr w14:val="tx1"/>
            </w14:solidFill>
          </w14:textFill>
        </w:rPr>
        <w:t>压占</w:t>
      </w:r>
      <w:r>
        <w:rPr>
          <w:rFonts w:eastAsia="仿宋_GB2312"/>
          <w:color w:val="000000" w:themeColor="text1"/>
          <w:sz w:val="24"/>
          <w14:textFill>
            <w14:solidFill>
              <w14:schemeClr w14:val="tx1"/>
            </w14:solidFill>
          </w14:textFill>
        </w:rPr>
        <w:t>，土地损毁程度为</w:t>
      </w:r>
      <w:r>
        <w:rPr>
          <w:rFonts w:hint="eastAsia" w:eastAsia="仿宋_GB2312"/>
          <w:color w:val="000000" w:themeColor="text1"/>
          <w:sz w:val="24"/>
          <w:lang w:eastAsia="zh-CN"/>
          <w14:textFill>
            <w14:solidFill>
              <w14:schemeClr w14:val="tx1"/>
            </w14:solidFill>
          </w14:textFill>
        </w:rPr>
        <w:t>中度</w:t>
      </w:r>
      <w:r>
        <w:rPr>
          <w:rFonts w:hint="eastAsia" w:eastAsia="仿宋_GB2312"/>
          <w:color w:val="000000" w:themeColor="text1"/>
          <w:sz w:val="24"/>
          <w14:textFill>
            <w14:solidFill>
              <w14:schemeClr w14:val="tx1"/>
            </w14:solidFill>
          </w14:textFill>
        </w:rPr>
        <w:t>。项目区土地现状利用统计见</w:t>
      </w:r>
      <w:r>
        <w:rPr>
          <w:rFonts w:eastAsia="仿宋_GB2312"/>
          <w:color w:val="000000" w:themeColor="text1"/>
          <w:sz w:val="24"/>
          <w14:textFill>
            <w14:solidFill>
              <w14:schemeClr w14:val="tx1"/>
            </w14:solidFill>
          </w14:textFill>
        </w:rPr>
        <w:t>表4</w:t>
      </w:r>
      <w:r>
        <w:rPr>
          <w:rFonts w:hint="eastAsia" w:eastAsia="仿宋_GB2312"/>
          <w:color w:val="000000" w:themeColor="text1"/>
          <w:sz w:val="24"/>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5</w:t>
      </w:r>
      <w:r>
        <w:rPr>
          <w:rFonts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jc w:val="center"/>
        <w:rPr>
          <w:rFonts w:eastAsia="黑体"/>
          <w:color w:val="000000" w:themeColor="text1"/>
          <w:szCs w:val="21"/>
          <w14:textFill>
            <w14:solidFill>
              <w14:schemeClr w14:val="tx1"/>
            </w14:solidFill>
          </w14:textFill>
        </w:rPr>
      </w:pPr>
      <w:r>
        <w:rPr>
          <w:rFonts w:ascii="黑体" w:hAnsi="黑体" w:eastAsia="黑体"/>
          <w:bCs/>
          <w:color w:val="000000" w:themeColor="text1"/>
          <w:kern w:val="0"/>
          <w:szCs w:val="21"/>
          <w14:textFill>
            <w14:solidFill>
              <w14:schemeClr w14:val="tx1"/>
            </w14:solidFill>
          </w14:textFill>
        </w:rPr>
        <w:t>表</w:t>
      </w:r>
      <w:r>
        <w:rPr>
          <w:rFonts w:hint="eastAsia" w:ascii="黑体" w:hAnsi="黑体" w:eastAsia="黑体"/>
          <w:bCs/>
          <w:color w:val="000000" w:themeColor="text1"/>
          <w:kern w:val="0"/>
          <w:szCs w:val="21"/>
          <w14:textFill>
            <w14:solidFill>
              <w14:schemeClr w14:val="tx1"/>
            </w14:solidFill>
          </w14:textFill>
        </w:rPr>
        <w:t>4-</w:t>
      </w:r>
      <w:r>
        <w:rPr>
          <w:rFonts w:hint="eastAsia" w:ascii="黑体" w:hAnsi="黑体" w:eastAsia="黑体"/>
          <w:bCs/>
          <w:color w:val="000000" w:themeColor="text1"/>
          <w:kern w:val="0"/>
          <w:szCs w:val="21"/>
          <w:lang w:val="en-US" w:eastAsia="zh-CN"/>
          <w14:textFill>
            <w14:solidFill>
              <w14:schemeClr w14:val="tx1"/>
            </w14:solidFill>
          </w14:textFill>
        </w:rPr>
        <w:t xml:space="preserve">5 </w:t>
      </w:r>
      <w:r>
        <w:rPr>
          <w:rFonts w:eastAsia="黑体"/>
          <w:color w:val="000000" w:themeColor="text1"/>
          <w:szCs w:val="21"/>
          <w14:textFill>
            <w14:solidFill>
              <w14:schemeClr w14:val="tx1"/>
            </w14:solidFill>
          </w14:textFill>
        </w:rPr>
        <w:t>复垦</w:t>
      </w:r>
      <w:r>
        <w:rPr>
          <w:rFonts w:hint="eastAsia" w:eastAsia="黑体"/>
          <w:color w:val="000000" w:themeColor="text1"/>
          <w:szCs w:val="21"/>
          <w14:textFill>
            <w14:solidFill>
              <w14:schemeClr w14:val="tx1"/>
            </w14:solidFill>
          </w14:textFill>
        </w:rPr>
        <w:t>区</w:t>
      </w:r>
      <w:r>
        <w:rPr>
          <w:rFonts w:eastAsia="黑体"/>
          <w:color w:val="000000" w:themeColor="text1"/>
          <w:szCs w:val="21"/>
          <w14:textFill>
            <w14:solidFill>
              <w14:schemeClr w14:val="tx1"/>
            </w14:solidFill>
          </w14:textFill>
        </w:rPr>
        <w:t>土地利用现状表</w:t>
      </w:r>
    </w:p>
    <w:bookmarkEnd w:id="56"/>
    <w:bookmarkEnd w:id="57"/>
    <w:tbl>
      <w:tblPr>
        <w:tblStyle w:val="20"/>
        <w:tblW w:w="672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6"/>
        <w:gridCol w:w="1976"/>
        <w:gridCol w:w="1633"/>
        <w:gridCol w:w="1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 w:hRule="atLeast"/>
          <w:jc w:val="center"/>
        </w:trPr>
        <w:tc>
          <w:tcPr>
            <w:tcW w:w="3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bookmarkStart w:id="58" w:name="_Toc9616"/>
            <w:bookmarkStart w:id="59" w:name="_Toc383531817"/>
            <w:bookmarkStart w:id="60" w:name="_Toc4193"/>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地类</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1"/>
                <w:szCs w:val="21"/>
                <w:vertAlign w:val="baseline"/>
                <w:lang w:val="en-US" w:eastAsia="zh-CN"/>
                <w14:textFill>
                  <w14:solidFill>
                    <w14:schemeClr w14:val="tx1"/>
                  </w14:solidFill>
                </w14:textFill>
              </w:rPr>
              <w:t>面积</w:t>
            </w:r>
            <w:r>
              <w:rPr>
                <w:rFonts w:hint="eastAsia" w:eastAsia="仿宋_GB2312" w:cs="Times New Roman"/>
                <w:color w:val="000000" w:themeColor="text1"/>
                <w:szCs w:val="21"/>
                <w:lang w:val="en-US" w:eastAsia="zh-CN"/>
                <w14:textFill>
                  <w14:solidFill>
                    <w14:schemeClr w14:val="tx1"/>
                  </w14:solidFill>
                </w14:textFill>
              </w:rPr>
              <w:t>（单位：公顷）</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0.1754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种植园用地（02）</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0.0601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0.2788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0.0508</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0.2616</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1.5254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vMerge w:val="continue"/>
            <w:tcBorders>
              <w:left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4.9181</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61.10%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976" w:type="dxa"/>
            <w:vMerge w:val="continue"/>
            <w:tcBorders>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p>
        </w:tc>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仿宋_GB2312" w:cs="Times New Roman"/>
                <w:color w:val="000000" w:themeColor="text1"/>
                <w:kern w:val="0"/>
                <w:sz w:val="21"/>
                <w:szCs w:val="21"/>
                <w:vertAlign w:val="baseline"/>
                <w:lang w:val="en-US" w:eastAsia="zh-CN"/>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0.92%</w:t>
            </w:r>
          </w:p>
        </w:tc>
      </w:tr>
    </w:tbl>
    <w:p>
      <w:pPr>
        <w:pStyle w:val="5"/>
        <w:pageBreakBefore w:val="0"/>
        <w:widowControl w:val="0"/>
        <w:kinsoku/>
        <w:wordWrap/>
        <w:overflowPunct/>
        <w:topLinePunct w:val="0"/>
        <w:bidi w:val="0"/>
        <w:adjustRightInd w:val="0"/>
        <w:snapToGrid w:val="0"/>
        <w:spacing w:before="0" w:after="0" w:line="360" w:lineRule="auto"/>
        <w:ind w:left="0" w:leftChars="0" w:right="0" w:rightChars="0"/>
        <w:jc w:val="both"/>
        <w:textAlignment w:val="auto"/>
        <w:rPr>
          <w:rFonts w:ascii="Times New Roman" w:hAnsi="Times New Roman"/>
          <w:b w:val="0"/>
          <w:bCs w:val="0"/>
          <w:color w:val="000000" w:themeColor="text1"/>
          <w:sz w:val="30"/>
          <w:szCs w:val="30"/>
          <w14:textFill>
            <w14:solidFill>
              <w14:schemeClr w14:val="tx1"/>
            </w14:solidFill>
          </w14:textFill>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color w:val="000000" w:themeColor="text1"/>
          <w14:textFill>
            <w14:solidFill>
              <w14:schemeClr w14:val="tx1"/>
            </w14:solidFill>
          </w14:textFill>
        </w:rPr>
      </w:pPr>
    </w:p>
    <w:p>
      <w:pPr>
        <w:jc w:val="center"/>
        <w:rPr>
          <w:rFonts w:hint="eastAsia" w:ascii="Times New Roman" w:hAnsi="Times New Roman" w:eastAsia="黑体" w:cs="Times New Roman"/>
          <w:color w:val="000000" w:themeColor="text1"/>
          <w:szCs w:val="21"/>
          <w:lang w:val="en-US" w:eastAsia="zh-CN"/>
          <w14:textFill>
            <w14:solidFill>
              <w14:schemeClr w14:val="tx1"/>
            </w14:solidFill>
          </w14:textFill>
        </w:rPr>
        <w:sectPr>
          <w:pgSz w:w="16838" w:h="11906" w:orient="landscape"/>
          <w:pgMar w:top="1797" w:right="1440" w:bottom="1797" w:left="144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color w:val="000000" w:themeColor="text1"/>
          <w:szCs w:val="21"/>
          <w14:textFill>
            <w14:solidFill>
              <w14:schemeClr w14:val="tx1"/>
            </w14:solidFill>
          </w14:textFill>
        </w:rPr>
        <w:t>图</w:t>
      </w:r>
      <w:r>
        <w:rPr>
          <w:rFonts w:hint="eastAsia" w:ascii="Times New Roman" w:hAnsi="Times New Roman" w:eastAsia="黑体" w:cs="Times New Roman"/>
          <w:color w:val="000000" w:themeColor="text1"/>
          <w:szCs w:val="21"/>
          <w:lang w:val="en-US" w:eastAsia="zh-CN"/>
          <w14:textFill>
            <w14:solidFill>
              <w14:schemeClr w14:val="tx1"/>
            </w14:solidFill>
          </w14:textFill>
        </w:rPr>
        <w:t>4</w:t>
      </w:r>
      <w:r>
        <w:rPr>
          <w:rFonts w:hint="eastAsia" w:ascii="Times New Roman" w:hAnsi="Times New Roman" w:eastAsia="黑体" w:cs="Times New Roman"/>
          <w:color w:val="000000" w:themeColor="text1"/>
          <w:szCs w:val="21"/>
          <w14:textFill>
            <w14:solidFill>
              <w14:schemeClr w14:val="tx1"/>
            </w14:solidFill>
          </w14:textFill>
        </w:rPr>
        <w:t xml:space="preserve">-2 </w:t>
      </w:r>
      <w:r>
        <w:rPr>
          <w:rFonts w:hint="eastAsia" w:ascii="Times New Roman" w:hAnsi="Times New Roman" w:eastAsia="黑体" w:cs="Times New Roman"/>
          <w:color w:val="000000" w:themeColor="text1"/>
          <w:szCs w:val="21"/>
          <w:lang w:val="en-US" w:eastAsia="zh-CN"/>
          <w14:textFill>
            <w14:solidFill>
              <w14:schemeClr w14:val="tx1"/>
            </w14:solidFill>
          </w14:textFill>
        </w:rPr>
        <w:t xml:space="preserve"> 宗地一复垦区、复垦责任范围示意图</w:t>
      </w:r>
    </w:p>
    <w:p>
      <w:pPr>
        <w:pStyle w:val="15"/>
        <w:ind w:left="0" w:leftChars="0" w:firstLine="0" w:firstLineChars="0"/>
        <w:jc w:val="center"/>
        <w:rPr>
          <w:rFonts w:hint="eastAsia" w:ascii="Times New Roman" w:hAnsi="Times New Roman" w:eastAsia="黑体" w:cs="Times New Roman"/>
          <w:color w:val="000000" w:themeColor="text1"/>
          <w:szCs w:val="21"/>
          <w:lang w:val="en-US" w:eastAsia="zh-CN"/>
          <w14:textFill>
            <w14:solidFill>
              <w14:schemeClr w14:val="tx1"/>
            </w14:solidFill>
          </w14:textFill>
        </w:rPr>
      </w:pPr>
    </w:p>
    <w:p>
      <w:pPr>
        <w:pStyle w:val="15"/>
        <w:ind w:left="0" w:leftChars="0" w:firstLine="0" w:firstLineChars="0"/>
        <w:jc w:val="center"/>
        <w:rPr>
          <w:rFonts w:hint="eastAsia" w:ascii="Times New Roman" w:hAnsi="Times New Roman" w:eastAsia="黑体" w:cs="Times New Roman"/>
          <w:color w:val="000000" w:themeColor="text1"/>
          <w:szCs w:val="21"/>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图4-3  宗地</w:t>
      </w:r>
      <w:r>
        <w:rPr>
          <w:rFonts w:hint="eastAsia" w:ascii="Times New Roman" w:eastAsia="黑体" w:cs="Times New Roman"/>
          <w:color w:val="000000" w:themeColor="text1"/>
          <w:szCs w:val="21"/>
          <w:lang w:val="en-US" w:eastAsia="zh-CN"/>
          <w14:textFill>
            <w14:solidFill>
              <w14:schemeClr w14:val="tx1"/>
            </w14:solidFill>
          </w14:textFill>
        </w:rPr>
        <w:t>二-宗地九</w:t>
      </w:r>
      <w:r>
        <w:rPr>
          <w:rFonts w:hint="eastAsia" w:ascii="Times New Roman" w:hAnsi="Times New Roman" w:eastAsia="黑体" w:cs="Times New Roman"/>
          <w:color w:val="000000" w:themeColor="text1"/>
          <w:szCs w:val="21"/>
          <w:lang w:val="en-US" w:eastAsia="zh-CN"/>
          <w14:textFill>
            <w14:solidFill>
              <w14:schemeClr w14:val="tx1"/>
            </w14:solidFill>
          </w14:textFill>
        </w:rPr>
        <w:t>复垦区、复垦责任范围示意图</w:t>
      </w:r>
    </w:p>
    <w:p>
      <w:pPr>
        <w:pStyle w:val="15"/>
        <w:ind w:left="0" w:leftChars="0" w:firstLine="0" w:firstLineChars="0"/>
        <w:jc w:val="both"/>
        <w:rPr>
          <w:rFonts w:ascii="Times New Roman" w:hAnsi="Times New Roman"/>
          <w:b w:val="0"/>
          <w:bCs w:val="0"/>
          <w:color w:val="000000" w:themeColor="text1"/>
          <w:sz w:val="30"/>
          <w:szCs w:val="30"/>
          <w14:textFill>
            <w14:solidFill>
              <w14:schemeClr w14:val="tx1"/>
            </w14:solidFill>
          </w14:textFill>
        </w:rPr>
      </w:pPr>
      <w:r>
        <w:rPr>
          <w:rFonts w:ascii="Times New Roman" w:hAnsi="Times New Roman"/>
          <w:b w:val="0"/>
          <w:bCs w:val="0"/>
          <w:color w:val="000000" w:themeColor="text1"/>
          <w:sz w:val="30"/>
          <w:szCs w:val="30"/>
          <w14:textFill>
            <w14:solidFill>
              <w14:schemeClr w14:val="tx1"/>
            </w14:solidFill>
          </w14:textFill>
        </w:rPr>
        <w:t>4.3 生态、社会环境影响分析</w:t>
      </w:r>
      <w:bookmarkEnd w:id="58"/>
      <w:bookmarkEnd w:id="59"/>
      <w:bookmarkEnd w:id="60"/>
    </w:p>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eastAsia="仿宋_GB2312"/>
          <w:bCs w:val="0"/>
          <w:color w:val="000000" w:themeColor="text1"/>
          <w:sz w:val="24"/>
          <w14:textFill>
            <w14:solidFill>
              <w14:schemeClr w14:val="tx1"/>
            </w14:solidFill>
          </w14:textFill>
        </w:rPr>
      </w:pPr>
      <w:bookmarkStart w:id="61" w:name="_Toc383460531"/>
      <w:bookmarkStart w:id="62" w:name="_Toc383531818"/>
      <w:bookmarkStart w:id="63" w:name="_Toc383432726"/>
      <w:bookmarkStart w:id="64" w:name="_Toc383432802"/>
      <w:bookmarkStart w:id="65" w:name="_Toc383432898"/>
      <w:r>
        <w:rPr>
          <w:bCs w:val="0"/>
          <w:color w:val="000000" w:themeColor="text1"/>
          <w:sz w:val="28"/>
          <w14:textFill>
            <w14:solidFill>
              <w14:schemeClr w14:val="tx1"/>
            </w14:solidFill>
          </w14:textFill>
        </w:rPr>
        <w:t>4.</w:t>
      </w:r>
      <w:r>
        <w:rPr>
          <w:rFonts w:hint="eastAsia"/>
          <w:bCs w:val="0"/>
          <w:color w:val="000000" w:themeColor="text1"/>
          <w:sz w:val="28"/>
          <w14:textFill>
            <w14:solidFill>
              <w14:schemeClr w14:val="tx1"/>
            </w14:solidFill>
          </w14:textFill>
        </w:rPr>
        <w:t>3</w:t>
      </w:r>
      <w:r>
        <w:rPr>
          <w:bCs w:val="0"/>
          <w:color w:val="000000" w:themeColor="text1"/>
          <w:sz w:val="28"/>
          <w14:textFill>
            <w14:solidFill>
              <w14:schemeClr w14:val="tx1"/>
            </w14:solidFill>
          </w14:textFill>
        </w:rPr>
        <w:t>.</w:t>
      </w:r>
      <w:r>
        <w:rPr>
          <w:rFonts w:hint="eastAsia"/>
          <w:bCs w:val="0"/>
          <w:color w:val="000000" w:themeColor="text1"/>
          <w:sz w:val="28"/>
          <w14:textFill>
            <w14:solidFill>
              <w14:schemeClr w14:val="tx1"/>
            </w14:solidFill>
          </w14:textFill>
        </w:rPr>
        <w:t>1</w:t>
      </w:r>
      <w:r>
        <w:rPr>
          <w:bCs w:val="0"/>
          <w:color w:val="000000" w:themeColor="text1"/>
          <w:sz w:val="28"/>
          <w14:textFill>
            <w14:solidFill>
              <w14:schemeClr w14:val="tx1"/>
            </w14:solidFill>
          </w14:textFill>
        </w:rPr>
        <w:t xml:space="preserve"> </w:t>
      </w:r>
      <w:r>
        <w:rPr>
          <w:rFonts w:hint="eastAsia" w:ascii="黑体" w:hAnsi="黑体" w:eastAsia="黑体" w:cs="黑体"/>
          <w:bCs w:val="0"/>
          <w:color w:val="000000" w:themeColor="text1"/>
          <w:sz w:val="28"/>
          <w14:textFill>
            <w14:solidFill>
              <w14:schemeClr w14:val="tx1"/>
            </w14:solidFill>
          </w14:textFill>
        </w:rPr>
        <w:t>对生态环境的影响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bookmarkStart w:id="66" w:name="_Toc488681487"/>
      <w:bookmarkStart w:id="67" w:name="_Toc169668204"/>
      <w:bookmarkStart w:id="68" w:name="_Toc173403872"/>
      <w:r>
        <w:rPr>
          <w:rFonts w:hint="eastAsia" w:ascii="仿宋_GB2312" w:hAnsi="仿宋_GB2312" w:eastAsia="仿宋_GB2312" w:cs="仿宋_GB2312"/>
          <w:color w:val="000000" w:themeColor="text1"/>
          <w:sz w:val="24"/>
          <w:lang w:val="en-US" w:eastAsia="zh-CN"/>
          <w14:textFill>
            <w14:solidFill>
              <w14:schemeClr w14:val="tx1"/>
            </w14:solidFill>
          </w14:textFill>
        </w:rPr>
        <w:t>a）</w:t>
      </w:r>
      <w:bookmarkStart w:id="69" w:name="_Toc488681491"/>
      <w:bookmarkStart w:id="70" w:name="_Toc173403881"/>
      <w:r>
        <w:rPr>
          <w:rFonts w:hint="eastAsia" w:ascii="仿宋_GB2312" w:hAnsi="仿宋_GB2312" w:eastAsia="仿宋_GB2312" w:cs="仿宋_GB2312"/>
          <w:color w:val="000000" w:themeColor="text1"/>
          <w:sz w:val="24"/>
          <w:lang w:val="en-US" w:eastAsia="zh-CN"/>
          <w14:textFill>
            <w14:solidFill>
              <w14:schemeClr w14:val="tx1"/>
            </w14:solidFill>
          </w14:textFill>
        </w:rPr>
        <w:t>地表水环境影响预测与评价</w:t>
      </w:r>
      <w:bookmarkEnd w:id="69"/>
      <w:bookmarkEnd w:id="70"/>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bookmarkStart w:id="71" w:name="_Toc418075058"/>
      <w:bookmarkEnd w:id="71"/>
      <w:bookmarkStart w:id="72" w:name="_Toc420501150"/>
      <w:bookmarkEnd w:id="72"/>
      <w:bookmarkStart w:id="73" w:name="_Toc419450845"/>
      <w:bookmarkEnd w:id="73"/>
      <w:r>
        <w:rPr>
          <w:rFonts w:hint="eastAsia" w:ascii="仿宋_GB2312" w:hAnsi="仿宋_GB2312" w:eastAsia="仿宋_GB2312" w:cs="仿宋_GB2312"/>
          <w:color w:val="000000" w:themeColor="text1"/>
          <w:sz w:val="24"/>
          <w:lang w:val="en-US" w:eastAsia="zh-CN"/>
          <w14:textFill>
            <w14:solidFill>
              <w14:schemeClr w14:val="tx1"/>
            </w14:solidFill>
          </w14:textFill>
        </w:rPr>
        <w:t>据建设项目最近的地表水体为民生渠和草龙水库引水渠，本项目施工期对水环境的污染主要来自于施工人员生活污水和施工泥浆水。</w:t>
      </w:r>
    </w:p>
    <w:bookmarkEnd w:id="66"/>
    <w:bookmarkEnd w:id="67"/>
    <w:bookmarkEnd w:id="68"/>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bookmarkStart w:id="74" w:name="_Toc32351"/>
      <w:bookmarkStart w:id="75" w:name="_Toc15743"/>
      <w:r>
        <w:rPr>
          <w:rFonts w:hint="default" w:ascii="Times New Roman" w:hAnsi="Times New Roman" w:eastAsia="仿宋_GB2312" w:cs="Times New Roman"/>
          <w:color w:val="000000" w:themeColor="text1"/>
          <w:sz w:val="24"/>
          <w:lang w:val="en-US" w:eastAsia="zh-CN"/>
          <w14:textFill>
            <w14:solidFill>
              <w14:schemeClr w14:val="tx1"/>
            </w14:solidFill>
          </w14:textFill>
        </w:rPr>
        <w:t>该项目各型材料的运输等均会引起扬尘，这些尘埃会随风飘落到项目区附近的水体中，将会对水体产生一定的影响。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此外，如施工材料如保管不善，被雨水冲刷而进入水体将会产生水环境污染。在施工期，项目施工泥土被雨水冲入附近水体或地基因没有及时压实被雨水冲入附近水体，引起水体悬浮物偏高。</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因此，在施工中应根据不同建筑材料和特点，有针对性的加强保护管理措施，尽量减小其对水环境的影响。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从以上分析可见，施工期主要可通过加强管理来减缓项目建设对水环境的影响。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bookmarkStart w:id="76" w:name="_Toc488681495"/>
      <w:bookmarkStart w:id="77" w:name="_Toc167678906"/>
      <w:bookmarkStart w:id="78" w:name="_Toc113868021"/>
      <w:bookmarkStart w:id="79" w:name="_Toc173403884"/>
      <w:bookmarkStart w:id="80" w:name="_Toc97432294"/>
      <w:bookmarkStart w:id="81" w:name="_Toc113939625"/>
      <w:bookmarkStart w:id="82" w:name="_Toc113867119"/>
      <w:r>
        <w:rPr>
          <w:rFonts w:hint="default" w:ascii="Times New Roman" w:hAnsi="Times New Roman" w:eastAsia="仿宋_GB2312" w:cs="Times New Roman"/>
          <w:color w:val="000000" w:themeColor="text1"/>
          <w:sz w:val="24"/>
          <w:lang w:val="en-US" w:eastAsia="zh-CN"/>
          <w14:textFill>
            <w14:solidFill>
              <w14:schemeClr w14:val="tx1"/>
            </w14:solidFill>
          </w14:textFill>
        </w:rPr>
        <w:t>b）环境空气影响预测</w:t>
      </w:r>
      <w:bookmarkEnd w:id="76"/>
    </w:p>
    <w:bookmarkEnd w:id="77"/>
    <w:bookmarkEnd w:id="78"/>
    <w:bookmarkEnd w:id="79"/>
    <w:bookmarkEnd w:id="80"/>
    <w:bookmarkEnd w:id="81"/>
    <w:bookmarkEnd w:id="82"/>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（一）工程施工期的主要环境空气污染物为扬尘。</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扬尘污染主要产生在施工前期基础开挖、填筑工程，以施工道路车辆运输引起的扬尘和施工区扬尘为主，据调查，该项目主要为道路扬尘及施工现场扬尘。</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①道路扬尘</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道路扬尘主要是由于施工车辆在施工道路上运输施工材料而引起，引起道路扬尘的因素较多，主要跟车辆行驶速度、风速、路面积尘量和路面积尘湿度有关，其中风速还直接影响到扬尘的传播距离。本项目的筑路材料如砂子、石料、水泥等采用汽车运输，项目影响区的主要运输公路是沿线交叉的国、省、县级道路，大多为水泥或沥青路面，路面扬尘不大，但从国、省、县道路到施工现场基本无路，均为便道，路面含尘量高，尤其在秋冬季节对周围环境的影响较大，施工期间对道路经常洒水，以减轻对周围环境的影响，经验表明，通过洒水可使道路扬尘量减少70%。</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②施工现场扬尘</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由于路基初期开挖及填方过程中由于表面土壤的暴露，在有风天气产生的扬尘影响，随着施工进程的不同，其对环境空气的影响程度也不同。本项目施工阶段施工扬尘对施工场界下风向有一定的影响，且路基施工阶段的影响程度大于施工后期路面工程阶段，必须落实环评报告提出的施工抑尘措施，规范施工人员作业，以有效减少起尘量，从而减小施工扬尘对周围农作物及居民点的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（二）营运期主要环境空气污染物</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sz w:val="24"/>
          <w:lang w:val="en-US" w:eastAsia="zh-CN"/>
          <w14:textFill>
            <w14:solidFill>
              <w14:schemeClr w14:val="tx1"/>
            </w14:solidFill>
          </w14:textFill>
        </w:rPr>
      </w:pPr>
      <w:r>
        <w:rPr>
          <w:rFonts w:hint="eastAsia" w:ascii="仿宋_GB2312" w:hAnsi="仿宋_GB2312" w:eastAsia="仿宋_GB2312" w:cs="仿宋_GB2312"/>
          <w:color w:val="000000" w:themeColor="text1"/>
          <w:sz w:val="24"/>
          <w:lang w:val="en-US" w:eastAsia="zh-CN"/>
          <w14:textFill>
            <w14:solidFill>
              <w14:schemeClr w14:val="tx1"/>
            </w14:solidFill>
          </w14:textFill>
        </w:rPr>
        <w:t xml:space="preserve">本项目营运期几乎无空气污染物产生。 </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c）声环境影响预测</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bookmarkStart w:id="83" w:name="_Toc173403877"/>
      <w:bookmarkStart w:id="84" w:name="_Toc112470890"/>
      <w:bookmarkStart w:id="85" w:name="_Toc102189762"/>
      <w:bookmarkStart w:id="86" w:name="_Toc132620856"/>
      <w:bookmarkStart w:id="87" w:name="_Toc164844937"/>
      <w:r>
        <w:rPr>
          <w:rFonts w:hint="default" w:ascii="Times New Roman" w:hAnsi="Times New Roman" w:eastAsia="仿宋_GB2312" w:cs="Times New Roman"/>
          <w:color w:val="000000" w:themeColor="text1"/>
          <w:sz w:val="24"/>
          <w:lang w:val="en-US" w:eastAsia="zh-CN"/>
          <w14:textFill>
            <w14:solidFill>
              <w14:schemeClr w14:val="tx1"/>
            </w14:solidFill>
          </w14:textFill>
        </w:rPr>
        <w:t>根据项目工程的施工特点，对噪声源分布的描述如下：</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●推土机、平地机等施工机械主要分布在项目用地范围内；</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●搅拌机主要集中在搅拌站；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●自卸式运输车主要行走于料场和建设用地之间的道路。</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根据项目施工特点，项目施工过程中基础施工对声环境的影响最为突出。</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基础施工：该阶段使用的施工机械包括装载机、推土机、平地机、挖掘机等，所产生的噪声是非连续的声源，声级高对声环境的影响较大。</w:t>
      </w:r>
    </w:p>
    <w:bookmarkEnd w:id="83"/>
    <w:bookmarkEnd w:id="84"/>
    <w:bookmarkEnd w:id="85"/>
    <w:bookmarkEnd w:id="86"/>
    <w:bookmarkEnd w:id="87"/>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cs="Times New Roman"/>
          <w:bCs w:val="0"/>
          <w:color w:val="000000" w:themeColor="text1"/>
          <w14:textFill>
            <w14:solidFill>
              <w14:schemeClr w14:val="tx1"/>
            </w14:solidFill>
          </w14:textFill>
        </w:rPr>
        <w:t xml:space="preserve">4.3.2 </w:t>
      </w:r>
      <w:r>
        <w:rPr>
          <w:rFonts w:hint="default" w:ascii="Times New Roman" w:hAnsi="Times New Roman" w:eastAsia="黑体" w:cs="Times New Roman"/>
          <w:bCs w:val="0"/>
          <w:color w:val="000000" w:themeColor="text1"/>
          <w:sz w:val="28"/>
          <w14:textFill>
            <w14:solidFill>
              <w14:schemeClr w14:val="tx1"/>
            </w14:solidFill>
          </w14:textFill>
        </w:rPr>
        <w:t>对社会环境的影响</w:t>
      </w:r>
      <w:r>
        <w:rPr>
          <w:rFonts w:hint="default" w:ascii="Times New Roman" w:hAnsi="Times New Roman" w:eastAsia="宋体" w:cs="Times New Roman"/>
          <w:color w:val="000000" w:themeColor="text1"/>
          <w:sz w:val="23"/>
          <w14:textFill>
            <w14:solidFill>
              <w14:schemeClr w14:val="tx1"/>
            </w14:solidFill>
          </w14:textFill>
        </w:rPr>
        <w:t xml:space="preserve"> </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本次项目整个施工过程前期准备的时间较长，施工期间，要占用</w:t>
      </w:r>
      <w:r>
        <w:rPr>
          <w:rFonts w:hint="eastAsia" w:eastAsia="仿宋_GB2312"/>
          <w:color w:val="000000" w:themeColor="text1"/>
          <w:sz w:val="24"/>
          <w:lang w:eastAsia="zh-CN"/>
          <w14:textFill>
            <w14:solidFill>
              <w14:schemeClr w14:val="tx1"/>
            </w14:solidFill>
          </w14:textFill>
        </w:rPr>
        <w:t>乡村</w:t>
      </w:r>
      <w:r>
        <w:rPr>
          <w:rFonts w:hint="eastAsia" w:eastAsia="仿宋_GB2312"/>
          <w:color w:val="000000" w:themeColor="text1"/>
          <w:sz w:val="24"/>
          <w14:textFill>
            <w14:solidFill>
              <w14:schemeClr w14:val="tx1"/>
            </w14:solidFill>
          </w14:textFill>
        </w:rPr>
        <w:t>道路，使</w:t>
      </w:r>
      <w:r>
        <w:rPr>
          <w:rFonts w:hint="eastAsia" w:eastAsia="仿宋_GB2312"/>
          <w:color w:val="000000" w:themeColor="text1"/>
          <w:sz w:val="24"/>
          <w:lang w:eastAsia="zh-CN"/>
          <w14:textFill>
            <w14:solidFill>
              <w14:schemeClr w14:val="tx1"/>
            </w14:solidFill>
          </w14:textFill>
        </w:rPr>
        <w:t>乡村</w:t>
      </w:r>
      <w:r>
        <w:rPr>
          <w:rFonts w:hint="eastAsia" w:eastAsia="仿宋_GB2312"/>
          <w:color w:val="000000" w:themeColor="text1"/>
          <w:sz w:val="24"/>
          <w14:textFill>
            <w14:solidFill>
              <w14:schemeClr w14:val="tx1"/>
            </w14:solidFill>
          </w14:textFill>
        </w:rPr>
        <w:t>交通受到干扰，将给</w:t>
      </w:r>
      <w:r>
        <w:rPr>
          <w:rFonts w:hint="eastAsia" w:eastAsia="仿宋_GB2312"/>
          <w:color w:val="000000" w:themeColor="text1"/>
          <w:sz w:val="24"/>
          <w:lang w:eastAsia="zh-CN"/>
          <w14:textFill>
            <w14:solidFill>
              <w14:schemeClr w14:val="tx1"/>
            </w14:solidFill>
          </w14:textFill>
        </w:rPr>
        <w:t>乡村</w:t>
      </w:r>
      <w:r>
        <w:rPr>
          <w:rFonts w:hint="eastAsia" w:eastAsia="仿宋_GB2312"/>
          <w:color w:val="000000" w:themeColor="text1"/>
          <w:sz w:val="24"/>
          <w14:textFill>
            <w14:solidFill>
              <w14:schemeClr w14:val="tx1"/>
            </w14:solidFill>
          </w14:textFill>
        </w:rPr>
        <w:t>居民的出行、工作带来影响和不便。本项目建设是一项大规模的基础设施建设，该项目的建设会对规划、经济、生活质量、基础设施、旅游等方面产生影响。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a</w:t>
      </w:r>
      <w:r>
        <w:rPr>
          <w:rFonts w:hint="eastAsia" w:eastAsia="仿宋_GB2312"/>
          <w:color w:val="000000" w:themeColor="text1"/>
          <w:sz w:val="24"/>
          <w14:textFill>
            <w14:solidFill>
              <w14:schemeClr w14:val="tx1"/>
            </w14:solidFill>
          </w14:textFill>
        </w:rPr>
        <w:t>）对居民生活的影响分析</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工程施工期间，工程施工可能会对</w:t>
      </w:r>
      <w:r>
        <w:rPr>
          <w:rFonts w:hint="eastAsia" w:eastAsia="仿宋_GB2312"/>
          <w:color w:val="000000" w:themeColor="text1"/>
          <w:sz w:val="24"/>
          <w:lang w:eastAsia="zh-CN"/>
          <w14:textFill>
            <w14:solidFill>
              <w14:schemeClr w14:val="tx1"/>
            </w14:solidFill>
          </w14:textFill>
        </w:rPr>
        <w:t>乡村</w:t>
      </w:r>
      <w:r>
        <w:rPr>
          <w:rFonts w:hint="eastAsia" w:eastAsia="仿宋_GB2312"/>
          <w:color w:val="000000" w:themeColor="text1"/>
          <w:sz w:val="24"/>
          <w14:textFill>
            <w14:solidFill>
              <w14:schemeClr w14:val="tx1"/>
            </w14:solidFill>
          </w14:textFill>
        </w:rPr>
        <w:t>交通受到干扰，造成</w:t>
      </w:r>
      <w:r>
        <w:rPr>
          <w:rFonts w:hint="eastAsia" w:eastAsia="仿宋_GB2312"/>
          <w:color w:val="000000" w:themeColor="text1"/>
          <w:sz w:val="24"/>
          <w:lang w:eastAsia="zh-CN"/>
          <w14:textFill>
            <w14:solidFill>
              <w14:schemeClr w14:val="tx1"/>
            </w14:solidFill>
          </w14:textFill>
        </w:rPr>
        <w:t>乡村</w:t>
      </w:r>
      <w:r>
        <w:rPr>
          <w:rFonts w:hint="eastAsia" w:eastAsia="仿宋_GB2312"/>
          <w:color w:val="000000" w:themeColor="text1"/>
          <w:sz w:val="24"/>
          <w14:textFill>
            <w14:solidFill>
              <w14:schemeClr w14:val="tx1"/>
            </w14:solidFill>
          </w14:textFill>
        </w:rPr>
        <w:t>道路交通堵塞、拥挤，有些路段还会暂时中断交通，采取绕行等临时措施，公交线路也重新布设，还将给居民的出行、工作和生活带来影响及不便。施工过程中不可避免的将影响地面和地下各种管线和管线，如给排水管道、煤气管道、热力管道、通讯电力管线等，这部分管线和管道要改迁改移，但不会中断使用，不会影响市民的正常使用。</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b</w:t>
      </w:r>
      <w:r>
        <w:rPr>
          <w:rFonts w:hint="eastAsia" w:eastAsia="仿宋_GB2312"/>
          <w:color w:val="000000" w:themeColor="text1"/>
          <w:sz w:val="24"/>
          <w14:textFill>
            <w14:solidFill>
              <w14:schemeClr w14:val="tx1"/>
            </w14:solidFill>
          </w14:textFill>
        </w:rPr>
        <w:t>）运营期影响分析</w:t>
      </w:r>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工程实施可</w:t>
      </w:r>
      <w:r>
        <w:rPr>
          <w:rFonts w:hint="eastAsia" w:eastAsia="仿宋_GB2312"/>
          <w:color w:val="000000" w:themeColor="text1"/>
          <w:sz w:val="24"/>
          <w:lang w:eastAsia="zh-CN"/>
          <w14:textFill>
            <w14:solidFill>
              <w14:schemeClr w14:val="tx1"/>
            </w14:solidFill>
          </w14:textFill>
        </w:rPr>
        <w:t>确保疏勒县、伽师县农业灌溉引水，提高渠首的灌溉引水保证率，</w:t>
      </w:r>
      <w:r>
        <w:rPr>
          <w:rFonts w:hint="eastAsia" w:eastAsia="仿宋_GB2312"/>
          <w:color w:val="000000" w:themeColor="text1"/>
          <w:sz w:val="24"/>
          <w:lang w:val="en-US" w:eastAsia="zh-CN"/>
          <w14:textFill>
            <w14:solidFill>
              <w14:schemeClr w14:val="tx1"/>
            </w14:solidFill>
          </w14:textFill>
        </w:rPr>
        <w:t>同时提高</w:t>
      </w:r>
      <w:r>
        <w:rPr>
          <w:rFonts w:hint="eastAsia" w:eastAsia="仿宋_GB2312"/>
          <w:color w:val="000000" w:themeColor="text1"/>
          <w:sz w:val="24"/>
          <w:lang w:eastAsia="zh-CN"/>
          <w14:textFill>
            <w14:solidFill>
              <w14:schemeClr w14:val="tx1"/>
            </w14:solidFill>
          </w14:textFill>
        </w:rPr>
        <w:t>防洪减灾</w:t>
      </w:r>
      <w:r>
        <w:rPr>
          <w:rFonts w:hint="eastAsia" w:eastAsia="仿宋_GB2312"/>
          <w:color w:val="000000" w:themeColor="text1"/>
          <w:sz w:val="24"/>
          <w:lang w:val="en-US" w:eastAsia="zh-CN"/>
          <w14:textFill>
            <w14:solidFill>
              <w14:schemeClr w14:val="tx1"/>
            </w14:solidFill>
          </w14:textFill>
        </w:rPr>
        <w:t>能力，现需要</w:t>
      </w:r>
      <w:r>
        <w:rPr>
          <w:rFonts w:hint="eastAsia" w:eastAsia="仿宋_GB2312"/>
          <w:color w:val="000000" w:themeColor="text1"/>
          <w:sz w:val="24"/>
          <w:lang w:eastAsia="zh-CN"/>
          <w14:textFill>
            <w14:solidFill>
              <w14:schemeClr w14:val="tx1"/>
            </w14:solidFill>
          </w14:textFill>
        </w:rPr>
        <w:t>对渠首进行除险加固，消除渠首的安全隐患。</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改善当地灌溉条件，可增加职工群众收入，进而促进农村经济结构的调整和生产经营方式的转变，有效带动片区的经济发展。为发挥当地资源优势，提高农业综合生产能力，促进当地经济发展和农民增收的需要。更好的发挥节水型农业的示范作用。同时，项目通过渠道防渗工程，可改善项目区灌溉条件，实行科学合理灌水，为节水型农业建设起到示范作用，为促进农业增产、职工增收做出贡献</w:t>
      </w:r>
      <w:r>
        <w:rPr>
          <w:rFonts w:hint="eastAsia" w:eastAsia="仿宋_GB2312"/>
          <w:color w:val="000000" w:themeColor="text1"/>
          <w:sz w:val="24"/>
          <w:lang w:eastAsia="zh-CN"/>
          <w14:textFill>
            <w14:solidFill>
              <w14:schemeClr w14:val="tx1"/>
            </w14:solidFill>
          </w14:textFill>
        </w:rPr>
        <w:t>，故</w:t>
      </w:r>
      <w:r>
        <w:rPr>
          <w:rFonts w:hint="eastAsia" w:eastAsia="仿宋_GB2312"/>
          <w:color w:val="000000" w:themeColor="text1"/>
          <w:sz w:val="24"/>
          <w:lang w:val="en-US" w:eastAsia="zh-CN"/>
          <w14:textFill>
            <w14:solidFill>
              <w14:schemeClr w14:val="tx1"/>
            </w14:solidFill>
          </w14:textFill>
        </w:rPr>
        <w:t>实施</w:t>
      </w:r>
      <w:r>
        <w:rPr>
          <w:rFonts w:hint="eastAsia" w:eastAsia="仿宋_GB2312" w:cs="Times New Roman"/>
          <w:color w:val="000000" w:themeColor="text1"/>
          <w:sz w:val="24"/>
          <w:szCs w:val="24"/>
          <w:lang w:val="en-US" w:eastAsia="zh-CN"/>
          <w14:textFill>
            <w14:solidFill>
              <w14:schemeClr w14:val="tx1"/>
            </w14:solidFill>
          </w14:textFill>
        </w:rPr>
        <w:t>新疆克孜河大桥渠首除险加固工程</w:t>
      </w:r>
      <w:r>
        <w:rPr>
          <w:rFonts w:hint="eastAsia" w:eastAsia="仿宋_GB2312"/>
          <w:color w:val="000000" w:themeColor="text1"/>
          <w:sz w:val="24"/>
          <w14:textFill>
            <w14:solidFill>
              <w14:schemeClr w14:val="tx1"/>
            </w14:solidFill>
          </w14:textFill>
        </w:rPr>
        <w:t>。</w:t>
      </w:r>
    </w:p>
    <w:p>
      <w:pPr>
        <w:pStyle w:val="5"/>
        <w:pageBreakBefore w:val="0"/>
        <w:widowControl w:val="0"/>
        <w:kinsoku/>
        <w:wordWrap/>
        <w:overflowPunct/>
        <w:topLinePunct w:val="0"/>
        <w:bidi w:val="0"/>
        <w:adjustRightInd w:val="0"/>
        <w:snapToGrid w:val="0"/>
        <w:spacing w:before="0" w:after="0" w:line="360" w:lineRule="auto"/>
        <w:ind w:left="0" w:leftChars="0" w:right="0" w:rightChars="0"/>
        <w:jc w:val="both"/>
        <w:textAlignment w:val="auto"/>
        <w:rPr>
          <w:rFonts w:hint="default" w:ascii="Times New Roman" w:hAnsi="Times New Roman" w:cs="Times New Roman"/>
          <w:b w:val="0"/>
          <w:bCs w:val="0"/>
          <w:color w:val="000000" w:themeColor="text1"/>
          <w:sz w:val="30"/>
          <w:szCs w:val="30"/>
          <w:lang w:val="en-US" w:eastAsia="zh-CN"/>
          <w14:textFill>
            <w14:solidFill>
              <w14:schemeClr w14:val="tx1"/>
            </w14:solidFill>
          </w14:textFill>
        </w:rPr>
      </w:pPr>
      <w:r>
        <w:rPr>
          <w:rFonts w:hint="default" w:ascii="Times New Roman" w:hAnsi="Times New Roman" w:cs="Times New Roman"/>
          <w:b w:val="0"/>
          <w:bCs w:val="0"/>
          <w:color w:val="000000" w:themeColor="text1"/>
          <w:sz w:val="30"/>
          <w:szCs w:val="30"/>
          <w:lang w:val="en-US" w:eastAsia="zh-CN"/>
          <w14:textFill>
            <w14:solidFill>
              <w14:schemeClr w14:val="tx1"/>
            </w14:solidFill>
          </w14:textFill>
        </w:rPr>
        <w:t>4.4 土地复垦适宜性评价</w:t>
      </w:r>
      <w:bookmarkEnd w:id="61"/>
      <w:bookmarkEnd w:id="62"/>
      <w:bookmarkEnd w:id="63"/>
      <w:bookmarkEnd w:id="64"/>
      <w:bookmarkEnd w:id="65"/>
      <w:bookmarkEnd w:id="74"/>
      <w:bookmarkEnd w:id="75"/>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适宜性评价是针对复垦区的损毁土地进行的潜在的适宜性评价，根据损毁土地的自然属性和损毁状况，适当对社会经济因素作为背景条件，来评定未来土地复垦治理后对农、林、牧及其他利用方向的适宜性及适宜程度、限制性及限制程度，是一种预测性的土地适宜性评价</w:t>
      </w:r>
      <w:r>
        <w:rPr>
          <w:rFonts w:hint="eastAsia" w:eastAsia="仿宋_GB2312"/>
          <w:color w:val="000000" w:themeColor="text1"/>
          <w:sz w:val="24"/>
          <w:lang w:eastAsia="zh-CN"/>
          <w14:textFill>
            <w14:solidFill>
              <w14:schemeClr w14:val="tx1"/>
            </w14:solidFill>
          </w14:textFill>
        </w:rPr>
        <w:t>。</w:t>
      </w:r>
    </w:p>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hint="eastAsia" w:ascii="黑体" w:hAnsi="黑体" w:eastAsia="黑体" w:cs="黑体"/>
          <w:b w:val="0"/>
          <w:bCs w:val="0"/>
          <w:color w:val="000000" w:themeColor="text1"/>
          <w:sz w:val="28"/>
          <w14:textFill>
            <w14:solidFill>
              <w14:schemeClr w14:val="tx1"/>
            </w14:solidFill>
          </w14:textFill>
        </w:rPr>
      </w:pPr>
      <w:r>
        <w:rPr>
          <w:rFonts w:hint="eastAsia" w:ascii="黑体" w:hAnsi="黑体" w:eastAsia="黑体" w:cs="黑体"/>
          <w:b w:val="0"/>
          <w:bCs w:val="0"/>
          <w:color w:val="000000" w:themeColor="text1"/>
          <w:sz w:val="28"/>
          <w14:textFill>
            <w14:solidFill>
              <w14:schemeClr w14:val="tx1"/>
            </w14:solidFill>
          </w14:textFill>
        </w:rPr>
        <w:t>4.4.1 评价原则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Cs/>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a</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综合性与主导性原则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用地区土地破坏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的反映破坏土地的适应性。</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b</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稳定性原则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用地区破坏土地是一个变与不变的对立统一体，一方面组成破坏土地的要素及质量在不断的变化。另一方面，其特征在一定时间内保持稳定。评价过程中尽量选择那些性质相对稳定且能反映土地质量的因子。以保证评价结果在较长时间内具有指导性和实用性。</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c</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实用性原则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为使评价结果符合实际，增强评价结果的实用性和可操作性，评价方法是尽量采用简单、实用的原则进行。</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e</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最佳效益原则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确定复垦利用方向应以最小投入取得最佳的经济、社会和生态效益为原则，兼顾区域土地利用的总体要求，发挥土地复垦的整体效益。</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e</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动态性和持续性发展的原则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项目区土地破坏是一个动态过程，复垦土地的适宜性应随破坏过程而变化，具有动态性。从土地利用的过程看，土地复垦必须着眼于可持续发展原则，应保证所选用土地的利用方向具有持续生产能力，防止掠夺式利用农牧业资源二次污染问题。同时，在确定土地复垦方向时，尽量与原有（或周边）土地利用类型或土地利用总体规划相一致，恢复土地原有功能，保持与土地利用总体规划相统一。</w:t>
      </w:r>
    </w:p>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eastAsia="黑体"/>
          <w:bCs w:val="0"/>
          <w:color w:val="000000" w:themeColor="text1"/>
          <w:sz w:val="28"/>
          <w14:textFill>
            <w14:solidFill>
              <w14:schemeClr w14:val="tx1"/>
            </w14:solidFill>
          </w14:textFill>
        </w:rPr>
      </w:pPr>
      <w:r>
        <w:rPr>
          <w:rFonts w:eastAsia="黑体"/>
          <w:bCs w:val="0"/>
          <w:color w:val="000000" w:themeColor="text1"/>
          <w:sz w:val="28"/>
          <w14:textFill>
            <w14:solidFill>
              <w14:schemeClr w14:val="tx1"/>
            </w14:solidFill>
          </w14:textFill>
        </w:rPr>
        <w:t>4.4.2 评价依据</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综合</w:t>
      </w:r>
      <w:r>
        <w:rPr>
          <w:rFonts w:hint="eastAsia" w:eastAsia="仿宋_GB2312"/>
          <w:color w:val="000000" w:themeColor="text1"/>
          <w:sz w:val="24"/>
          <w:lang w:eastAsia="zh-CN"/>
          <w14:textFill>
            <w14:solidFill>
              <w14:schemeClr w14:val="tx1"/>
            </w14:solidFill>
          </w14:textFill>
        </w:rPr>
        <w:t>新疆克孜河大桥渠首除险加固工程工程</w:t>
      </w:r>
      <w:r>
        <w:rPr>
          <w:rFonts w:eastAsia="仿宋_GB2312"/>
          <w:color w:val="000000" w:themeColor="text1"/>
          <w:sz w:val="24"/>
          <w14:textFill>
            <w14:solidFill>
              <w14:schemeClr w14:val="tx1"/>
            </w14:solidFill>
          </w14:textFill>
        </w:rPr>
        <w:t>相关参数，参照土地损毁程度分析结果和国家、地方的规划和行业标准，并结合项目所在区域自然地理条件及邻近区域其它项目的复垦经验，采取切实可行的方法，改善被损毁土地的生态环境，确定损毁土地复垦方向，其主要参照前述相关的法律法规、土地复垦相关规程和标准。</w:t>
      </w:r>
    </w:p>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eastAsia="黑体"/>
          <w:color w:val="000000" w:themeColor="text1"/>
          <w:sz w:val="28"/>
          <w14:textFill>
            <w14:solidFill>
              <w14:schemeClr w14:val="tx1"/>
            </w14:solidFill>
          </w14:textFill>
        </w:rPr>
      </w:pPr>
      <w:bookmarkStart w:id="88" w:name="_Toc383432805"/>
      <w:bookmarkStart w:id="89" w:name="_Toc383432901"/>
      <w:bookmarkStart w:id="90" w:name="_Toc309127536"/>
      <w:r>
        <w:rPr>
          <w:rFonts w:eastAsia="黑体"/>
          <w:color w:val="000000" w:themeColor="text1"/>
          <w:sz w:val="28"/>
          <w14:textFill>
            <w14:solidFill>
              <w14:schemeClr w14:val="tx1"/>
            </w14:solidFill>
          </w14:textFill>
        </w:rPr>
        <w:t>4.4.3 评价单元的选择</w:t>
      </w:r>
      <w:bookmarkEnd w:id="88"/>
      <w:bookmarkEnd w:id="89"/>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val="0"/>
          <w:bCs/>
          <w:color w:val="000000" w:themeColor="text1"/>
          <w:sz w:val="24"/>
          <w14:textFill>
            <w14:solidFill>
              <w14:schemeClr w14:val="tx1"/>
            </w14:solidFill>
          </w14:textFill>
        </w:rPr>
      </w:pPr>
      <w:bookmarkStart w:id="91" w:name="_Toc383432806"/>
      <w:bookmarkStart w:id="92" w:name="_Toc383432902"/>
      <w:r>
        <w:rPr>
          <w:rFonts w:hint="eastAsia" w:eastAsia="黑体"/>
          <w:b w:val="0"/>
          <w:bCs/>
          <w:color w:val="000000" w:themeColor="text1"/>
          <w:sz w:val="24"/>
          <w14:textFill>
            <w14:solidFill>
              <w14:schemeClr w14:val="tx1"/>
            </w14:solidFill>
          </w14:textFill>
        </w:rPr>
        <w:t>a</w:t>
      </w:r>
      <w:r>
        <w:rPr>
          <w:rFonts w:eastAsia="黑体"/>
          <w:b w:val="0"/>
          <w:bCs/>
          <w:color w:val="000000" w:themeColor="text1"/>
          <w:sz w:val="24"/>
          <w14:textFill>
            <w14:solidFill>
              <w14:schemeClr w14:val="tx1"/>
            </w14:solidFill>
          </w14:textFill>
        </w:rPr>
        <w:t>）</w:t>
      </w:r>
      <w:r>
        <w:rPr>
          <w:rFonts w:hint="eastAsia" w:ascii="黑体" w:hAnsi="黑体" w:eastAsia="黑体" w:cs="黑体"/>
          <w:b w:val="0"/>
          <w:bCs/>
          <w:color w:val="000000" w:themeColor="text1"/>
          <w:sz w:val="24"/>
          <w14:textFill>
            <w14:solidFill>
              <w14:schemeClr w14:val="tx1"/>
            </w14:solidFill>
          </w14:textFill>
        </w:rPr>
        <w:t>评价单元划分原则</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eastAsia="仿宋_GB2312"/>
          <w:b w:val="0"/>
          <w:bCs/>
          <w:color w:val="000000" w:themeColor="text1"/>
          <w:sz w:val="24"/>
          <w14:textFill>
            <w14:solidFill>
              <w14:schemeClr w14:val="tx1"/>
            </w14:solidFill>
          </w14:textFill>
        </w:rPr>
        <w:t>按土地损毁范围、影响程度，综合考虑复垦土地损毁前的利用类型、土壤类型、地块单元特征尽量一致原则进行。</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hint="eastAsia" w:eastAsia="仿宋_GB2312"/>
          <w:b w:val="0"/>
          <w:bCs/>
          <w:color w:val="000000" w:themeColor="text1"/>
          <w:sz w:val="24"/>
          <w14:textFill>
            <w14:solidFill>
              <w14:schemeClr w14:val="tx1"/>
            </w14:solidFill>
          </w14:textFill>
        </w:rPr>
        <w:t>1)</w:t>
      </w:r>
      <w:r>
        <w:rPr>
          <w:rFonts w:eastAsia="仿宋_GB2312"/>
          <w:b w:val="0"/>
          <w:bCs/>
          <w:color w:val="000000" w:themeColor="text1"/>
          <w:sz w:val="24"/>
          <w14:textFill>
            <w14:solidFill>
              <w14:schemeClr w14:val="tx1"/>
            </w14:solidFill>
          </w14:textFill>
        </w:rPr>
        <w:t>地块面积应尽可能大，地块数目应尽量少；</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hint="eastAsia" w:eastAsia="仿宋_GB2312"/>
          <w:b w:val="0"/>
          <w:bCs/>
          <w:color w:val="000000" w:themeColor="text1"/>
          <w:sz w:val="24"/>
          <w14:textFill>
            <w14:solidFill>
              <w14:schemeClr w14:val="tx1"/>
            </w14:solidFill>
          </w14:textFill>
        </w:rPr>
        <w:t>2)</w:t>
      </w:r>
      <w:r>
        <w:rPr>
          <w:rFonts w:eastAsia="仿宋_GB2312"/>
          <w:b w:val="0"/>
          <w:bCs/>
          <w:color w:val="000000" w:themeColor="text1"/>
          <w:sz w:val="24"/>
          <w14:textFill>
            <w14:solidFill>
              <w14:schemeClr w14:val="tx1"/>
            </w14:solidFill>
          </w14:textFill>
        </w:rPr>
        <w:t>每一地块倾斜方向和坡度基本一致；损毁形式及损毁程度一致；</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hint="eastAsia" w:eastAsia="仿宋_GB2312"/>
          <w:b w:val="0"/>
          <w:bCs/>
          <w:color w:val="000000" w:themeColor="text1"/>
          <w:sz w:val="24"/>
          <w14:textFill>
            <w14:solidFill>
              <w14:schemeClr w14:val="tx1"/>
            </w14:solidFill>
          </w14:textFill>
        </w:rPr>
        <w:t>3)</w:t>
      </w:r>
      <w:r>
        <w:rPr>
          <w:rFonts w:eastAsia="仿宋_GB2312"/>
          <w:b w:val="0"/>
          <w:bCs/>
          <w:color w:val="000000" w:themeColor="text1"/>
          <w:sz w:val="24"/>
          <w14:textFill>
            <w14:solidFill>
              <w14:schemeClr w14:val="tx1"/>
            </w14:solidFill>
          </w14:textFill>
        </w:rPr>
        <w:t>项目区田面平面形状应以矩形为主；</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hint="eastAsia" w:eastAsia="仿宋_GB2312"/>
          <w:b w:val="0"/>
          <w:bCs/>
          <w:color w:val="000000" w:themeColor="text1"/>
          <w:sz w:val="24"/>
          <w14:textFill>
            <w14:solidFill>
              <w14:schemeClr w14:val="tx1"/>
            </w14:solidFill>
          </w14:textFill>
        </w:rPr>
        <w:t>4)</w:t>
      </w:r>
      <w:r>
        <w:rPr>
          <w:rFonts w:eastAsia="仿宋_GB2312"/>
          <w:b w:val="0"/>
          <w:bCs/>
          <w:color w:val="000000" w:themeColor="text1"/>
          <w:sz w:val="24"/>
          <w14:textFill>
            <w14:solidFill>
              <w14:schemeClr w14:val="tx1"/>
            </w14:solidFill>
          </w14:textFill>
        </w:rPr>
        <w:t>以原有土地利用类型地块为准。</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val="0"/>
          <w:bCs/>
          <w:color w:val="000000" w:themeColor="text1"/>
          <w:sz w:val="24"/>
          <w14:textFill>
            <w14:solidFill>
              <w14:schemeClr w14:val="tx1"/>
            </w14:solidFill>
          </w14:textFill>
        </w:rPr>
      </w:pPr>
      <w:r>
        <w:rPr>
          <w:rFonts w:hint="eastAsia" w:eastAsia="黑体"/>
          <w:b w:val="0"/>
          <w:bCs/>
          <w:color w:val="000000" w:themeColor="text1"/>
          <w:sz w:val="24"/>
          <w:lang w:val="en-US" w:eastAsia="zh-CN"/>
          <w14:textFill>
            <w14:solidFill>
              <w14:schemeClr w14:val="tx1"/>
            </w14:solidFill>
          </w14:textFill>
        </w:rPr>
        <w:t>b</w:t>
      </w:r>
      <w:r>
        <w:rPr>
          <w:rFonts w:eastAsia="黑体"/>
          <w:b w:val="0"/>
          <w:bCs/>
          <w:color w:val="000000" w:themeColor="text1"/>
          <w:sz w:val="24"/>
          <w14:textFill>
            <w14:solidFill>
              <w14:schemeClr w14:val="tx1"/>
            </w14:solidFill>
          </w14:textFill>
        </w:rPr>
        <w:t>）</w:t>
      </w:r>
      <w:r>
        <w:rPr>
          <w:rFonts w:hint="eastAsia" w:ascii="仿宋_GB2312" w:hAnsi="仿宋_GB2312" w:eastAsia="仿宋_GB2312" w:cs="仿宋_GB2312"/>
          <w:b w:val="0"/>
          <w:bCs/>
          <w:color w:val="000000" w:themeColor="text1"/>
          <w:sz w:val="24"/>
          <w14:textFill>
            <w14:solidFill>
              <w14:schemeClr w14:val="tx1"/>
            </w14:solidFill>
          </w14:textFill>
        </w:rPr>
        <w:t>评价单元划分</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hint="eastAsia" w:eastAsia="仿宋_GB2312"/>
          <w:b w:val="0"/>
          <w:bCs/>
          <w:color w:val="000000" w:themeColor="text1"/>
          <w:sz w:val="24"/>
          <w:lang w:eastAsia="zh-CN"/>
          <w14:textFill>
            <w14:solidFill>
              <w14:schemeClr w14:val="tx1"/>
            </w14:solidFill>
          </w14:textFill>
        </w:rPr>
        <w:t>新疆克孜河大桥渠首除险加固工程临时用地工程</w:t>
      </w:r>
      <w:r>
        <w:rPr>
          <w:rFonts w:eastAsia="仿宋_GB2312"/>
          <w:b w:val="0"/>
          <w:bCs/>
          <w:color w:val="000000" w:themeColor="text1"/>
          <w:sz w:val="24"/>
          <w14:textFill>
            <w14:solidFill>
              <w14:schemeClr w14:val="tx1"/>
            </w14:solidFill>
          </w14:textFill>
        </w:rPr>
        <w:t>建设过程中主要对临时建设用地造成以压占为主的损毁形式。由于土地的自然属性、经济属性以及生产能力等差异性而使得不同土地利用类型具有特定的利用适宜性。由于土地适宜性评价对象范围</w:t>
      </w:r>
      <w:r>
        <w:rPr>
          <w:rFonts w:hint="eastAsia" w:eastAsia="仿宋_GB2312"/>
          <w:b w:val="0"/>
          <w:bCs/>
          <w:color w:val="000000" w:themeColor="text1"/>
          <w:sz w:val="24"/>
          <w14:textFill>
            <w14:solidFill>
              <w14:schemeClr w14:val="tx1"/>
            </w14:solidFill>
          </w14:textFill>
        </w:rPr>
        <w:t>大</w:t>
      </w:r>
      <w:r>
        <w:rPr>
          <w:rFonts w:eastAsia="仿宋_GB2312"/>
          <w:b w:val="0"/>
          <w:bCs/>
          <w:color w:val="000000" w:themeColor="text1"/>
          <w:sz w:val="24"/>
          <w14:textFill>
            <w14:solidFill>
              <w14:schemeClr w14:val="tx1"/>
            </w14:solidFill>
          </w14:textFill>
        </w:rPr>
        <w:t>，经过初步分析认为本次项目区土地类型</w:t>
      </w:r>
      <w:r>
        <w:rPr>
          <w:rFonts w:hint="eastAsia" w:eastAsia="仿宋_GB2312"/>
          <w:b w:val="0"/>
          <w:bCs/>
          <w:color w:val="000000" w:themeColor="text1"/>
          <w:sz w:val="24"/>
          <w14:textFill>
            <w14:solidFill>
              <w14:schemeClr w14:val="tx1"/>
            </w14:solidFill>
          </w14:textFill>
        </w:rPr>
        <w:t>复杂</w:t>
      </w:r>
      <w:r>
        <w:rPr>
          <w:rFonts w:eastAsia="仿宋_GB2312"/>
          <w:b w:val="0"/>
          <w:bCs/>
          <w:color w:val="000000" w:themeColor="text1"/>
          <w:sz w:val="24"/>
          <w14:textFill>
            <w14:solidFill>
              <w14:schemeClr w14:val="tx1"/>
            </w14:solidFill>
          </w14:textFill>
        </w:rPr>
        <w:t>，单元内自然、社会经济条件相对</w:t>
      </w:r>
      <w:r>
        <w:rPr>
          <w:rFonts w:hint="eastAsia" w:eastAsia="仿宋_GB2312"/>
          <w:b w:val="0"/>
          <w:bCs/>
          <w:color w:val="000000" w:themeColor="text1"/>
          <w:sz w:val="24"/>
          <w14:textFill>
            <w14:solidFill>
              <w14:schemeClr w14:val="tx1"/>
            </w14:solidFill>
          </w14:textFill>
        </w:rPr>
        <w:t>复杂</w:t>
      </w:r>
      <w:r>
        <w:rPr>
          <w:rFonts w:eastAsia="仿宋_GB2312"/>
          <w:b w:val="0"/>
          <w:bCs/>
          <w:color w:val="000000" w:themeColor="text1"/>
          <w:sz w:val="24"/>
          <w14:textFill>
            <w14:solidFill>
              <w14:schemeClr w14:val="tx1"/>
            </w14:solidFill>
          </w14:textFill>
        </w:rPr>
        <w:t>，因此本次复垦的评价单元依照土地损毁类型、程度和因素来划分。</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eastAsia="仿宋_GB2312"/>
          <w:b w:val="0"/>
          <w:bCs/>
          <w:color w:val="000000" w:themeColor="text1"/>
          <w:sz w:val="24"/>
          <w:vertAlign w:val="baseline"/>
          <w:lang w:eastAsia="zh-CN"/>
          <w14:textFill>
            <w14:solidFill>
              <w14:schemeClr w14:val="tx1"/>
            </w14:solidFill>
          </w14:textFill>
        </w:rPr>
      </w:pPr>
      <w:r>
        <w:rPr>
          <w:rFonts w:hint="eastAsia" w:eastAsia="仿宋_GB2312"/>
          <w:b w:val="0"/>
          <w:bCs/>
          <w:color w:val="000000" w:themeColor="text1"/>
          <w:sz w:val="24"/>
          <w14:textFill>
            <w14:solidFill>
              <w14:schemeClr w14:val="tx1"/>
            </w14:solidFill>
          </w14:textFill>
        </w:rPr>
        <w:t>该项目</w:t>
      </w:r>
      <w:r>
        <w:rPr>
          <w:rFonts w:eastAsia="仿宋_GB2312"/>
          <w:b w:val="0"/>
          <w:bCs/>
          <w:color w:val="000000" w:themeColor="text1"/>
          <w:sz w:val="24"/>
          <w14:textFill>
            <w14:solidFill>
              <w14:schemeClr w14:val="tx1"/>
            </w14:solidFill>
          </w14:textFill>
        </w:rPr>
        <w:t>建设</w:t>
      </w:r>
      <w:r>
        <w:rPr>
          <w:rFonts w:hint="eastAsia" w:eastAsia="仿宋_GB2312"/>
          <w:b w:val="0"/>
          <w:bCs/>
          <w:color w:val="000000" w:themeColor="text1"/>
          <w:sz w:val="24"/>
          <w:lang w:eastAsia="zh-CN"/>
          <w14:textFill>
            <w14:solidFill>
              <w14:schemeClr w14:val="tx1"/>
            </w14:solidFill>
          </w14:textFill>
        </w:rPr>
        <w:t>性质，将项目区临时用地划分为</w:t>
      </w:r>
      <w:r>
        <w:rPr>
          <w:rFonts w:hint="eastAsia" w:eastAsia="仿宋_GB2312"/>
          <w:b w:val="0"/>
          <w:bCs/>
          <w:color w:val="000000" w:themeColor="text1"/>
          <w:sz w:val="24"/>
          <w:lang w:val="en-US" w:eastAsia="zh-CN"/>
          <w14:textFill>
            <w14:solidFill>
              <w14:schemeClr w14:val="tx1"/>
            </w14:solidFill>
          </w14:textFill>
        </w:rPr>
        <w:t>三个</w:t>
      </w:r>
      <w:r>
        <w:rPr>
          <w:rFonts w:hint="eastAsia" w:eastAsia="仿宋_GB2312"/>
          <w:b w:val="0"/>
          <w:bCs/>
          <w:color w:val="000000" w:themeColor="text1"/>
          <w:sz w:val="24"/>
          <w:lang w:eastAsia="zh-CN"/>
          <w14:textFill>
            <w14:solidFill>
              <w14:schemeClr w14:val="tx1"/>
            </w14:solidFill>
          </w14:textFill>
        </w:rPr>
        <w:t>评价单元，即：</w:t>
      </w:r>
      <w:r>
        <w:rPr>
          <w:rFonts w:hint="eastAsia" w:ascii="仿宋_GB2312" w:eastAsia="仿宋_GB2312"/>
          <w:b w:val="0"/>
          <w:bCs/>
          <w:color w:val="000000" w:themeColor="text1"/>
          <w:sz w:val="24"/>
          <w:lang w:eastAsia="zh-CN"/>
          <w14:textFill>
            <w14:solidFill>
              <w14:schemeClr w14:val="tx1"/>
            </w14:solidFill>
          </w14:textFill>
        </w:rPr>
        <w:t>材料堆场、制梁厂、施工驻地（</w:t>
      </w:r>
      <w:r>
        <w:rPr>
          <w:rFonts w:hint="eastAsia" w:ascii="仿宋_GB2312" w:eastAsia="仿宋_GB2312"/>
          <w:b w:val="0"/>
          <w:bCs/>
          <w:color w:val="000000" w:themeColor="text1"/>
          <w:sz w:val="24"/>
          <w:lang w:val="en-US" w:eastAsia="zh-CN"/>
          <w14:textFill>
            <w14:solidFill>
              <w14:schemeClr w14:val="tx1"/>
            </w14:solidFill>
          </w14:textFill>
        </w:rPr>
        <w:t>耕地区、种植园用地区</w:t>
      </w:r>
      <w:r>
        <w:rPr>
          <w:rFonts w:hint="eastAsia" w:ascii="仿宋_GB2312" w:eastAsia="仿宋_GB2312"/>
          <w:b w:val="0"/>
          <w:bCs/>
          <w:color w:val="000000" w:themeColor="text1"/>
          <w:sz w:val="24"/>
          <w:lang w:eastAsia="zh-CN"/>
          <w14:textFill>
            <w14:solidFill>
              <w14:schemeClr w14:val="tx1"/>
            </w14:solidFill>
          </w14:textFill>
        </w:rPr>
        <w:t>）</w:t>
      </w:r>
      <w:r>
        <w:rPr>
          <w:rFonts w:hint="eastAsia" w:eastAsia="仿宋_GB2312"/>
          <w:b w:val="0"/>
          <w:bCs/>
          <w:color w:val="000000" w:themeColor="text1"/>
          <w:sz w:val="24"/>
          <w:lang w:eastAsia="zh-CN"/>
          <w14:textFill>
            <w14:solidFill>
              <w14:schemeClr w14:val="tx1"/>
            </w14:solidFill>
          </w14:textFill>
        </w:rPr>
        <w:t>、</w:t>
      </w:r>
      <w:r>
        <w:rPr>
          <w:rFonts w:hint="eastAsia" w:ascii="仿宋_GB2312" w:eastAsia="仿宋_GB2312"/>
          <w:b w:val="0"/>
          <w:bCs/>
          <w:color w:val="000000" w:themeColor="text1"/>
          <w:sz w:val="24"/>
          <w:lang w:eastAsia="zh-CN"/>
          <w14:textFill>
            <w14:solidFill>
              <w14:schemeClr w14:val="tx1"/>
            </w14:solidFill>
          </w14:textFill>
        </w:rPr>
        <w:t>材料堆场、制梁厂、施工驻地（</w:t>
      </w:r>
      <w:r>
        <w:rPr>
          <w:rFonts w:hint="eastAsia" w:ascii="仿宋_GB2312" w:eastAsia="仿宋_GB2312"/>
          <w:b w:val="0"/>
          <w:bCs/>
          <w:color w:val="000000" w:themeColor="text1"/>
          <w:sz w:val="24"/>
          <w:lang w:val="en-US" w:eastAsia="zh-CN"/>
          <w14:textFill>
            <w14:solidFill>
              <w14:schemeClr w14:val="tx1"/>
            </w14:solidFill>
          </w14:textFill>
        </w:rPr>
        <w:t>林地区</w:t>
      </w:r>
      <w:r>
        <w:rPr>
          <w:rFonts w:hint="eastAsia" w:ascii="仿宋_GB2312" w:eastAsia="仿宋_GB2312"/>
          <w:b w:val="0"/>
          <w:bCs/>
          <w:color w:val="000000" w:themeColor="text1"/>
          <w:sz w:val="24"/>
          <w:lang w:eastAsia="zh-CN"/>
          <w14:textFill>
            <w14:solidFill>
              <w14:schemeClr w14:val="tx1"/>
            </w14:solidFill>
          </w14:textFill>
        </w:rPr>
        <w:t>）</w:t>
      </w:r>
      <w:r>
        <w:rPr>
          <w:rFonts w:hint="eastAsia" w:eastAsia="仿宋_GB2312"/>
          <w:b w:val="0"/>
          <w:bCs/>
          <w:color w:val="000000" w:themeColor="text1"/>
          <w:sz w:val="24"/>
          <w:lang w:eastAsia="zh-CN"/>
          <w14:textFill>
            <w14:solidFill>
              <w14:schemeClr w14:val="tx1"/>
            </w14:solidFill>
          </w14:textFill>
        </w:rPr>
        <w:t>、</w:t>
      </w:r>
      <w:r>
        <w:rPr>
          <w:rFonts w:hint="eastAsia" w:ascii="仿宋_GB2312" w:eastAsia="仿宋_GB2312"/>
          <w:b w:val="0"/>
          <w:bCs/>
          <w:color w:val="000000" w:themeColor="text1"/>
          <w:sz w:val="24"/>
          <w:lang w:eastAsia="zh-CN"/>
          <w14:textFill>
            <w14:solidFill>
              <w14:schemeClr w14:val="tx1"/>
            </w14:solidFill>
          </w14:textFill>
        </w:rPr>
        <w:t>材料堆场、制梁厂、施工驻地（</w:t>
      </w:r>
      <w:r>
        <w:rPr>
          <w:rFonts w:hint="eastAsia" w:ascii="仿宋_GB2312" w:eastAsia="仿宋_GB2312"/>
          <w:b w:val="0"/>
          <w:bCs/>
          <w:color w:val="000000" w:themeColor="text1"/>
          <w:sz w:val="24"/>
          <w:lang w:val="en-US" w:eastAsia="zh-CN"/>
          <w14:textFill>
            <w14:solidFill>
              <w14:schemeClr w14:val="tx1"/>
            </w14:solidFill>
          </w14:textFill>
        </w:rPr>
        <w:t>其他类型用地区</w:t>
      </w:r>
      <w:r>
        <w:rPr>
          <w:rFonts w:hint="eastAsia" w:ascii="仿宋_GB2312" w:eastAsia="仿宋_GB2312"/>
          <w:b w:val="0"/>
          <w:bCs/>
          <w:color w:val="000000" w:themeColor="text1"/>
          <w:sz w:val="24"/>
          <w:lang w:eastAsia="zh-CN"/>
          <w14:textFill>
            <w14:solidFill>
              <w14:schemeClr w14:val="tx1"/>
            </w14:solidFill>
          </w14:textFill>
        </w:rPr>
        <w:t>）</w:t>
      </w:r>
      <w:r>
        <w:rPr>
          <w:rFonts w:hint="eastAsia" w:eastAsia="仿宋_GB2312"/>
          <w:b w:val="0"/>
          <w:bCs/>
          <w:color w:val="000000" w:themeColor="text1"/>
          <w:kern w:val="0"/>
          <w:sz w:val="24"/>
          <w:lang w:eastAsia="zh-CN"/>
          <w14:textFill>
            <w14:solidFill>
              <w14:schemeClr w14:val="tx1"/>
            </w14:solidFill>
          </w14:textFill>
        </w:rPr>
        <w:t>。</w:t>
      </w:r>
    </w:p>
    <w:p>
      <w:pPr>
        <w:pStyle w:val="6"/>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jc w:val="both"/>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4.4.4 评价方法及评价因子选择</w:t>
      </w:r>
      <w:bookmarkEnd w:id="91"/>
      <w:bookmarkEnd w:id="92"/>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a</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评价方法</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有关土地复垦适宜性评价目前主要有专家评价法、经济判断指数法、极限条件法和多因素模糊综合评价法等几种。</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根据《土地复垦方案编制规程第6部分：建设项目》（TD/T103.6</w:t>
      </w:r>
      <w:r>
        <w:rPr>
          <w:rFonts w:hint="eastAsia" w:eastAsia="仿宋_GB2312"/>
          <w:color w:val="000000" w:themeColor="text1"/>
          <w:sz w:val="24"/>
          <w:lang w:eastAsia="zh-CN"/>
          <w14:textFill>
            <w14:solidFill>
              <w14:schemeClr w14:val="tx1"/>
            </w14:solidFill>
          </w14:textFill>
        </w:rPr>
        <w:t>-</w:t>
      </w:r>
      <w:r>
        <w:rPr>
          <w:rFonts w:eastAsia="仿宋_GB2312"/>
          <w:color w:val="000000" w:themeColor="text1"/>
          <w:sz w:val="24"/>
          <w14:textFill>
            <w14:solidFill>
              <w14:schemeClr w14:val="tx1"/>
            </w14:solidFill>
          </w14:textFill>
        </w:rPr>
        <w:t>2011）中对建设项目土地复垦适宜性评价的相关说明，建设项目土地复垦方案中的土地复垦适宜性评价在评价过程、内容及要求等方面可以简化。结合用地区地表土地损毁特征以及区域自然环境、社会环境特点，本复垦方案土地适宜性评价采用极限条件法进行，即按土地类型基本要求，对比损毁土地的特征，并结合附近用地区土地复垦经验和科学经济的复垦措施，确定复垦方向。</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hint="eastAsia" w:ascii="黑体" w:hAnsi="黑体" w:eastAsia="黑体" w:cs="黑体"/>
          <w:bCs/>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b</w:t>
      </w:r>
      <w:r>
        <w:rPr>
          <w:rFonts w:eastAsia="黑体"/>
          <w:color w:val="000000" w:themeColor="text1"/>
          <w:sz w:val="24"/>
          <w14:textFill>
            <w14:solidFill>
              <w14:schemeClr w14:val="tx1"/>
            </w14:solidFill>
          </w14:textFill>
        </w:rPr>
        <w:t>）</w:t>
      </w:r>
      <w:r>
        <w:rPr>
          <w:rFonts w:hint="eastAsia" w:ascii="仿宋_GB2312" w:hAnsi="仿宋_GB2312" w:eastAsia="仿宋_GB2312" w:cs="仿宋_GB2312"/>
          <w:bCs/>
          <w:color w:val="000000" w:themeColor="text1"/>
          <w:sz w:val="24"/>
          <w14:textFill>
            <w14:solidFill>
              <w14:schemeClr w14:val="tx1"/>
            </w14:solidFill>
          </w14:textFill>
        </w:rPr>
        <w:t>评价因子及评价标准</w:t>
      </w:r>
    </w:p>
    <w:p>
      <w:pPr>
        <w:pageBreakBefore w:val="0"/>
        <w:widowControl w:val="0"/>
        <w:kinsoku/>
        <w:wordWrap/>
        <w:overflowPunct/>
        <w:topLinePunct w:val="0"/>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根据用地区所在区域自然环境特征、结合用地区土地损毁特点、土地类型等有关指标，参阅同类地区用地区损毁土地适宜性评价和复垦经验，本复垦方案土地适宜性评价限制因子选取主要考虑以下几个方面指标：用地区土地损毁类型和损毁程度、土地损毁前的利用状况、损毁土地复垦的客观条件</w:t>
      </w:r>
      <w:r>
        <w:rPr>
          <w:rFonts w:hint="eastAsia" w:eastAsia="仿宋_GB2312"/>
          <w:color w:val="000000" w:themeColor="text1"/>
          <w:sz w:val="24"/>
          <w14:textFill>
            <w14:solidFill>
              <w14:schemeClr w14:val="tx1"/>
            </w14:solidFill>
          </w14:textFill>
        </w:rPr>
        <w:t>，土地复垦适宜性评价限制因素分级标准见</w:t>
      </w:r>
      <w:r>
        <w:rPr>
          <w:rFonts w:eastAsia="仿宋_GB2312"/>
          <w:color w:val="000000" w:themeColor="text1"/>
          <w:sz w:val="24"/>
          <w14:textFill>
            <w14:solidFill>
              <w14:schemeClr w14:val="tx1"/>
            </w14:solidFill>
          </w14:textFill>
        </w:rPr>
        <w:t>表4</w:t>
      </w:r>
      <w:r>
        <w:rPr>
          <w:rFonts w:hint="eastAsia" w:eastAsia="仿宋_GB2312"/>
          <w:color w:val="000000" w:themeColor="text1"/>
          <w:sz w:val="24"/>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6</w:t>
      </w:r>
      <w:r>
        <w:rPr>
          <w:rFonts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表4</w:t>
      </w:r>
      <w:r>
        <w:rPr>
          <w:rFonts w:hint="eastAsia" w:eastAsia="黑体"/>
          <w:color w:val="000000" w:themeColor="text1"/>
          <w:szCs w:val="21"/>
          <w14:textFill>
            <w14:solidFill>
              <w14:schemeClr w14:val="tx1"/>
            </w14:solidFill>
          </w14:textFill>
        </w:rPr>
        <w:t>-</w:t>
      </w:r>
      <w:r>
        <w:rPr>
          <w:rFonts w:hint="eastAsia" w:eastAsia="黑体"/>
          <w:color w:val="000000" w:themeColor="text1"/>
          <w:szCs w:val="21"/>
          <w:lang w:val="en-US" w:eastAsia="zh-CN"/>
          <w14:textFill>
            <w14:solidFill>
              <w14:schemeClr w14:val="tx1"/>
            </w14:solidFill>
          </w14:textFill>
        </w:rPr>
        <w:t>6</w:t>
      </w:r>
      <w:r>
        <w:rPr>
          <w:rFonts w:eastAsia="黑体"/>
          <w:color w:val="000000" w:themeColor="text1"/>
          <w:szCs w:val="21"/>
          <w14:textFill>
            <w14:solidFill>
              <w14:schemeClr w14:val="tx1"/>
            </w14:solidFill>
          </w14:textFill>
        </w:rPr>
        <w:t xml:space="preserve">  适宜性评价限制因素分级标准</w:t>
      </w:r>
    </w:p>
    <w:tbl>
      <w:tblPr>
        <w:tblStyle w:val="20"/>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640"/>
        <w:gridCol w:w="1649"/>
        <w:gridCol w:w="1621"/>
        <w:gridCol w:w="1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限制因素和指标划分</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农业评价</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林业评价</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牧业评价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地形坡度(°)</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＜6</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7</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15</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15</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25</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＞25</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土壤有机质(g/kg)</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＞8</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8</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5</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4</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1</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三级或不宜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二级或三级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三级或不宜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排水条件</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偶尔淹没、排水好</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季节性淹没、排水好</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季节性长期淹没、排水差</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三级或不宜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长期淹没、排水差</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灌溉条件</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有稳定灌溉条件的干旱、半干旱土地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灌溉条件差的干旱、半干旱土地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损毁程度</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轻度</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中度</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重度</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盐碱化程度</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14:textFill>
                  <w14:solidFill>
                    <w14:schemeClr w14:val="tx1"/>
                  </w14:solidFill>
                </w14:textFill>
              </w:rPr>
              <w:t>土壤含盐总量(干土重%) </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val="en-US"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w:t>
            </w:r>
            <w:r>
              <w:rPr>
                <w:rFonts w:hint="eastAsia" w:eastAsia="楷体_GB2312"/>
                <w:color w:val="000000" w:themeColor="text1"/>
                <w:kern w:val="0"/>
                <w:szCs w:val="21"/>
                <w:lang w:val="en-US" w:eastAsia="zh-CN"/>
                <w14:textFill>
                  <w14:solidFill>
                    <w14:schemeClr w14:val="tx1"/>
                  </w14:solidFill>
                </w14:textFill>
              </w:rPr>
              <w:t>0.3</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二</w:t>
            </w:r>
            <w:r>
              <w:rPr>
                <w:rFonts w:eastAsia="楷体_GB2312"/>
                <w:color w:val="000000" w:themeColor="text1"/>
                <w:kern w:val="0"/>
                <w:szCs w:val="21"/>
                <w14:textFill>
                  <w14:solidFill>
                    <w14:schemeClr w14:val="tx1"/>
                  </w14:solidFill>
                </w14:textFill>
              </w:rPr>
              <w:t>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val="en-US" w:eastAsia="zh-CN"/>
                <w14:textFill>
                  <w14:solidFill>
                    <w14:schemeClr w14:val="tx1"/>
                  </w14:solidFill>
                </w14:textFill>
              </w:rPr>
            </w:pPr>
            <w:r>
              <w:rPr>
                <w:rFonts w:hint="eastAsia" w:eastAsia="楷体_GB2312"/>
                <w:color w:val="000000" w:themeColor="text1"/>
                <w:kern w:val="0"/>
                <w:szCs w:val="21"/>
                <w:lang w:val="en-US" w:eastAsia="zh-CN"/>
                <w14:textFill>
                  <w14:solidFill>
                    <w14:schemeClr w14:val="tx1"/>
                  </w14:solidFill>
                </w14:textFill>
              </w:rPr>
              <w:t>0.3</w:t>
            </w:r>
            <w:r>
              <w:rPr>
                <w:rFonts w:hint="eastAsia" w:eastAsia="楷体_GB2312"/>
                <w:color w:val="000000" w:themeColor="text1"/>
                <w:kern w:val="0"/>
                <w:szCs w:val="21"/>
                <w:lang w:eastAsia="zh-CN"/>
                <w14:textFill>
                  <w14:solidFill>
                    <w14:schemeClr w14:val="tx1"/>
                  </w14:solidFill>
                </w14:textFill>
              </w:rPr>
              <w:t>-</w:t>
            </w:r>
            <w:r>
              <w:rPr>
                <w:rFonts w:hint="eastAsia" w:eastAsia="楷体_GB2312"/>
                <w:color w:val="000000" w:themeColor="text1"/>
                <w:kern w:val="0"/>
                <w:szCs w:val="21"/>
                <w:lang w:val="en-US" w:eastAsia="zh-CN"/>
                <w14:textFill>
                  <w14:solidFill>
                    <w14:schemeClr w14:val="tx1"/>
                  </w14:solidFill>
                </w14:textFill>
              </w:rPr>
              <w:t>0.5</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val="en-US" w:eastAsia="zh-CN"/>
                <w14:textFill>
                  <w14:solidFill>
                    <w14:schemeClr w14:val="tx1"/>
                  </w14:solidFill>
                </w14:textFill>
              </w:rPr>
            </w:pPr>
            <w:r>
              <w:rPr>
                <w:rFonts w:hint="eastAsia" w:eastAsia="楷体_GB2312"/>
                <w:color w:val="000000" w:themeColor="text1"/>
                <w:kern w:val="0"/>
                <w:szCs w:val="21"/>
                <w:lang w:val="en-US" w:eastAsia="zh-CN"/>
                <w14:textFill>
                  <w14:solidFill>
                    <w14:schemeClr w14:val="tx1"/>
                  </w14:solidFill>
                </w14:textFill>
              </w:rPr>
              <w:t>0.5</w:t>
            </w:r>
            <w:r>
              <w:rPr>
                <w:rFonts w:hint="eastAsia" w:eastAsia="楷体_GB2312"/>
                <w:color w:val="000000" w:themeColor="text1"/>
                <w:kern w:val="0"/>
                <w:szCs w:val="21"/>
                <w:lang w:eastAsia="zh-CN"/>
                <w14:textFill>
                  <w14:solidFill>
                    <w14:schemeClr w14:val="tx1"/>
                  </w14:solidFill>
                </w14:textFill>
              </w:rPr>
              <w:t>-</w:t>
            </w:r>
            <w:r>
              <w:rPr>
                <w:rFonts w:hint="eastAsia" w:eastAsia="楷体_GB2312"/>
                <w:color w:val="000000" w:themeColor="text1"/>
                <w:kern w:val="0"/>
                <w:szCs w:val="21"/>
                <w:lang w:val="en-US" w:eastAsia="zh-CN"/>
                <w14:textFill>
                  <w14:solidFill>
                    <w14:schemeClr w14:val="tx1"/>
                  </w14:solidFill>
                </w14:textFill>
              </w:rPr>
              <w:t>1.0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val="en-US"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w:t>
            </w:r>
            <w:r>
              <w:rPr>
                <w:rFonts w:hint="eastAsia" w:eastAsia="楷体_GB2312"/>
                <w:color w:val="000000" w:themeColor="text1"/>
                <w:kern w:val="0"/>
                <w:szCs w:val="21"/>
                <w:lang w:val="en-US" w:eastAsia="zh-CN"/>
                <w14:textFill>
                  <w14:solidFill>
                    <w14:schemeClr w14:val="tx1"/>
                  </w14:solidFill>
                </w14:textFill>
              </w:rPr>
              <w:t>1.0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不宜</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val="en-US" w:eastAsia="zh-CN"/>
                <w14:textFill>
                  <w14:solidFill>
                    <w14:schemeClr w14:val="tx1"/>
                  </w14:solidFill>
                </w14:textFill>
              </w:rPr>
              <w:t>土壤质地</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粘壤土-壤质粘土</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壤质砂土-粘壤土</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砂质粘土-壤质砂土</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val="en-US" w:eastAsia="zh-CN"/>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砂土-砂质粘土</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hint="eastAsia" w:eastAsia="楷体_GB2312"/>
                <w:color w:val="000000" w:themeColor="text1"/>
                <w:kern w:val="0"/>
                <w:szCs w:val="21"/>
                <w:lang w:eastAsia="zh-CN"/>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有效土层厚度（cm）</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＞60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60</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30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30</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20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二级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hint="eastAsia" w:eastAsia="楷体_GB2312"/>
                <w:color w:val="000000" w:themeColor="text1"/>
                <w:kern w:val="0"/>
                <w:szCs w:val="21"/>
                <w:lang w:val="en-US" w:eastAsia="zh-CN"/>
                <w14:textFill>
                  <w14:solidFill>
                    <w14:schemeClr w14:val="tx1"/>
                  </w14:solidFill>
                </w14:textFill>
              </w:rPr>
              <w:t>10</w:t>
            </w:r>
            <w:r>
              <w:rPr>
                <w:rFonts w:hint="eastAsia" w:eastAsia="楷体_GB2312"/>
                <w:color w:val="000000" w:themeColor="text1"/>
                <w:kern w:val="0"/>
                <w:szCs w:val="21"/>
                <w:lang w:eastAsia="zh-CN"/>
                <w14:textFill>
                  <w14:solidFill>
                    <w14:schemeClr w14:val="tx1"/>
                  </w14:solidFill>
                </w14:textFill>
              </w:rPr>
              <w:t>-</w:t>
            </w:r>
            <w:r>
              <w:rPr>
                <w:rFonts w:eastAsia="楷体_GB2312"/>
                <w:color w:val="000000" w:themeColor="text1"/>
                <w:kern w:val="0"/>
                <w:szCs w:val="21"/>
                <w14:textFill>
                  <w14:solidFill>
                    <w14:schemeClr w14:val="tx1"/>
                  </w14:solidFill>
                </w14:textFill>
              </w:rPr>
              <w:t>20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eastAsia="楷体_GB2312"/>
                <w:color w:val="000000" w:themeColor="text1"/>
                <w:kern w:val="0"/>
                <w:szCs w:val="21"/>
                <w:lang w:eastAsia="zh-CN"/>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bookmarkStart w:id="93" w:name="_Toc383432903"/>
            <w:bookmarkStart w:id="94" w:name="_Toc383432807"/>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eastAsia="楷体_GB2312"/>
                <w:color w:val="000000" w:themeColor="text1"/>
                <w:kern w:val="0"/>
                <w:szCs w:val="21"/>
                <w:lang w:val="en-US" w:eastAsia="zh-CN"/>
                <w14:textFill>
                  <w14:solidFill>
                    <w14:schemeClr w14:val="tx1"/>
                  </w14:solidFill>
                </w14:textFill>
              </w:rPr>
            </w:pPr>
            <w:r>
              <w:rPr>
                <w:rFonts w:eastAsia="楷体_GB2312"/>
                <w:color w:val="000000" w:themeColor="text1"/>
                <w:kern w:val="0"/>
                <w:szCs w:val="21"/>
                <w14:textFill>
                  <w14:solidFill>
                    <w14:schemeClr w14:val="tx1"/>
                  </w14:solidFill>
                </w14:textFill>
              </w:rPr>
              <w:t>＜</w:t>
            </w:r>
            <w:r>
              <w:rPr>
                <w:rFonts w:hint="eastAsia" w:eastAsia="楷体_GB2312"/>
                <w:color w:val="000000" w:themeColor="text1"/>
                <w:kern w:val="0"/>
                <w:szCs w:val="21"/>
                <w:lang w:val="en-US" w:eastAsia="zh-CN"/>
                <w14:textFill>
                  <w14:solidFill>
                    <w14:schemeClr w14:val="tx1"/>
                  </w14:solidFill>
                </w14:textFill>
              </w:rPr>
              <w:t>10</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r>
              <w:rPr>
                <w:rFonts w:eastAsia="楷体_GB2312"/>
                <w:color w:val="000000" w:themeColor="text1"/>
                <w:kern w:val="0"/>
                <w:szCs w:val="21"/>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原土地利用类型</w:t>
            </w: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耕地、园地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一级</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林地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一级</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草地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二</w:t>
            </w:r>
            <w:r>
              <w:rPr>
                <w:rFonts w:eastAsia="楷体_GB2312"/>
                <w:b w:val="0"/>
                <w:bCs/>
                <w:color w:val="000000" w:themeColor="text1"/>
                <w:kern w:val="0"/>
                <w:szCs w:val="21"/>
                <w14:textFill>
                  <w14:solidFill>
                    <w14:schemeClr w14:val="tx1"/>
                  </w14:solidFill>
                </w14:textFill>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5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楷体_GB2312"/>
                <w:color w:val="000000" w:themeColor="text1"/>
                <w:kern w:val="0"/>
                <w:szCs w:val="21"/>
                <w14:textFill>
                  <w14:solidFill>
                    <w14:schemeClr w14:val="tx1"/>
                  </w14:solidFill>
                </w14:textFill>
              </w:rPr>
            </w:pPr>
          </w:p>
        </w:tc>
        <w:tc>
          <w:tcPr>
            <w:tcW w:w="26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hint="eastAsia" w:eastAsia="楷体_GB2312"/>
                <w:b w:val="0"/>
                <w:bCs/>
                <w:color w:val="000000" w:themeColor="text1"/>
                <w:kern w:val="0"/>
                <w:szCs w:val="21"/>
                <w:lang w:val="en-US" w:eastAsia="zh-CN"/>
                <w14:textFill>
                  <w14:solidFill>
                    <w14:schemeClr w14:val="tx1"/>
                  </w14:solidFill>
                </w14:textFill>
              </w:rPr>
              <w:t>其他类型土地</w:t>
            </w:r>
          </w:p>
        </w:tc>
        <w:tc>
          <w:tcPr>
            <w:tcW w:w="16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c>
          <w:tcPr>
            <w:tcW w:w="157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楷体_GB2312" w:cs="Times New Roman"/>
                <w:b w:val="0"/>
                <w:bCs/>
                <w:color w:val="000000" w:themeColor="text1"/>
                <w:kern w:val="0"/>
                <w:sz w:val="21"/>
                <w:szCs w:val="21"/>
                <w:lang w:val="en-US" w:eastAsia="zh-CN" w:bidi="ar-SA"/>
                <w14:textFill>
                  <w14:solidFill>
                    <w14:schemeClr w14:val="tx1"/>
                  </w14:solidFill>
                </w14:textFill>
              </w:rPr>
            </w:pPr>
            <w:r>
              <w:rPr>
                <w:rFonts w:eastAsia="楷体_GB2312"/>
                <w:b w:val="0"/>
                <w:bCs/>
                <w:color w:val="000000" w:themeColor="text1"/>
                <w:kern w:val="0"/>
                <w:szCs w:val="21"/>
                <w14:textFill>
                  <w14:solidFill>
                    <w14:schemeClr w14:val="tx1"/>
                  </w14:solidFill>
                </w14:textFill>
              </w:rPr>
              <w:t>不宜</w:t>
            </w:r>
          </w:p>
        </w:tc>
      </w:tr>
    </w:tbl>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 xml:space="preserve">4.4.5 </w:t>
      </w:r>
      <w:bookmarkEnd w:id="93"/>
      <w:bookmarkEnd w:id="94"/>
      <w:r>
        <w:rPr>
          <w:rFonts w:eastAsia="黑体"/>
          <w:color w:val="000000" w:themeColor="text1"/>
          <w:sz w:val="28"/>
          <w14:textFill>
            <w14:solidFill>
              <w14:schemeClr w14:val="tx1"/>
            </w14:solidFill>
          </w14:textFill>
        </w:rPr>
        <w:t>评价结果及复垦方向</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bookmarkStart w:id="95" w:name="_Toc31521"/>
      <w:bookmarkStart w:id="96" w:name="_Toc383531819"/>
      <w:r>
        <w:rPr>
          <w:rFonts w:eastAsia="仿宋_GB2312"/>
          <w:b w:val="0"/>
          <w:bCs/>
          <w:color w:val="000000" w:themeColor="text1"/>
          <w:sz w:val="24"/>
          <w14:textFill>
            <w14:solidFill>
              <w14:schemeClr w14:val="tx1"/>
            </w14:solidFill>
          </w14:textFill>
        </w:rPr>
        <w:t>根据上述土地适宜性评价原则、评价方法、评价标准、评价单元划分以及主导适宜性等，对用地区损毁土地进行适宜性评价，评价结果见表4</w:t>
      </w:r>
      <w:r>
        <w:rPr>
          <w:rFonts w:hint="eastAsia" w:eastAsia="仿宋_GB2312"/>
          <w:b w:val="0"/>
          <w:bCs/>
          <w:color w:val="000000" w:themeColor="text1"/>
          <w:sz w:val="24"/>
          <w14:textFill>
            <w14:solidFill>
              <w14:schemeClr w14:val="tx1"/>
            </w14:solidFill>
          </w14:textFill>
        </w:rPr>
        <w:t>-</w:t>
      </w:r>
      <w:r>
        <w:rPr>
          <w:rFonts w:hint="eastAsia" w:eastAsia="仿宋_GB2312"/>
          <w:b w:val="0"/>
          <w:bCs/>
          <w:color w:val="000000" w:themeColor="text1"/>
          <w:sz w:val="24"/>
          <w:lang w:val="en-US" w:eastAsia="zh-CN"/>
          <w14:textFill>
            <w14:solidFill>
              <w14:schemeClr w14:val="tx1"/>
            </w14:solidFill>
          </w14:textFill>
        </w:rPr>
        <w:t>7</w:t>
      </w:r>
      <w:r>
        <w:rPr>
          <w:rFonts w:eastAsia="仿宋_GB2312"/>
          <w:b w:val="0"/>
          <w:bCs/>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b w:val="0"/>
          <w:bCs/>
          <w:color w:val="000000" w:themeColor="text1"/>
          <w:sz w:val="24"/>
          <w14:textFill>
            <w14:solidFill>
              <w14:schemeClr w14:val="tx1"/>
            </w14:solidFill>
          </w14:textFill>
        </w:rPr>
      </w:pPr>
      <w:r>
        <w:rPr>
          <w:rFonts w:eastAsia="仿宋_GB2312"/>
          <w:b w:val="0"/>
          <w:bCs/>
          <w:color w:val="000000" w:themeColor="text1"/>
          <w:sz w:val="24"/>
          <w14:textFill>
            <w14:solidFill>
              <w14:schemeClr w14:val="tx1"/>
            </w14:solidFill>
          </w14:textFill>
        </w:rPr>
        <w:t>根据上述确定的指标分析，经过现场调查综合考虑复垦责任范围将来土地损毁程度、有效土层厚度、灌溉条件、排水条件、土壤有机质、地形坡度以及项目区所在区域的土地</w:t>
      </w:r>
      <w:r>
        <w:rPr>
          <w:rFonts w:hint="eastAsia" w:eastAsia="仿宋_GB2312"/>
          <w:b w:val="0"/>
          <w:bCs/>
          <w:color w:val="000000" w:themeColor="text1"/>
          <w:sz w:val="24"/>
          <w:lang w:eastAsia="zh-CN"/>
          <w14:textFill>
            <w14:solidFill>
              <w14:schemeClr w14:val="tx1"/>
            </w14:solidFill>
          </w14:textFill>
        </w:rPr>
        <w:t>利用总体规划等确定土地利用方向</w:t>
      </w:r>
      <w:r>
        <w:rPr>
          <w:rFonts w:eastAsia="仿宋_GB2312"/>
          <w:b w:val="0"/>
          <w:bCs/>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jc w:val="center"/>
        <w:rPr>
          <w:rFonts w:eastAsia="黑体"/>
          <w:b w:val="0"/>
          <w:bCs/>
          <w:color w:val="000000" w:themeColor="text1"/>
          <w:szCs w:val="21"/>
          <w14:textFill>
            <w14:solidFill>
              <w14:schemeClr w14:val="tx1"/>
            </w14:solidFill>
          </w14:textFill>
        </w:rPr>
      </w:pPr>
      <w:r>
        <w:rPr>
          <w:rFonts w:eastAsia="黑体"/>
          <w:b w:val="0"/>
          <w:bCs/>
          <w:color w:val="000000" w:themeColor="text1"/>
          <w:szCs w:val="21"/>
          <w14:textFill>
            <w14:solidFill>
              <w14:schemeClr w14:val="tx1"/>
            </w14:solidFill>
          </w14:textFill>
        </w:rPr>
        <w:t>表4</w:t>
      </w:r>
      <w:r>
        <w:rPr>
          <w:rFonts w:hint="eastAsia" w:eastAsia="黑体"/>
          <w:b w:val="0"/>
          <w:bCs/>
          <w:color w:val="000000" w:themeColor="text1"/>
          <w:szCs w:val="21"/>
          <w14:textFill>
            <w14:solidFill>
              <w14:schemeClr w14:val="tx1"/>
            </w14:solidFill>
          </w14:textFill>
        </w:rPr>
        <w:t>-</w:t>
      </w:r>
      <w:r>
        <w:rPr>
          <w:rFonts w:hint="eastAsia" w:eastAsia="黑体"/>
          <w:b w:val="0"/>
          <w:bCs/>
          <w:color w:val="000000" w:themeColor="text1"/>
          <w:szCs w:val="21"/>
          <w:lang w:val="en-US" w:eastAsia="zh-CN"/>
          <w14:textFill>
            <w14:solidFill>
              <w14:schemeClr w14:val="tx1"/>
            </w14:solidFill>
          </w14:textFill>
        </w:rPr>
        <w:t>7</w:t>
      </w:r>
      <w:r>
        <w:rPr>
          <w:rFonts w:eastAsia="黑体"/>
          <w:b w:val="0"/>
          <w:bCs/>
          <w:color w:val="000000" w:themeColor="text1"/>
          <w:szCs w:val="21"/>
          <w14:textFill>
            <w14:solidFill>
              <w14:schemeClr w14:val="tx1"/>
            </w14:solidFill>
          </w14:textFill>
        </w:rPr>
        <w:t xml:space="preserve"> 土地适宜性评价结果表</w:t>
      </w:r>
    </w:p>
    <w:tbl>
      <w:tblPr>
        <w:tblStyle w:val="20"/>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2134"/>
        <w:gridCol w:w="1022"/>
        <w:gridCol w:w="1022"/>
        <w:gridCol w:w="1024"/>
        <w:gridCol w:w="705"/>
        <w:gridCol w:w="702"/>
        <w:gridCol w:w="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原</w:t>
            </w: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耕地、种植园用地</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部分</w:t>
            </w:r>
          </w:p>
        </w:tc>
        <w:tc>
          <w:tcPr>
            <w:tcW w:w="3068"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2047"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适宜性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限制因子</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农业评价</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林业评价</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牧业评价</w:t>
            </w:r>
          </w:p>
        </w:tc>
        <w:tc>
          <w:tcPr>
            <w:tcW w:w="7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宜耕</w:t>
            </w:r>
          </w:p>
        </w:tc>
        <w:tc>
          <w:tcPr>
            <w:tcW w:w="70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宜林</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地形坡度(°)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6</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w:t>
            </w:r>
          </w:p>
        </w:tc>
        <w:tc>
          <w:tcPr>
            <w:tcW w:w="70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不宜</w:t>
            </w:r>
          </w:p>
        </w:tc>
        <w:tc>
          <w:tcPr>
            <w:tcW w:w="64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土壤有机质(</w:t>
            </w:r>
            <w:r>
              <w:rPr>
                <w:rFonts w:hint="eastAsia" w:ascii="仿宋_GB2312" w:hAnsi="宋体" w:eastAsia="仿宋_GB2312" w:cs="仿宋_GB2312"/>
                <w:b w:val="0"/>
                <w:bCs/>
                <w:color w:val="000000" w:themeColor="text1"/>
                <w:kern w:val="0"/>
                <w:sz w:val="21"/>
                <w:szCs w:val="21"/>
                <w:lang w:eastAsia="zh-CN" w:bidi="ar"/>
                <w14:textFill>
                  <w14:solidFill>
                    <w14:schemeClr w14:val="tx1"/>
                  </w14:solidFill>
                </w14:textFill>
              </w:rPr>
              <w:t>克/千克</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8</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5</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排水条件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偶尔淹没，排水好</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灌溉条件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灌溉条件差的干旱土地</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有效土层厚度</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(cm)</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30～20</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损毁程度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中度</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土壤质地</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砂土</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砂质粘土</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土壤含盐总量(干土重%) </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0.5</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1.0</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原土地利用类型</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林地</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原林地部分</w:t>
            </w:r>
          </w:p>
        </w:tc>
        <w:tc>
          <w:tcPr>
            <w:tcW w:w="3068"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2047"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适宜性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限制因子</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农业评价</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林业评价</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牧业评价</w:t>
            </w:r>
          </w:p>
        </w:tc>
        <w:tc>
          <w:tcPr>
            <w:tcW w:w="7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宜耕</w:t>
            </w:r>
          </w:p>
        </w:tc>
        <w:tc>
          <w:tcPr>
            <w:tcW w:w="70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宜林</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地形坡度(°)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6</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70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w:t>
            </w:r>
          </w:p>
        </w:tc>
        <w:tc>
          <w:tcPr>
            <w:tcW w:w="64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土壤有机质(</w:t>
            </w:r>
            <w:r>
              <w:rPr>
                <w:rFonts w:hint="eastAsia" w:ascii="仿宋_GB2312" w:hAnsi="宋体" w:eastAsia="仿宋_GB2312" w:cs="仿宋_GB2312"/>
                <w:b w:val="0"/>
                <w:bCs/>
                <w:color w:val="000000" w:themeColor="text1"/>
                <w:kern w:val="0"/>
                <w:sz w:val="21"/>
                <w:szCs w:val="21"/>
                <w:lang w:eastAsia="zh-CN" w:bidi="ar"/>
                <w14:textFill>
                  <w14:solidFill>
                    <w14:schemeClr w14:val="tx1"/>
                  </w14:solidFill>
                </w14:textFill>
              </w:rPr>
              <w:t>克/千克</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8</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5</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排水条件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偶尔淹没，排水好</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灌溉条件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灌溉条件差的干旱土地</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有效土层厚度</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(cm)</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30～20</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损毁程度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中度</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土壤质地</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砂土</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砂质粘土</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土壤含盐总量(干土重%) </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0.5</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1.0</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原土地利用类型</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林地</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其他区域</w:t>
            </w:r>
          </w:p>
        </w:tc>
        <w:tc>
          <w:tcPr>
            <w:tcW w:w="3068"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2047"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适宜性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956"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限制因子</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农业评价</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林业评价</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牧业评价</w:t>
            </w:r>
          </w:p>
        </w:tc>
        <w:tc>
          <w:tcPr>
            <w:tcW w:w="70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宜耕</w:t>
            </w:r>
          </w:p>
        </w:tc>
        <w:tc>
          <w:tcPr>
            <w:tcW w:w="70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宜林</w:t>
            </w:r>
          </w:p>
        </w:tc>
        <w:tc>
          <w:tcPr>
            <w:tcW w:w="6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宜草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地形坡度(°)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6</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70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640"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土壤有机质(</w:t>
            </w:r>
            <w:r>
              <w:rPr>
                <w:rFonts w:hint="eastAsia" w:ascii="仿宋_GB2312" w:hAnsi="宋体" w:eastAsia="仿宋_GB2312" w:cs="仿宋_GB2312"/>
                <w:b w:val="0"/>
                <w:bCs/>
                <w:color w:val="000000" w:themeColor="text1"/>
                <w:kern w:val="0"/>
                <w:sz w:val="21"/>
                <w:szCs w:val="21"/>
                <w:lang w:eastAsia="zh-CN" w:bidi="ar"/>
                <w14:textFill>
                  <w14:solidFill>
                    <w14:schemeClr w14:val="tx1"/>
                  </w14:solidFill>
                </w14:textFill>
              </w:rPr>
              <w:t>克/千克</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4～1</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三级或不宜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二级或三级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三级或不宜</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排水条件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偶尔淹没，排水好</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一</w:t>
            </w:r>
            <w:r>
              <w:rPr>
                <w:rFonts w:ascii="仿宋_GB2312" w:hAnsi="宋体" w:eastAsia="仿宋_GB2312" w:cs="仿宋_GB2312"/>
                <w:b w:val="0"/>
                <w:bCs/>
                <w:color w:val="000000" w:themeColor="text1"/>
                <w:kern w:val="0"/>
                <w:sz w:val="21"/>
                <w:szCs w:val="21"/>
                <w:lang w:bidi="ar"/>
                <w14:textFill>
                  <w14:solidFill>
                    <w14:schemeClr w14:val="tx1"/>
                  </w14:solidFill>
                </w14:textFill>
              </w:rPr>
              <w:t>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灌溉条件</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灌溉条件差的干旱土地</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有效土层厚度</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(cm)</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＜20</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损毁程度</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中度</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土壤质地</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砂土</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砂质粘土</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不宜</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一级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8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土壤含盐总量(干土重%) </w:t>
            </w:r>
          </w:p>
        </w:tc>
        <w:tc>
          <w:tcPr>
            <w:tcW w:w="213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0.3</w:t>
            </w:r>
            <w:r>
              <w:rPr>
                <w:rFonts w:ascii="仿宋_GB2312" w:hAnsi="宋体" w:eastAsia="仿宋_GB2312" w:cs="仿宋_GB2312"/>
                <w:b w:val="0"/>
                <w:bCs/>
                <w:color w:val="000000" w:themeColor="text1"/>
                <w:kern w:val="0"/>
                <w:sz w:val="21"/>
                <w:szCs w:val="21"/>
                <w:lang w:bidi="ar"/>
                <w14:textFill>
                  <w14:solidFill>
                    <w14:schemeClr w14:val="tx1"/>
                  </w14:solidFill>
                </w14:textFill>
              </w:rPr>
              <w:t>～</w:t>
            </w: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0.5</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bidi="ar"/>
                <w14:textFill>
                  <w14:solidFill>
                    <w14:schemeClr w14:val="tx1"/>
                  </w14:solidFill>
                </w14:textFill>
              </w:rPr>
              <w:t>三级</w:t>
            </w:r>
          </w:p>
        </w:tc>
        <w:tc>
          <w:tcPr>
            <w:tcW w:w="102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1024"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r>
              <w:rPr>
                <w:rFonts w:ascii="仿宋_GB2312" w:hAnsi="宋体" w:eastAsia="仿宋_GB2312" w:cs="仿宋_GB2312"/>
                <w:b w:val="0"/>
                <w:bCs/>
                <w:color w:val="000000" w:themeColor="text1"/>
                <w:kern w:val="0"/>
                <w:sz w:val="21"/>
                <w:szCs w:val="21"/>
                <w:lang w:bidi="ar"/>
                <w14:textFill>
                  <w14:solidFill>
                    <w14:schemeClr w14:val="tx1"/>
                  </w14:solidFill>
                </w14:textFill>
              </w:rPr>
              <w:t>二级</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70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c>
          <w:tcPr>
            <w:tcW w:w="640"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ascii="仿宋_GB2312" w:hAnsi="宋体" w:eastAsia="仿宋_GB2312" w:cs="仿宋_GB2312"/>
                <w:b w:val="0"/>
                <w:bCs/>
                <w:color w:val="000000" w:themeColor="text1"/>
                <w:kern w:val="0"/>
                <w:sz w:val="21"/>
                <w:szCs w:val="21"/>
                <w:lang w:bidi="ar"/>
                <w14:textFill>
                  <w14:solidFill>
                    <w14:schemeClr w14:val="tx1"/>
                  </w14:solidFill>
                </w14:textFill>
              </w:rPr>
            </w:pPr>
          </w:p>
        </w:tc>
      </w:tr>
    </w:tbl>
    <w:p>
      <w:pPr>
        <w:pageBreakBefore w:val="0"/>
        <w:kinsoku/>
        <w:wordWrap/>
        <w:overflowPunct/>
        <w:topLinePunct w:val="0"/>
        <w:autoSpaceDE/>
        <w:autoSpaceDN/>
        <w:bidi w:val="0"/>
        <w:adjustRightInd w:val="0"/>
        <w:snapToGrid w:val="0"/>
        <w:spacing w:line="360" w:lineRule="auto"/>
        <w:ind w:left="0" w:leftChars="0" w:right="0" w:rightChars="0" w:firstLine="420" w:firstLineChars="200"/>
        <w:jc w:val="center"/>
        <w:textAlignment w:val="auto"/>
        <w:rPr>
          <w:rFonts w:hint="eastAsia" w:eastAsia="黑体"/>
          <w:color w:val="000000" w:themeColor="text1"/>
          <w:szCs w:val="21"/>
          <w:lang w:eastAsia="zh-CN"/>
          <w14:textFill>
            <w14:solidFill>
              <w14:schemeClr w14:val="tx1"/>
            </w14:solidFill>
          </w14:textFill>
        </w:rPr>
      </w:pPr>
      <w:r>
        <w:rPr>
          <w:rFonts w:eastAsia="黑体"/>
          <w:color w:val="000000" w:themeColor="text1"/>
          <w:szCs w:val="21"/>
          <w14:textFill>
            <w14:solidFill>
              <w14:schemeClr w14:val="tx1"/>
            </w14:solidFill>
          </w14:textFill>
        </w:rPr>
        <w:t>表4</w:t>
      </w:r>
      <w:r>
        <w:rPr>
          <w:rFonts w:hint="eastAsia" w:eastAsia="黑体"/>
          <w:color w:val="000000" w:themeColor="text1"/>
          <w:szCs w:val="21"/>
          <w14:textFill>
            <w14:solidFill>
              <w14:schemeClr w14:val="tx1"/>
            </w14:solidFill>
          </w14:textFill>
        </w:rPr>
        <w:t>-</w:t>
      </w:r>
      <w:r>
        <w:rPr>
          <w:rFonts w:hint="eastAsia" w:eastAsia="黑体"/>
          <w:color w:val="000000" w:themeColor="text1"/>
          <w:szCs w:val="21"/>
          <w:lang w:val="en-US" w:eastAsia="zh-CN"/>
          <w14:textFill>
            <w14:solidFill>
              <w14:schemeClr w14:val="tx1"/>
            </w14:solidFill>
          </w14:textFill>
        </w:rPr>
        <w:t>8</w:t>
      </w:r>
      <w:r>
        <w:rPr>
          <w:rFonts w:eastAsia="黑体"/>
          <w:color w:val="000000" w:themeColor="text1"/>
          <w:szCs w:val="21"/>
          <w14:textFill>
            <w14:solidFill>
              <w14:schemeClr w14:val="tx1"/>
            </w14:solidFill>
          </w14:textFill>
        </w:rPr>
        <w:t xml:space="preserve"> 土地适宜</w:t>
      </w:r>
      <w:r>
        <w:rPr>
          <w:rFonts w:hint="eastAsia" w:eastAsia="黑体"/>
          <w:color w:val="000000" w:themeColor="text1"/>
          <w:szCs w:val="21"/>
          <w:lang w:eastAsia="zh-CN"/>
          <w14:textFill>
            <w14:solidFill>
              <w14:schemeClr w14:val="tx1"/>
            </w14:solidFill>
          </w14:textFill>
        </w:rPr>
        <w:t>方向</w:t>
      </w:r>
      <w:r>
        <w:rPr>
          <w:rFonts w:eastAsia="黑体"/>
          <w:color w:val="000000" w:themeColor="text1"/>
          <w:szCs w:val="21"/>
          <w14:textFill>
            <w14:solidFill>
              <w14:schemeClr w14:val="tx1"/>
            </w14:solidFill>
          </w14:textFill>
        </w:rPr>
        <w:t>评价结果</w:t>
      </w:r>
      <w:r>
        <w:rPr>
          <w:rFonts w:hint="eastAsia" w:eastAsia="黑体"/>
          <w:color w:val="000000" w:themeColor="text1"/>
          <w:szCs w:val="21"/>
          <w:lang w:eastAsia="zh-CN"/>
          <w14:textFill>
            <w14:solidFill>
              <w14:schemeClr w14:val="tx1"/>
            </w14:solidFill>
          </w14:textFill>
        </w:rPr>
        <w:t>汇总表</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2"/>
        <w:gridCol w:w="1906"/>
        <w:gridCol w:w="2104"/>
        <w:gridCol w:w="1450"/>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40" w:hRule="atLeast"/>
          <w:jc w:val="center"/>
        </w:trPr>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bookmarkStart w:id="97" w:name="_Toc11041"/>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临时建设用地用途</w:t>
            </w:r>
          </w:p>
        </w:tc>
        <w:tc>
          <w:tcPr>
            <w:tcW w:w="40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地类</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面积</w:t>
            </w:r>
            <w:r>
              <w:rPr>
                <w:rFonts w:hint="eastAsia" w:eastAsia="仿宋_GB2312" w:cs="Times New Roman"/>
                <w:color w:val="000000" w:themeColor="text1"/>
                <w:szCs w:val="21"/>
                <w:lang w:val="en-US" w:eastAsia="zh-CN"/>
                <w14:textFill>
                  <w14:solidFill>
                    <w14:schemeClr w14:val="tx1"/>
                  </w14:solidFill>
                </w14:textFill>
              </w:rPr>
              <w:t>（单位：公顷）</w:t>
            </w:r>
          </w:p>
        </w:tc>
        <w:tc>
          <w:tcPr>
            <w:tcW w:w="2169"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适宜方向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t>材料堆场、制梁厂、施工驻地</w:t>
            </w:r>
          </w:p>
        </w:tc>
        <w:tc>
          <w:tcPr>
            <w:tcW w:w="19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耕地（01）</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0.1754</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水浇地（0102）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种植园用地（02）</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0.705</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果园（0201）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林地（03）</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0.0601</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灌木林地（0305）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住宅用地（07）</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0.2788</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农村宅基地（0702）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交通运输用地（10）</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0.0508</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公路用地（1003）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0.2616</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农村道路（1006）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水域及水利设施用地（11）</w:t>
            </w: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1.5254</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河流水面（1101）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vMerge w:val="continue"/>
            <w:tcBorders>
              <w:left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4.9181</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坑塘水面（1104）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144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ottom"/>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1906" w:type="dxa"/>
            <w:vMerge w:val="continue"/>
            <w:tcBorders>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p>
        </w:tc>
        <w:tc>
          <w:tcPr>
            <w:tcW w:w="2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0.074</w:t>
            </w:r>
          </w:p>
        </w:tc>
        <w:tc>
          <w:tcPr>
            <w:tcW w:w="2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宋体" w:eastAsia="仿宋_GB2312" w:cs="仿宋_GB2312"/>
                <w:b w:val="0"/>
                <w:bCs/>
                <w:color w:val="000000" w:themeColor="text1"/>
                <w:kern w:val="0"/>
                <w:sz w:val="21"/>
                <w:szCs w:val="21"/>
                <w:lang w:val="en-US" w:eastAsia="zh-CN" w:bidi="ar"/>
                <w14:textFill>
                  <w14:solidFill>
                    <w14:schemeClr w14:val="tx1"/>
                  </w14:solidFill>
                </w14:textFill>
              </w:rPr>
            </w:pPr>
            <w:r>
              <w:rPr>
                <w:rFonts w:hint="eastAsia" w:eastAsia="仿宋_GB2312" w:cs="Times New Roman"/>
                <w:color w:val="000000" w:themeColor="text1"/>
                <w:kern w:val="0"/>
                <w:sz w:val="21"/>
                <w:szCs w:val="21"/>
                <w:vertAlign w:val="baseline"/>
                <w:lang w:val="en-US" w:eastAsia="zh-CN"/>
                <w14:textFill>
                  <w14:solidFill>
                    <w14:schemeClr w14:val="tx1"/>
                  </w14:solidFill>
                </w14:textFill>
              </w:rPr>
              <w:t>沟渠（1107）</w:t>
            </w:r>
          </w:p>
        </w:tc>
      </w:tr>
    </w:tbl>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b w:val="0"/>
          <w:color w:val="000000" w:themeColor="text1"/>
          <w14:textFill>
            <w14:solidFill>
              <w14:schemeClr w14:val="tx1"/>
            </w14:solidFill>
          </w14:textFill>
        </w:rPr>
      </w:pPr>
      <w:r>
        <w:rPr>
          <w:rFonts w:ascii="Times New Roman" w:hAnsi="Times New Roman"/>
          <w:b w:val="0"/>
          <w:color w:val="000000" w:themeColor="text1"/>
          <w:szCs w:val="28"/>
          <w14:textFill>
            <w14:solidFill>
              <w14:schemeClr w14:val="tx1"/>
            </w14:solidFill>
          </w14:textFill>
        </w:rPr>
        <w:t>4.5</w:t>
      </w:r>
      <w:r>
        <w:rPr>
          <w:rFonts w:ascii="Times New Roman" w:hAnsi="Times New Roman"/>
          <w:b w:val="0"/>
          <w:color w:val="000000" w:themeColor="text1"/>
          <w14:textFill>
            <w14:solidFill>
              <w14:schemeClr w14:val="tx1"/>
            </w14:solidFill>
          </w14:textFill>
        </w:rPr>
        <w:t>水土资源平衡分析</w:t>
      </w:r>
      <w:bookmarkEnd w:id="95"/>
      <w:bookmarkEnd w:id="96"/>
      <w:bookmarkEnd w:id="97"/>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eastAsia="黑体"/>
          <w:color w:val="000000" w:themeColor="text1"/>
          <w:sz w:val="28"/>
          <w14:textFill>
            <w14:solidFill>
              <w14:schemeClr w14:val="tx1"/>
            </w14:solidFill>
          </w14:textFill>
        </w:rPr>
      </w:pPr>
      <w:bookmarkStart w:id="98" w:name="_Toc383432905"/>
      <w:bookmarkStart w:id="99" w:name="_Toc383432809"/>
      <w:r>
        <w:rPr>
          <w:rFonts w:eastAsia="黑体"/>
          <w:color w:val="000000" w:themeColor="text1"/>
          <w:sz w:val="28"/>
          <w14:textFill>
            <w14:solidFill>
              <w14:schemeClr w14:val="tx1"/>
            </w14:solidFill>
          </w14:textFill>
        </w:rPr>
        <w:t>4.5.1土源分析</w:t>
      </w:r>
      <w:bookmarkEnd w:id="98"/>
      <w:bookmarkEnd w:id="99"/>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bookmarkStart w:id="100" w:name="_Toc383432810"/>
      <w:bookmarkStart w:id="101" w:name="_Toc383432906"/>
      <w:r>
        <w:rPr>
          <w:rFonts w:hint="eastAsia" w:ascii="Times New Roman" w:hAnsi="Times New Roman" w:eastAsia="仿宋_GB2312" w:cs="Times New Roman"/>
          <w:b w:val="0"/>
          <w:bCs/>
          <w:color w:val="000000" w:themeColor="text1"/>
          <w:sz w:val="24"/>
          <w14:textFill>
            <w14:solidFill>
              <w14:schemeClr w14:val="tx1"/>
            </w14:solidFill>
          </w14:textFill>
        </w:rPr>
        <w:t>该项目建设过程中，复垦过程中需剥离临时占地区域表土土壤以备复垦工程用，依据剥离区的表土的性质特征、数量、分布以及复垦后土地的用途来决定应保留的表土。该项目：</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w:t>
      </w:r>
      <w:r>
        <w:rPr>
          <w:rFonts w:ascii="Times New Roman" w:hAnsi="Times New Roman" w:eastAsia="仿宋_GB2312" w:cs="Times New Roman"/>
          <w:b w:val="0"/>
          <w:bCs/>
          <w:color w:val="000000" w:themeColor="text1"/>
          <w:sz w:val="24"/>
          <w14:textFill>
            <w14:solidFill>
              <w14:schemeClr w14:val="tx1"/>
            </w14:solidFill>
          </w14:textFill>
        </w:rPr>
        <w:t>复垦过程中需恢复原有耕作土壤，</w:t>
      </w:r>
      <w:r>
        <w:rPr>
          <w:rFonts w:hint="eastAsia" w:eastAsia="仿宋_GB2312" w:cs="Times New Roman"/>
          <w:b w:val="0"/>
          <w:bCs/>
          <w:color w:val="000000" w:themeColor="text1"/>
          <w:sz w:val="24"/>
          <w:lang w:val="en-US" w:eastAsia="zh-CN"/>
          <w14:textFill>
            <w14:solidFill>
              <w14:schemeClr w14:val="tx1"/>
            </w14:solidFill>
          </w14:textFill>
        </w:rPr>
        <w:t>耕地及种植园用地覆土</w:t>
      </w:r>
      <w:r>
        <w:rPr>
          <w:rFonts w:hint="eastAsia" w:ascii="Times New Roman" w:hAnsi="Times New Roman" w:eastAsia="仿宋_GB2312" w:cs="Times New Roman"/>
          <w:b w:val="0"/>
          <w:bCs/>
          <w:color w:val="000000" w:themeColor="text1"/>
          <w:sz w:val="24"/>
          <w14:textFill>
            <w14:solidFill>
              <w14:schemeClr w14:val="tx1"/>
            </w14:solidFill>
          </w14:textFill>
        </w:rPr>
        <w:t>厚度为0.</w:t>
      </w:r>
      <w:r>
        <w:rPr>
          <w:rFonts w:hint="eastAsia"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m</w:t>
      </w:r>
      <w:r>
        <w:rPr>
          <w:rFonts w:hint="eastAsia"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覆土面积</w:t>
      </w:r>
      <w:r>
        <w:rPr>
          <w:rFonts w:ascii="Times New Roman" w:hAnsi="Times New Roman" w:eastAsia="仿宋_GB2312" w:cs="Times New Roman"/>
          <w:b w:val="0"/>
          <w:bCs/>
          <w:color w:val="000000" w:themeColor="text1"/>
          <w:sz w:val="24"/>
          <w14:textFill>
            <w14:solidFill>
              <w14:schemeClr w14:val="tx1"/>
            </w14:solidFill>
          </w14:textFill>
        </w:rPr>
        <w:t>，覆土面积</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0.8804</w:t>
      </w:r>
      <w:r>
        <w:rPr>
          <w:rFonts w:hint="eastAsia" w:ascii="Times New Roman" w:hAnsi="Times New Roman" w:eastAsia="仿宋_GB2312" w:cs="Times New Roman"/>
          <w:b w:val="0"/>
          <w:bCs/>
          <w:color w:val="000000" w:themeColor="text1"/>
          <w:sz w:val="24"/>
          <w14:textFill>
            <w14:solidFill>
              <w14:schemeClr w14:val="tx1"/>
            </w14:solidFill>
          </w14:textFill>
        </w:rPr>
        <w:t>公顷</w:t>
      </w:r>
      <w:r>
        <w:rPr>
          <w:rFonts w:ascii="Times New Roman" w:hAnsi="Times New Roman" w:eastAsia="仿宋_GB2312" w:cs="Times New Roman"/>
          <w:b w:val="0"/>
          <w:bCs/>
          <w:color w:val="000000" w:themeColor="text1"/>
          <w:sz w:val="24"/>
          <w14:textFill>
            <w14:solidFill>
              <w14:schemeClr w14:val="tx1"/>
            </w14:solidFill>
          </w14:textFill>
        </w:rPr>
        <w:t>，复垦需要覆土</w:t>
      </w:r>
      <w:r>
        <w:rPr>
          <w:rFonts w:hint="eastAsia" w:eastAsia="仿宋_GB2312" w:cs="Times New Roman"/>
          <w:b w:val="0"/>
          <w:bCs/>
          <w:color w:val="000000" w:themeColor="text1"/>
          <w:sz w:val="24"/>
          <w:lang w:val="en-US" w:eastAsia="zh-CN"/>
          <w14:textFill>
            <w14:solidFill>
              <w14:schemeClr w14:val="tx1"/>
            </w14:solidFill>
          </w14:textFill>
        </w:rPr>
        <w:t>4402</w:t>
      </w:r>
      <w:r>
        <w:rPr>
          <w:rFonts w:hint="eastAsia" w:ascii="Times New Roman" w:hAnsi="Times New Roman" w:eastAsia="仿宋_GB2312" w:cs="Times New Roman"/>
          <w:b w:val="0"/>
          <w:bCs/>
          <w:color w:val="000000" w:themeColor="text1"/>
          <w:sz w:val="24"/>
          <w14:textFill>
            <w14:solidFill>
              <w14:schemeClr w14:val="tx1"/>
            </w14:solidFill>
          </w14:textFill>
        </w:rPr>
        <w:t>立方米。林地覆土厚度为0.3m</w:t>
      </w:r>
      <w:r>
        <w:rPr>
          <w:rFonts w:ascii="Times New Roman" w:hAnsi="Times New Roman" w:eastAsia="仿宋_GB2312" w:cs="Times New Roman"/>
          <w:b w:val="0"/>
          <w:bCs/>
          <w:color w:val="000000" w:themeColor="text1"/>
          <w:sz w:val="24"/>
          <w14:textFill>
            <w14:solidFill>
              <w14:schemeClr w14:val="tx1"/>
            </w14:solidFill>
          </w14:textFill>
        </w:rPr>
        <w:t>，覆土面积</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0.</w:t>
      </w:r>
      <w:r>
        <w:rPr>
          <w:rFonts w:hint="eastAsia" w:eastAsia="仿宋_GB2312" w:cs="Times New Roman"/>
          <w:b w:val="0"/>
          <w:bCs/>
          <w:color w:val="000000" w:themeColor="text1"/>
          <w:sz w:val="24"/>
          <w:lang w:val="en-US" w:eastAsia="zh-CN"/>
          <w14:textFill>
            <w14:solidFill>
              <w14:schemeClr w14:val="tx1"/>
            </w14:solidFill>
          </w14:textFill>
        </w:rPr>
        <w:t>0601</w:t>
      </w:r>
      <w:r>
        <w:rPr>
          <w:rFonts w:hint="eastAsia" w:ascii="Times New Roman" w:hAnsi="Times New Roman" w:eastAsia="仿宋_GB2312" w:cs="Times New Roman"/>
          <w:b w:val="0"/>
          <w:bCs/>
          <w:color w:val="000000" w:themeColor="text1"/>
          <w:sz w:val="24"/>
          <w14:textFill>
            <w14:solidFill>
              <w14:schemeClr w14:val="tx1"/>
            </w14:solidFill>
          </w14:textFill>
        </w:rPr>
        <w:t>公顷</w:t>
      </w:r>
      <w:r>
        <w:rPr>
          <w:rFonts w:ascii="Times New Roman" w:hAnsi="Times New Roman" w:eastAsia="仿宋_GB2312" w:cs="Times New Roman"/>
          <w:b w:val="0"/>
          <w:bCs/>
          <w:color w:val="000000" w:themeColor="text1"/>
          <w:sz w:val="24"/>
          <w14:textFill>
            <w14:solidFill>
              <w14:schemeClr w14:val="tx1"/>
            </w14:solidFill>
          </w14:textFill>
        </w:rPr>
        <w:t>，复垦需要覆土</w:t>
      </w:r>
      <w:r>
        <w:rPr>
          <w:rFonts w:hint="eastAsia" w:eastAsia="仿宋_GB2312" w:cs="Times New Roman"/>
          <w:b w:val="0"/>
          <w:bCs/>
          <w:color w:val="000000" w:themeColor="text1"/>
          <w:sz w:val="24"/>
          <w:lang w:val="en-US" w:eastAsia="zh-CN"/>
          <w14:textFill>
            <w14:solidFill>
              <w14:schemeClr w14:val="tx1"/>
            </w14:solidFill>
          </w14:textFill>
        </w:rPr>
        <w:t>180</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hint="eastAsia" w:eastAsia="仿宋_GB2312" w:cs="Times New Roman"/>
          <w:b w:val="0"/>
          <w:bCs/>
          <w:color w:val="000000" w:themeColor="text1"/>
          <w:sz w:val="24"/>
          <w:lang w:eastAsia="zh-CN"/>
          <w14:textFill>
            <w14:solidFill>
              <w14:schemeClr w14:val="tx1"/>
            </w14:solidFill>
          </w14:textFill>
        </w:rPr>
        <w:t>。</w:t>
      </w:r>
      <w:r>
        <w:rPr>
          <w:rFonts w:ascii="Times New Roman" w:hAnsi="Times New Roman" w:eastAsia="仿宋_GB2312" w:cs="Times New Roman"/>
          <w:b w:val="0"/>
          <w:bCs/>
          <w:color w:val="000000" w:themeColor="text1"/>
          <w:sz w:val="24"/>
          <w14:textFill>
            <w14:solidFill>
              <w14:schemeClr w14:val="tx1"/>
            </w14:solidFill>
          </w14:textFill>
        </w:rPr>
        <w:t>故需对</w:t>
      </w:r>
      <w:r>
        <w:rPr>
          <w:rFonts w:hint="eastAsia" w:ascii="Times New Roman" w:hAnsi="Times New Roman" w:eastAsia="仿宋_GB2312" w:cs="Times New Roman"/>
          <w:b w:val="0"/>
          <w:bCs/>
          <w:color w:val="000000" w:themeColor="text1"/>
          <w:sz w:val="24"/>
          <w14:textFill>
            <w14:solidFill>
              <w14:schemeClr w14:val="tx1"/>
            </w14:solidFill>
          </w14:textFill>
        </w:rPr>
        <w:t>该区</w:t>
      </w:r>
      <w:r>
        <w:rPr>
          <w:rFonts w:ascii="Times New Roman" w:hAnsi="Times New Roman" w:eastAsia="仿宋_GB2312" w:cs="Times New Roman"/>
          <w:b w:val="0"/>
          <w:bCs/>
          <w:color w:val="000000" w:themeColor="text1"/>
          <w:sz w:val="24"/>
          <w14:textFill>
            <w14:solidFill>
              <w14:schemeClr w14:val="tx1"/>
            </w14:solidFill>
          </w14:textFill>
        </w:rPr>
        <w:t>在项目建设之前进行表土剥离</w:t>
      </w:r>
      <w:r>
        <w:rPr>
          <w:rFonts w:hint="eastAsia" w:ascii="Times New Roman" w:hAnsi="Times New Roman" w:eastAsia="仿宋_GB2312" w:cs="Times New Roman"/>
          <w:b w:val="0"/>
          <w:bCs/>
          <w:color w:val="000000" w:themeColor="text1"/>
          <w:sz w:val="24"/>
          <w14:textFill>
            <w14:solidFill>
              <w14:schemeClr w14:val="tx1"/>
            </w14:solidFill>
          </w14:textFill>
        </w:rPr>
        <w:t>，就近剥离与覆土不考虑损耗，本项目</w:t>
      </w:r>
      <w:r>
        <w:rPr>
          <w:rFonts w:hint="eastAsia" w:eastAsia="仿宋_GB2312" w:cs="Times New Roman"/>
          <w:b w:val="0"/>
          <w:bCs/>
          <w:color w:val="000000" w:themeColor="text1"/>
          <w:sz w:val="24"/>
          <w:lang w:val="en-US" w:eastAsia="zh-CN"/>
          <w14:textFill>
            <w14:solidFill>
              <w14:schemeClr w14:val="tx1"/>
            </w14:solidFill>
          </w14:textFill>
        </w:rPr>
        <w:t>耕地及种植园用地剥离厚度0.5m，</w:t>
      </w:r>
      <w:r>
        <w:rPr>
          <w:rFonts w:hint="eastAsia" w:ascii="Times New Roman" w:hAnsi="Times New Roman" w:eastAsia="仿宋_GB2312" w:cs="Times New Roman"/>
          <w:b w:val="0"/>
          <w:bCs/>
          <w:color w:val="000000" w:themeColor="text1"/>
          <w:sz w:val="24"/>
          <w14:textFill>
            <w14:solidFill>
              <w14:schemeClr w14:val="tx1"/>
            </w14:solidFill>
          </w14:textFill>
        </w:rPr>
        <w:t>林地剥离厚度0.30m，</w:t>
      </w:r>
      <w:r>
        <w:rPr>
          <w:rFonts w:ascii="Times New Roman" w:hAnsi="Times New Roman" w:eastAsia="仿宋_GB2312" w:cs="Times New Roman"/>
          <w:b w:val="0"/>
          <w:bCs/>
          <w:color w:val="000000" w:themeColor="text1"/>
          <w:sz w:val="24"/>
          <w14:textFill>
            <w14:solidFill>
              <w14:schemeClr w14:val="tx1"/>
            </w14:solidFill>
          </w14:textFill>
        </w:rPr>
        <w:t>共计剥离表土</w:t>
      </w:r>
      <w:r>
        <w:rPr>
          <w:rFonts w:hint="eastAsia" w:eastAsia="仿宋_GB2312" w:cs="Times New Roman"/>
          <w:b w:val="0"/>
          <w:bCs/>
          <w:color w:val="000000" w:themeColor="text1"/>
          <w:sz w:val="24"/>
          <w:lang w:val="en-US" w:eastAsia="zh-CN"/>
          <w14:textFill>
            <w14:solidFill>
              <w14:schemeClr w14:val="tx1"/>
            </w14:solidFill>
          </w14:textFill>
        </w:rPr>
        <w:t>4582</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可满足该项目覆土的需求。</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0"/>
          <w:sz w:val="24"/>
          <w:lang w:val="en-US"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该区剥离表土堆放于</w:t>
      </w:r>
      <w:r>
        <w:rPr>
          <w:rFonts w:hint="eastAsia" w:eastAsia="仿宋_GB2312"/>
          <w:color w:val="000000" w:themeColor="text1"/>
          <w:sz w:val="24"/>
          <w:lang w:val="en-US" w:eastAsia="zh-CN"/>
          <w14:textFill>
            <w14:solidFill>
              <w14:schemeClr w14:val="tx1"/>
            </w14:solidFill>
          </w14:textFill>
        </w:rPr>
        <w:t>各临时用地一侧</w:t>
      </w: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kern w:val="0"/>
          <w:sz w:val="24"/>
          <w:lang w:eastAsia="zh-CN"/>
          <w14:textFill>
            <w14:solidFill>
              <w14:schemeClr w14:val="tx1"/>
            </w14:solidFill>
          </w14:textFill>
        </w:rPr>
        <w:t>表土堆放及回覆推运距离</w:t>
      </w:r>
      <w:r>
        <w:rPr>
          <w:rFonts w:hint="eastAsia" w:eastAsia="仿宋_GB2312"/>
          <w:color w:val="000000" w:themeColor="text1"/>
          <w:kern w:val="0"/>
          <w:sz w:val="24"/>
          <w:lang w:val="en-US" w:eastAsia="zh-CN"/>
          <w14:textFill>
            <w14:solidFill>
              <w14:schemeClr w14:val="tx1"/>
            </w14:solidFill>
          </w14:textFill>
        </w:rPr>
        <w:t>10-20m。</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剥</w:t>
      </w:r>
      <w:r>
        <w:rPr>
          <w:rFonts w:eastAsia="仿宋_GB2312"/>
          <w:color w:val="000000" w:themeColor="text1"/>
          <w:sz w:val="24"/>
          <w14:textFill>
            <w14:solidFill>
              <w14:schemeClr w14:val="tx1"/>
            </w14:solidFill>
          </w14:textFill>
        </w:rPr>
        <w:t>离土方采取集中堆放至</w:t>
      </w:r>
      <w:r>
        <w:rPr>
          <w:rFonts w:hint="eastAsia" w:eastAsia="仿宋_GB2312"/>
          <w:color w:val="000000" w:themeColor="text1"/>
          <w:sz w:val="24"/>
          <w:lang w:eastAsia="zh-CN"/>
          <w14:textFill>
            <w14:solidFill>
              <w14:schemeClr w14:val="tx1"/>
            </w14:solidFill>
          </w14:textFill>
        </w:rPr>
        <w:t>临时用地设置的</w:t>
      </w:r>
      <w:r>
        <w:rPr>
          <w:rFonts w:hint="eastAsia" w:eastAsia="仿宋_GB2312"/>
          <w:color w:val="000000" w:themeColor="text1"/>
          <w:sz w:val="24"/>
          <w:lang w:val="en-US" w:eastAsia="zh-CN"/>
          <w14:textFill>
            <w14:solidFill>
              <w14:schemeClr w14:val="tx1"/>
            </w14:solidFill>
          </w14:textFill>
        </w:rPr>
        <w:t>表土堆放区域</w:t>
      </w:r>
      <w:r>
        <w:rPr>
          <w:rFonts w:hint="eastAsia" w:eastAsia="仿宋_GB2312"/>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与开挖的底土分开堆放，在不影响正常施工的</w:t>
      </w:r>
      <w:r>
        <w:rPr>
          <w:rFonts w:eastAsia="仿宋_GB2312"/>
          <w:color w:val="000000" w:themeColor="text1"/>
          <w:sz w:val="24"/>
          <w14:textFill>
            <w14:solidFill>
              <w14:schemeClr w14:val="tx1"/>
            </w14:solidFill>
          </w14:textFill>
        </w:rPr>
        <w:t>前提下，在表土堆放坡脚采用编织袋堆砌挡护，以避免二次搬运。将</w:t>
      </w:r>
      <w:r>
        <w:rPr>
          <w:rFonts w:hint="eastAsia" w:eastAsia="仿宋_GB2312"/>
          <w:color w:val="000000" w:themeColor="text1"/>
          <w:sz w:val="24"/>
          <w:lang w:eastAsia="zh-CN"/>
          <w14:textFill>
            <w14:solidFill>
              <w14:schemeClr w14:val="tx1"/>
            </w14:solidFill>
          </w14:textFill>
        </w:rPr>
        <w:t>原土</w:t>
      </w:r>
      <w:r>
        <w:rPr>
          <w:rFonts w:eastAsia="仿宋_GB2312"/>
          <w:color w:val="000000" w:themeColor="text1"/>
          <w:sz w:val="24"/>
          <w14:textFill>
            <w14:solidFill>
              <w14:schemeClr w14:val="tx1"/>
            </w14:solidFill>
          </w14:textFill>
        </w:rPr>
        <w:t>层</w:t>
      </w:r>
      <w:r>
        <w:rPr>
          <w:rFonts w:hint="eastAsia" w:eastAsia="仿宋_GB2312"/>
          <w:color w:val="000000" w:themeColor="text1"/>
          <w:sz w:val="24"/>
          <w:lang w:eastAsia="zh-CN"/>
          <w14:textFill>
            <w14:solidFill>
              <w14:schemeClr w14:val="tx1"/>
            </w14:solidFill>
          </w14:textFill>
        </w:rPr>
        <w:t>上层</w:t>
      </w:r>
      <w:r>
        <w:rPr>
          <w:rFonts w:eastAsia="仿宋_GB2312"/>
          <w:color w:val="000000" w:themeColor="text1"/>
          <w:sz w:val="24"/>
          <w14:textFill>
            <w14:solidFill>
              <w14:schemeClr w14:val="tx1"/>
            </w14:solidFill>
          </w14:textFill>
        </w:rPr>
        <w:t>土壤与底层土壤分别堆放，表土剥离单独堆放在一边，妥善保存，防止岩石混入使土质恶化，尽可能做到恢复后保持原有的土壤结构，以利种植。为减少表层松散土体堆放过程中产生的水土流失、堆放形势采用梯形，边坡比为1：1.75，平均堆高2.0m，在土料边缘堆放1.0m高的土袋挡墙。</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防止表土堆放边坡的垮塌，在表土的存储期间，还要采取维护土壤肥力的相关措施，可选择在坡面、顶面种植涵养土壤肥力的草类进行绿肥压青保持土壤肥力，又可避免大面积裸露土地造成水土流失。</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据该项目可行性研究报告，建设项目施工开始前，</w:t>
      </w:r>
      <w:r>
        <w:rPr>
          <w:rFonts w:hint="eastAsia" w:eastAsia="仿宋_GB2312"/>
          <w:color w:val="000000" w:themeColor="text1"/>
          <w:sz w:val="24"/>
          <w:lang w:val="en-US" w:eastAsia="zh-CN"/>
          <w14:textFill>
            <w14:solidFill>
              <w14:schemeClr w14:val="tx1"/>
            </w14:solidFill>
          </w14:textFill>
        </w:rPr>
        <w:t>将</w:t>
      </w:r>
      <w:r>
        <w:rPr>
          <w:rFonts w:hint="eastAsia" w:eastAsia="仿宋_GB2312"/>
          <w:color w:val="000000" w:themeColor="text1"/>
          <w:sz w:val="24"/>
          <w:lang w:eastAsia="zh-CN"/>
          <w14:textFill>
            <w14:solidFill>
              <w14:schemeClr w14:val="tx1"/>
            </w14:solidFill>
          </w14:textFill>
        </w:rPr>
        <w:t>对上述临时用地进行表土剥离，该部分工程费用已纳入主体工程建设费用，本复垦方案不再对其进行重复计算。</w:t>
      </w:r>
    </w:p>
    <w:p>
      <w:pPr>
        <w:pageBreakBefore w:val="0"/>
        <w:kinsoku/>
        <w:wordWrap/>
        <w:topLinePunct w:val="0"/>
        <w:bidi w:val="0"/>
        <w:adjustRightInd w:val="0"/>
        <w:snapToGrid w:val="0"/>
        <w:spacing w:line="360" w:lineRule="auto"/>
        <w:jc w:val="center"/>
        <w:rPr>
          <w:color w:val="000000" w:themeColor="text1"/>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object>
          <v:shape id="_x0000_i1025" o:spt="75" type="#_x0000_t75" style="height:152.25pt;width:288pt;" o:ole="t" fillcolor="#FFFFFF" filled="f" o:preferrelative="t" stroked="f" coordsize="21600,21600">
            <v:path/>
            <v:fill on="f" color2="#FFFFFF" focussize="0,0"/>
            <v:stroke on="f"/>
            <v:imagedata r:id="rId13" o:title=""/>
            <o:lock v:ext="edit" grouping="f" rotation="f" text="f" aspectratio="t"/>
            <w10:wrap type="none"/>
            <w10:anchorlock/>
          </v:shape>
          <o:OLEObject Type="Embed" ProgID="AutoCAD.Drawing.18" ShapeID="_x0000_i1025" DrawAspect="Content" ObjectID="_1468075725" r:id="rId12">
            <o:LockedField>false</o:LockedField>
          </o:OLEObject>
        </w:object>
      </w:r>
    </w:p>
    <w:p>
      <w:pPr>
        <w:pageBreakBefore w:val="0"/>
        <w:kinsoku/>
        <w:wordWrap/>
        <w:topLinePunct w:val="0"/>
        <w:bidi w:val="0"/>
        <w:adjustRightInd w:val="0"/>
        <w:snapToGrid w:val="0"/>
        <w:spacing w:line="360" w:lineRule="auto"/>
        <w:jc w:val="center"/>
        <w:rPr>
          <w:rFonts w:hint="eastAsia" w:eastAsia="黑体"/>
          <w:color w:val="000000" w:themeColor="text1"/>
          <w:szCs w:val="21"/>
          <w:lang w:eastAsia="zh-CN"/>
          <w14:textFill>
            <w14:solidFill>
              <w14:schemeClr w14:val="tx1"/>
            </w14:solidFill>
          </w14:textFill>
        </w:rPr>
      </w:pPr>
      <w:r>
        <w:rPr>
          <w:rFonts w:eastAsia="黑体"/>
          <w:color w:val="000000" w:themeColor="text1"/>
          <w:szCs w:val="21"/>
          <w14:textFill>
            <w14:solidFill>
              <w14:schemeClr w14:val="tx1"/>
            </w14:solidFill>
          </w14:textFill>
        </w:rPr>
        <w:t>图</w:t>
      </w:r>
      <w:r>
        <w:rPr>
          <w:rFonts w:hint="eastAsia" w:eastAsia="黑体"/>
          <w:color w:val="000000" w:themeColor="text1"/>
          <w:szCs w:val="21"/>
          <w:lang w:val="en-US" w:eastAsia="zh-CN"/>
          <w14:textFill>
            <w14:solidFill>
              <w14:schemeClr w14:val="tx1"/>
            </w14:solidFill>
          </w14:textFill>
        </w:rPr>
        <w:t>4</w:t>
      </w:r>
      <w:r>
        <w:rPr>
          <w:rFonts w:eastAsia="黑体"/>
          <w:color w:val="000000" w:themeColor="text1"/>
          <w:szCs w:val="21"/>
          <w14:textFill>
            <w14:solidFill>
              <w14:schemeClr w14:val="tx1"/>
            </w14:solidFill>
          </w14:textFill>
        </w:rPr>
        <w:t xml:space="preserve">-1  </w:t>
      </w:r>
      <w:r>
        <w:rPr>
          <w:rFonts w:hint="eastAsia" w:eastAsia="黑体"/>
          <w:color w:val="000000" w:themeColor="text1"/>
          <w:szCs w:val="21"/>
          <w:lang w:eastAsia="zh-CN"/>
          <w14:textFill>
            <w14:solidFill>
              <w14:schemeClr w14:val="tx1"/>
            </w14:solidFill>
          </w14:textFill>
        </w:rPr>
        <w:t>表土剥离及堆放（由建设单位完成，不计入复垦工程量）</w:t>
      </w:r>
    </w:p>
    <w:bookmarkEnd w:id="100"/>
    <w:bookmarkEnd w:id="101"/>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4.5.2水源分析</w:t>
      </w:r>
    </w:p>
    <w:p>
      <w:pPr>
        <w:pStyle w:val="25"/>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eastAsia" w:ascii="仿宋_GB2312" w:eastAsia="仿宋_GB2312"/>
          <w:color w:val="000000" w:themeColor="text1"/>
          <w:lang w:eastAsia="zh-CN"/>
          <w14:textFill>
            <w14:solidFill>
              <w14:schemeClr w14:val="tx1"/>
            </w14:solidFill>
          </w14:textFill>
        </w:rPr>
        <w:t>a</w:t>
      </w:r>
      <w:r>
        <w:rPr>
          <w:rFonts w:eastAsia="黑体"/>
          <w:color w:val="000000" w:themeColor="text1"/>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水源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项目区</w:t>
      </w:r>
      <w:r>
        <w:rPr>
          <w:rFonts w:hint="default" w:ascii="Times New Roman" w:hAnsi="Times New Roman" w:eastAsia="仿宋_GB2312" w:cs="Times New Roman"/>
          <w:color w:val="000000" w:themeColor="text1"/>
          <w:sz w:val="24"/>
          <w:szCs w:val="24"/>
          <w14:textFill>
            <w14:solidFill>
              <w14:schemeClr w14:val="tx1"/>
            </w14:solidFill>
          </w14:textFill>
        </w:rPr>
        <w:t>各河流年流量都较小（冰川融水补给量极小），在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5-10月降水量</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较大</w:t>
      </w:r>
      <w:r>
        <w:rPr>
          <w:rFonts w:hint="default" w:ascii="Times New Roman" w:hAnsi="Times New Roman" w:eastAsia="仿宋_GB2312" w:cs="Times New Roman"/>
          <w:color w:val="000000" w:themeColor="text1"/>
          <w:sz w:val="24"/>
          <w:szCs w:val="24"/>
          <w14:textFill>
            <w14:solidFill>
              <w14:schemeClr w14:val="tx1"/>
            </w14:solidFill>
          </w14:textFill>
        </w:rPr>
        <w:t>时，平原区的降雨汇集，形成地表径流集于低凹处</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仿宋" w:hAnsi="仿宋"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14:textFill>
            <w14:solidFill>
              <w14:schemeClr w14:val="tx1"/>
            </w14:solidFill>
          </w14:textFill>
        </w:rPr>
        <w:t>b）复垦区需水量</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hAnsi="Times New Roman" w:eastAsia="仿宋_GB2312" w:cs="Times New Roman"/>
          <w:b w:val="0"/>
          <w:bCs/>
          <w:color w:val="000000" w:themeColor="text1"/>
          <w:kern w:val="0"/>
          <w:sz w:val="24"/>
          <w14:textFill>
            <w14:solidFill>
              <w14:schemeClr w14:val="tx1"/>
            </w14:solidFill>
          </w14:textFill>
        </w:rPr>
      </w:pPr>
      <w:bookmarkStart w:id="102" w:name="_Toc985"/>
      <w:bookmarkStart w:id="103" w:name="_Toc28573"/>
      <w:r>
        <w:rPr>
          <w:rFonts w:hint="eastAsia" w:ascii="仿宋_GB2312" w:hAnsi="Times New Roman" w:eastAsia="仿宋_GB2312" w:cs="Times New Roman"/>
          <w:b w:val="0"/>
          <w:bCs/>
          <w:color w:val="000000" w:themeColor="text1"/>
          <w:kern w:val="0"/>
          <w:sz w:val="24"/>
          <w14:textFill>
            <w14:solidFill>
              <w14:schemeClr w14:val="tx1"/>
            </w14:solidFill>
          </w14:textFill>
        </w:rPr>
        <w:t>根据本项目区植被和气候生态特性，其年降水量及地下水的补给可满足荒漠植被生长需水要求，人工植被仍需辅助灌溉。</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hAnsi="Times New Roman" w:eastAsia="仿宋_GB2312" w:cs="Times New Roman"/>
          <w:b w:val="0"/>
          <w:bCs/>
          <w:color w:val="000000" w:themeColor="text1"/>
          <w:kern w:val="0"/>
          <w:sz w:val="24"/>
          <w14:textFill>
            <w14:solidFill>
              <w14:schemeClr w14:val="tx1"/>
            </w14:solidFill>
          </w14:textFill>
        </w:rPr>
      </w:pPr>
      <w:r>
        <w:rPr>
          <w:rFonts w:hint="eastAsia" w:ascii="仿宋_GB2312" w:hAnsi="Times New Roman" w:eastAsia="仿宋_GB2312" w:cs="Times New Roman"/>
          <w:b w:val="0"/>
          <w:bCs/>
          <w:color w:val="000000" w:themeColor="text1"/>
          <w:kern w:val="0"/>
          <w:sz w:val="24"/>
          <w14:textFill>
            <w14:solidFill>
              <w14:schemeClr w14:val="tx1"/>
            </w14:solidFill>
          </w14:textFill>
        </w:rPr>
        <w:t>故林地区域由于植物生长初期根系未发育完全，需在撒播后一年内对其人工灌溉，根据当地植物的生长周期及项目区春秋季节降水量较少，确定管护期种植第一年内浇水4次，即每年5月、6月、7月、8月各浇水一次。本项目复垦林地（灌木林地）</w:t>
      </w:r>
      <w:r>
        <w:rPr>
          <w:rFonts w:hint="eastAsia" w:ascii="仿宋_GB2312" w:hAnsi="Times New Roman" w:eastAsia="仿宋_GB2312" w:cs="Times New Roman"/>
          <w:b w:val="0"/>
          <w:bCs/>
          <w:color w:val="000000" w:themeColor="text1"/>
          <w:kern w:val="0"/>
          <w:sz w:val="24"/>
          <w:lang w:eastAsia="zh-CN"/>
          <w14:textFill>
            <w14:solidFill>
              <w14:schemeClr w14:val="tx1"/>
            </w14:solidFill>
          </w14:textFill>
        </w:rPr>
        <w:t>0</w:t>
      </w:r>
      <w:r>
        <w:rPr>
          <w:rFonts w:hint="eastAsia" w:ascii="仿宋_GB2312" w:eastAsia="仿宋_GB2312" w:cs="Times New Roman"/>
          <w:b w:val="0"/>
          <w:bCs/>
          <w:color w:val="000000" w:themeColor="text1"/>
          <w:kern w:val="0"/>
          <w:sz w:val="24"/>
          <w:lang w:val="en-US" w:eastAsia="zh-CN"/>
          <w14:textFill>
            <w14:solidFill>
              <w14:schemeClr w14:val="tx1"/>
            </w14:solidFill>
          </w14:textFill>
        </w:rPr>
        <w:t>.0601</w:t>
      </w:r>
      <w:r>
        <w:rPr>
          <w:rFonts w:hint="eastAsia" w:ascii="仿宋_GB2312" w:hAnsi="Times New Roman" w:eastAsia="仿宋_GB2312" w:cs="Times New Roman"/>
          <w:b w:val="0"/>
          <w:bCs/>
          <w:color w:val="000000" w:themeColor="text1"/>
          <w:kern w:val="0"/>
          <w:sz w:val="24"/>
          <w14:textFill>
            <w14:solidFill>
              <w14:schemeClr w14:val="tx1"/>
            </w14:solidFill>
          </w14:textFill>
        </w:rPr>
        <w:t>公顷，经查询可参照《新疆农业用水灌溉定额》的其他类灌水定额，确定管护期</w:t>
      </w:r>
      <w:r>
        <w:rPr>
          <w:rFonts w:hint="eastAsia" w:ascii="仿宋_GB2312" w:eastAsia="仿宋_GB2312" w:cs="Times New Roman"/>
          <w:b w:val="0"/>
          <w:bCs/>
          <w:color w:val="000000" w:themeColor="text1"/>
          <w:kern w:val="0"/>
          <w:sz w:val="24"/>
          <w:lang w:val="en-US" w:eastAsia="zh-CN"/>
          <w14:textFill>
            <w14:solidFill>
              <w14:schemeClr w14:val="tx1"/>
            </w14:solidFill>
          </w14:textFill>
        </w:rPr>
        <w:t>3年内进行</w:t>
      </w:r>
      <w:r>
        <w:rPr>
          <w:rFonts w:hint="eastAsia" w:ascii="仿宋_GB2312" w:hAnsi="Times New Roman" w:eastAsia="仿宋_GB2312" w:cs="Times New Roman"/>
          <w:b w:val="0"/>
          <w:bCs/>
          <w:color w:val="000000" w:themeColor="text1"/>
          <w:kern w:val="0"/>
          <w:sz w:val="24"/>
          <w14:textFill>
            <w14:solidFill>
              <w14:schemeClr w14:val="tx1"/>
            </w14:solidFill>
          </w14:textFill>
        </w:rPr>
        <w:t>人工灌溉，林地总灌溉水量2400立方米/公顷，林地复垦区灌溉需水量2400立方米/公顷*</w:t>
      </w:r>
      <w:r>
        <w:rPr>
          <w:rFonts w:hint="eastAsia" w:ascii="仿宋_GB2312" w:eastAsia="仿宋_GB2312" w:cs="Times New Roman"/>
          <w:b w:val="0"/>
          <w:bCs/>
          <w:color w:val="000000" w:themeColor="text1"/>
          <w:kern w:val="0"/>
          <w:sz w:val="24"/>
          <w:lang w:val="en-US" w:eastAsia="zh-CN"/>
          <w14:textFill>
            <w14:solidFill>
              <w14:schemeClr w14:val="tx1"/>
            </w14:solidFill>
          </w14:textFill>
        </w:rPr>
        <w:t>0.0601</w:t>
      </w:r>
      <w:r>
        <w:rPr>
          <w:rFonts w:hint="eastAsia" w:ascii="仿宋_GB2312" w:hAnsi="Times New Roman" w:eastAsia="仿宋_GB2312" w:cs="Times New Roman"/>
          <w:b w:val="0"/>
          <w:bCs/>
          <w:color w:val="000000" w:themeColor="text1"/>
          <w:kern w:val="0"/>
          <w:sz w:val="24"/>
          <w14:textFill>
            <w14:solidFill>
              <w14:schemeClr w14:val="tx1"/>
            </w14:solidFill>
          </w14:textFill>
        </w:rPr>
        <w:t>公顷</w:t>
      </w:r>
      <w:r>
        <w:rPr>
          <w:rFonts w:hint="eastAsia" w:ascii="仿宋_GB2312" w:eastAsia="仿宋_GB2312" w:cs="Times New Roman"/>
          <w:b w:val="0"/>
          <w:bCs/>
          <w:color w:val="000000" w:themeColor="text1"/>
          <w:kern w:val="0"/>
          <w:sz w:val="24"/>
          <w:lang w:val="en-US" w:eastAsia="zh-CN"/>
          <w14:textFill>
            <w14:solidFill>
              <w14:schemeClr w14:val="tx1"/>
            </w14:solidFill>
          </w14:textFill>
        </w:rPr>
        <w:t>*3</w:t>
      </w:r>
      <w:r>
        <w:rPr>
          <w:rFonts w:hint="eastAsia" w:ascii="仿宋_GB2312" w:hAnsi="Times New Roman" w:eastAsia="仿宋_GB2312" w:cs="Times New Roman"/>
          <w:b w:val="0"/>
          <w:bCs/>
          <w:color w:val="000000" w:themeColor="text1"/>
          <w:kern w:val="0"/>
          <w:sz w:val="24"/>
          <w14:textFill>
            <w14:solidFill>
              <w14:schemeClr w14:val="tx1"/>
            </w14:solidFill>
          </w14:textFill>
        </w:rPr>
        <w:t>=</w:t>
      </w:r>
      <w:r>
        <w:rPr>
          <w:rFonts w:hint="eastAsia" w:ascii="仿宋_GB2312" w:eastAsia="仿宋_GB2312" w:cs="Times New Roman"/>
          <w:b w:val="0"/>
          <w:bCs/>
          <w:color w:val="000000" w:themeColor="text1"/>
          <w:kern w:val="0"/>
          <w:sz w:val="24"/>
          <w:lang w:val="en-US" w:eastAsia="zh-CN"/>
          <w14:textFill>
            <w14:solidFill>
              <w14:schemeClr w14:val="tx1"/>
            </w14:solidFill>
          </w14:textFill>
        </w:rPr>
        <w:t>433</w:t>
      </w:r>
      <w:r>
        <w:rPr>
          <w:rFonts w:hint="eastAsia" w:ascii="仿宋_GB2312" w:hAnsi="Times New Roman" w:eastAsia="仿宋_GB2312" w:cs="Times New Roman"/>
          <w:b w:val="0"/>
          <w:bCs/>
          <w:color w:val="000000" w:themeColor="text1"/>
          <w:kern w:val="0"/>
          <w:sz w:val="24"/>
          <w14:textFill>
            <w14:solidFill>
              <w14:schemeClr w14:val="tx1"/>
            </w14:solidFill>
          </w14:textFill>
        </w:rPr>
        <w:t>立方米。</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hAnsi="Times New Roman" w:eastAsia="仿宋_GB2312" w:cs="Times New Roman"/>
          <w:b w:val="0"/>
          <w:bCs/>
          <w:color w:val="000000" w:themeColor="text1"/>
          <w:kern w:val="0"/>
          <w:sz w:val="24"/>
          <w14:textFill>
            <w14:solidFill>
              <w14:schemeClr w14:val="tx1"/>
            </w14:solidFill>
          </w14:textFill>
        </w:rPr>
      </w:pPr>
      <w:r>
        <w:rPr>
          <w:rFonts w:hint="eastAsia" w:ascii="仿宋_GB2312" w:hAnsi="Times New Roman" w:eastAsia="仿宋_GB2312" w:cs="Times New Roman"/>
          <w:b w:val="0"/>
          <w:bCs/>
          <w:color w:val="000000" w:themeColor="text1"/>
          <w:kern w:val="0"/>
          <w:sz w:val="24"/>
          <w14:textFill>
            <w14:solidFill>
              <w14:schemeClr w14:val="tx1"/>
            </w14:solidFill>
          </w14:textFill>
        </w:rPr>
        <w:t>项目区灌溉需水总量</w:t>
      </w:r>
      <w:r>
        <w:rPr>
          <w:rFonts w:hint="eastAsia" w:ascii="仿宋_GB2312" w:eastAsia="仿宋_GB2312" w:cs="Times New Roman"/>
          <w:b w:val="0"/>
          <w:bCs/>
          <w:color w:val="000000" w:themeColor="text1"/>
          <w:kern w:val="0"/>
          <w:sz w:val="24"/>
          <w:lang w:val="en-US" w:eastAsia="zh-CN"/>
          <w14:textFill>
            <w14:solidFill>
              <w14:schemeClr w14:val="tx1"/>
            </w14:solidFill>
          </w14:textFill>
        </w:rPr>
        <w:t>433</w:t>
      </w:r>
      <w:r>
        <w:rPr>
          <w:rFonts w:hint="eastAsia" w:ascii="仿宋_GB2312" w:hAnsi="Times New Roman" w:eastAsia="仿宋_GB2312" w:cs="Times New Roman"/>
          <w:b w:val="0"/>
          <w:bCs/>
          <w:color w:val="000000" w:themeColor="text1"/>
          <w:kern w:val="0"/>
          <w:sz w:val="24"/>
          <w14:textFill>
            <w14:solidFill>
              <w14:schemeClr w14:val="tx1"/>
            </w14:solidFill>
          </w14:textFill>
        </w:rPr>
        <w:t>立方米。</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仿宋_GB2312" w:hAnsi="Times New Roman" w:eastAsia="仿宋_GB2312" w:cs="Times New Roman"/>
          <w:b w:val="0"/>
          <w:bCs/>
          <w:color w:val="000000" w:themeColor="text1"/>
          <w:kern w:val="0"/>
          <w:sz w:val="24"/>
          <w:lang w:val="en-US"/>
          <w14:textFill>
            <w14:solidFill>
              <w14:schemeClr w14:val="tx1"/>
            </w14:solidFill>
          </w14:textFill>
        </w:rPr>
      </w:pPr>
      <w:r>
        <w:rPr>
          <w:rFonts w:hint="eastAsia" w:ascii="仿宋_GB2312" w:hAnsi="Times New Roman" w:eastAsia="仿宋_GB2312" w:cs="Times New Roman"/>
          <w:b w:val="0"/>
          <w:bCs/>
          <w:color w:val="000000" w:themeColor="text1"/>
          <w:kern w:val="0"/>
          <w:sz w:val="24"/>
          <w:lang w:val="en-US" w:eastAsia="zh-CN"/>
          <w14:textFill>
            <w14:solidFill>
              <w14:schemeClr w14:val="tx1"/>
            </w14:solidFill>
          </w14:textFill>
        </w:rPr>
        <w:t>本项目复垦</w:t>
      </w:r>
      <w:r>
        <w:rPr>
          <w:rFonts w:hint="eastAsia" w:ascii="仿宋_GB2312" w:hAnsi="Times New Roman" w:eastAsia="仿宋_GB2312" w:cs="Times New Roman"/>
          <w:b w:val="0"/>
          <w:bCs/>
          <w:color w:val="000000" w:themeColor="text1"/>
          <w:kern w:val="0"/>
          <w:sz w:val="24"/>
          <w14:textFill>
            <w14:solidFill>
              <w14:schemeClr w14:val="tx1"/>
            </w14:solidFill>
          </w14:textFill>
        </w:rPr>
        <w:t>灌溉需水总量</w:t>
      </w:r>
      <w:r>
        <w:rPr>
          <w:rFonts w:hint="eastAsia" w:ascii="仿宋_GB2312" w:eastAsia="仿宋_GB2312" w:cs="Times New Roman"/>
          <w:b w:val="0"/>
          <w:bCs/>
          <w:color w:val="000000" w:themeColor="text1"/>
          <w:kern w:val="0"/>
          <w:sz w:val="24"/>
          <w:lang w:val="en-US" w:eastAsia="zh-CN"/>
          <w14:textFill>
            <w14:solidFill>
              <w14:schemeClr w14:val="tx1"/>
            </w14:solidFill>
          </w14:textFill>
        </w:rPr>
        <w:t>433</w:t>
      </w:r>
      <w:r>
        <w:rPr>
          <w:rFonts w:hint="eastAsia" w:ascii="仿宋_GB2312" w:hAnsi="Times New Roman" w:eastAsia="仿宋_GB2312" w:cs="Times New Roman"/>
          <w:b w:val="0"/>
          <w:bCs/>
          <w:color w:val="000000" w:themeColor="text1"/>
          <w:kern w:val="0"/>
          <w:sz w:val="24"/>
          <w14:textFill>
            <w14:solidFill>
              <w14:schemeClr w14:val="tx1"/>
            </w14:solidFill>
          </w14:textFill>
        </w:rPr>
        <w:t>立方米</w:t>
      </w:r>
      <w:r>
        <w:rPr>
          <w:rFonts w:hint="eastAsia" w:ascii="仿宋_GB2312" w:hAnsi="Times New Roman" w:eastAsia="仿宋_GB2312" w:cs="Times New Roman"/>
          <w:b w:val="0"/>
          <w:bCs/>
          <w:color w:val="000000" w:themeColor="text1"/>
          <w:kern w:val="0"/>
          <w:sz w:val="24"/>
          <w:lang w:eastAsia="zh-CN"/>
          <w14:textFill>
            <w14:solidFill>
              <w14:schemeClr w14:val="tx1"/>
            </w14:solidFill>
          </w14:textFill>
        </w:rPr>
        <w:t>，</w:t>
      </w:r>
      <w:r>
        <w:rPr>
          <w:rFonts w:hint="eastAsia" w:ascii="仿宋_GB2312" w:hAnsi="Times New Roman" w:eastAsia="仿宋_GB2312" w:cs="Times New Roman"/>
          <w:b w:val="0"/>
          <w:bCs/>
          <w:color w:val="000000" w:themeColor="text1"/>
          <w:kern w:val="0"/>
          <w:sz w:val="24"/>
          <w:lang w:val="en-US" w:eastAsia="zh-CN"/>
          <w14:textFill>
            <w14:solidFill>
              <w14:schemeClr w14:val="tx1"/>
            </w14:solidFill>
          </w14:textFill>
        </w:rPr>
        <w:t>项目区紧邻的盖孜河多年平均年径流量可满足灌溉需求，灌溉取水口位于跃进干渠与乡道交汇处。</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Style w:val="28"/>
          <w:rFonts w:ascii="Times New Roman" w:eastAsia="黑体"/>
          <w:b w:val="0"/>
          <w:bCs/>
          <w:color w:val="000000" w:themeColor="text1"/>
          <w14:textFill>
            <w14:solidFill>
              <w14:schemeClr w14:val="tx1"/>
            </w14:solidFill>
          </w14:textFill>
        </w:rPr>
      </w:pPr>
      <w:r>
        <w:rPr>
          <w:rFonts w:hint="eastAsia" w:ascii="Times New Roman" w:hAnsi="Times New Roman" w:eastAsia="仿宋_GB2312"/>
          <w:b w:val="0"/>
          <w:color w:val="000000" w:themeColor="text1"/>
          <w:sz w:val="30"/>
          <w:szCs w:val="30"/>
          <w14:textFill>
            <w14:solidFill>
              <w14:schemeClr w14:val="tx1"/>
            </w14:solidFill>
          </w14:textFill>
        </w:rPr>
        <w:t>4.6</w:t>
      </w:r>
      <w:r>
        <w:rPr>
          <w:rFonts w:hint="eastAsia" w:ascii="Times New Roman" w:hAnsi="Times New Roman" w:eastAsia="仿宋_GB2312"/>
          <w:bCs w:val="0"/>
          <w:color w:val="000000" w:themeColor="text1"/>
          <w:sz w:val="30"/>
          <w:szCs w:val="30"/>
          <w14:textFill>
            <w14:solidFill>
              <w14:schemeClr w14:val="tx1"/>
            </w14:solidFill>
          </w14:textFill>
        </w:rPr>
        <w:t xml:space="preserve"> </w:t>
      </w:r>
      <w:r>
        <w:rPr>
          <w:rFonts w:hint="eastAsia" w:ascii="黑体" w:hAnsi="黑体" w:cs="黑体"/>
          <w:b w:val="0"/>
          <w:color w:val="000000" w:themeColor="text1"/>
          <w:sz w:val="30"/>
          <w:szCs w:val="30"/>
          <w14:textFill>
            <w14:solidFill>
              <w14:schemeClr w14:val="tx1"/>
            </w14:solidFill>
          </w14:textFill>
        </w:rPr>
        <w:t>复垦的目标任务</w:t>
      </w:r>
      <w:bookmarkEnd w:id="102"/>
      <w:bookmarkEnd w:id="103"/>
    </w:p>
    <w:bookmarkEnd w:id="90"/>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eastAsia="仿宋_GB2312"/>
          <w:b w:val="0"/>
          <w:bCs/>
          <w:color w:val="000000" w:themeColor="text1"/>
          <w:kern w:val="0"/>
          <w:sz w:val="24"/>
          <w14:textFill>
            <w14:solidFill>
              <w14:schemeClr w14:val="tx1"/>
            </w14:solidFill>
          </w14:textFill>
        </w:rPr>
      </w:pPr>
      <w:r>
        <w:rPr>
          <w:rFonts w:hint="eastAsia" w:ascii="仿宋_GB2312" w:eastAsia="仿宋_GB2312"/>
          <w:b w:val="0"/>
          <w:bCs/>
          <w:color w:val="000000" w:themeColor="text1"/>
          <w:kern w:val="0"/>
          <w:sz w:val="24"/>
          <w14:textFill>
            <w14:solidFill>
              <w14:schemeClr w14:val="tx1"/>
            </w14:solidFill>
          </w14:textFill>
        </w:rPr>
        <w:t>在尽量确保复垦方向与周边土地利用类型相适应、与土地利用总体规划保持一致的情况下，根据土地复垦适宜性评价分析结果，结合</w:t>
      </w:r>
      <w:r>
        <w:rPr>
          <w:rFonts w:hint="eastAsia" w:ascii="仿宋_GB2312" w:hAnsi="Times New Roman" w:eastAsia="仿宋_GB2312" w:cs="Times New Roman"/>
          <w:b w:val="0"/>
          <w:bCs/>
          <w:color w:val="000000" w:themeColor="text1"/>
          <w:kern w:val="0"/>
          <w:sz w:val="24"/>
          <w14:textFill>
            <w14:solidFill>
              <w14:schemeClr w14:val="tx1"/>
            </w14:solidFill>
          </w14:textFill>
        </w:rPr>
        <w:t>项目区自然环境特征，确定项目区土地复垦方向、复垦面积及土地复垦率。本方案复垦责任范围面积</w:t>
      </w:r>
      <w:r>
        <w:rPr>
          <w:rFonts w:hint="eastAsia" w:ascii="仿宋_GB2312" w:eastAsia="仿宋_GB2312" w:cs="Times New Roman"/>
          <w:b w:val="0"/>
          <w:bCs/>
          <w:color w:val="000000" w:themeColor="text1"/>
          <w:kern w:val="0"/>
          <w:sz w:val="24"/>
          <w:lang w:val="en-US" w:eastAsia="zh-CN"/>
          <w14:textFill>
            <w14:solidFill>
              <w14:schemeClr w14:val="tx1"/>
            </w14:solidFill>
          </w14:textFill>
        </w:rPr>
        <w:t>8.0492</w:t>
      </w:r>
      <w:r>
        <w:rPr>
          <w:rFonts w:hint="eastAsia" w:ascii="仿宋_GB2312" w:hAnsi="Times New Roman" w:eastAsia="仿宋_GB2312" w:cs="Times New Roman"/>
          <w:b w:val="0"/>
          <w:bCs/>
          <w:color w:val="000000" w:themeColor="text1"/>
          <w:kern w:val="0"/>
          <w:sz w:val="24"/>
          <w14:textFill>
            <w14:solidFill>
              <w14:schemeClr w14:val="tx1"/>
            </w14:solidFill>
          </w14:textFill>
        </w:rPr>
        <w:t>hm2，土地复垦率为100%</w:t>
      </w:r>
      <w:r>
        <w:rPr>
          <w:rFonts w:hint="eastAsia" w:ascii="仿宋_GB2312" w:hAnsi="Times New Roman" w:eastAsia="仿宋_GB2312" w:cs="Times New Roman"/>
          <w:b w:val="0"/>
          <w:bCs/>
          <w:color w:val="000000" w:themeColor="text1"/>
          <w:kern w:val="0"/>
          <w:sz w:val="24"/>
          <w:lang w:eastAsia="zh-CN"/>
          <w14:textFill>
            <w14:solidFill>
              <w14:schemeClr w14:val="tx1"/>
            </w14:solidFill>
          </w14:textFill>
        </w:rPr>
        <w:t>，</w:t>
      </w:r>
      <w:r>
        <w:rPr>
          <w:rFonts w:hint="eastAsia" w:ascii="仿宋_GB2312" w:hAnsi="Times New Roman" w:eastAsia="仿宋_GB2312" w:cs="Times New Roman"/>
          <w:b w:val="0"/>
          <w:bCs/>
          <w:color w:val="000000" w:themeColor="text1"/>
          <w:kern w:val="0"/>
          <w:sz w:val="24"/>
          <w14:textFill>
            <w14:solidFill>
              <w14:schemeClr w14:val="tx1"/>
            </w14:solidFill>
          </w14:textFill>
        </w:rPr>
        <w:t>复垦前后土地利用结构调整</w:t>
      </w:r>
      <w:r>
        <w:rPr>
          <w:rFonts w:hint="eastAsia" w:ascii="仿宋_GB2312" w:hAnsi="Times New Roman" w:eastAsia="仿宋_GB2312" w:cs="Times New Roman"/>
          <w:b w:val="0"/>
          <w:bCs/>
          <w:color w:val="000000" w:themeColor="text1"/>
          <w:kern w:val="0"/>
          <w:sz w:val="24"/>
          <w:lang w:val="en-US" w:eastAsia="zh-CN"/>
          <w14:textFill>
            <w14:solidFill>
              <w14:schemeClr w14:val="tx1"/>
            </w14:solidFill>
          </w14:textFill>
        </w:rPr>
        <w:t>见下表</w:t>
      </w:r>
      <w:r>
        <w:rPr>
          <w:rFonts w:hint="eastAsia" w:ascii="仿宋_GB2312" w:hAnsi="Times New Roman" w:eastAsia="仿宋_GB2312" w:cs="Times New Roman"/>
          <w:b w:val="0"/>
          <w:bCs/>
          <w:color w:val="000000" w:themeColor="text1"/>
          <w:kern w:val="0"/>
          <w:sz w:val="24"/>
          <w14:textFill>
            <w14:solidFill>
              <w14:schemeClr w14:val="tx1"/>
            </w14:solidFill>
          </w14:textFill>
        </w:rPr>
        <w:t>（表</w:t>
      </w:r>
      <w:r>
        <w:rPr>
          <w:rFonts w:hint="eastAsia" w:eastAsia="仿宋_GB2312"/>
          <w:b w:val="0"/>
          <w:bCs/>
          <w:color w:val="000000" w:themeColor="text1"/>
          <w:sz w:val="24"/>
          <w14:textFill>
            <w14:solidFill>
              <w14:schemeClr w14:val="tx1"/>
            </w14:solidFill>
          </w14:textFill>
        </w:rPr>
        <w:t>4-</w:t>
      </w:r>
      <w:r>
        <w:rPr>
          <w:rFonts w:hint="eastAsia" w:eastAsia="仿宋_GB2312"/>
          <w:b w:val="0"/>
          <w:bCs/>
          <w:color w:val="000000" w:themeColor="text1"/>
          <w:sz w:val="24"/>
          <w:lang w:val="en-US" w:eastAsia="zh-CN"/>
          <w14:textFill>
            <w14:solidFill>
              <w14:schemeClr w14:val="tx1"/>
            </w14:solidFill>
          </w14:textFill>
        </w:rPr>
        <w:t>9</w:t>
      </w:r>
      <w:r>
        <w:rPr>
          <w:rFonts w:hint="eastAsia" w:eastAsia="仿宋_GB2312"/>
          <w:b w:val="0"/>
          <w:bCs/>
          <w:color w:val="000000" w:themeColor="text1"/>
          <w:sz w:val="24"/>
          <w14:textFill>
            <w14:solidFill>
              <w14:schemeClr w14:val="tx1"/>
            </w14:solidFill>
          </w14:textFill>
        </w:rPr>
        <w:t>）</w:t>
      </w:r>
      <w:r>
        <w:rPr>
          <w:rFonts w:hint="eastAsia" w:ascii="仿宋_GB2312" w:eastAsia="仿宋_GB2312"/>
          <w:b w:val="0"/>
          <w:bCs/>
          <w:color w:val="000000" w:themeColor="text1"/>
          <w:kern w:val="0"/>
          <w:sz w:val="24"/>
          <w14:textFill>
            <w14:solidFill>
              <w14:schemeClr w14:val="tx1"/>
            </w14:solidFill>
          </w14:textFill>
        </w:rPr>
        <w:t>。</w:t>
      </w:r>
    </w:p>
    <w:p>
      <w:pPr>
        <w:pageBreakBefore w:val="0"/>
        <w:kinsoku/>
        <w:wordWrap/>
        <w:topLinePunct w:val="0"/>
        <w:autoSpaceDE w:val="0"/>
        <w:autoSpaceDN w:val="0"/>
        <w:bidi w:val="0"/>
        <w:adjustRightInd w:val="0"/>
        <w:snapToGrid w:val="0"/>
        <w:spacing w:line="360" w:lineRule="auto"/>
        <w:jc w:val="center"/>
        <w:rPr>
          <w:rFonts w:ascii="黑体" w:hAnsi="黑体" w:eastAsia="黑体"/>
          <w:b w:val="0"/>
          <w:bCs/>
          <w:color w:val="000000" w:themeColor="text1"/>
          <w:szCs w:val="21"/>
          <w14:textFill>
            <w14:solidFill>
              <w14:schemeClr w14:val="tx1"/>
            </w14:solidFill>
          </w14:textFill>
        </w:rPr>
      </w:pPr>
      <w:r>
        <w:rPr>
          <w:rFonts w:ascii="黑体" w:hAnsi="黑体" w:eastAsia="黑体"/>
          <w:b w:val="0"/>
          <w:bCs/>
          <w:color w:val="000000" w:themeColor="text1"/>
          <w:szCs w:val="21"/>
          <w14:textFill>
            <w14:solidFill>
              <w14:schemeClr w14:val="tx1"/>
            </w14:solidFill>
          </w14:textFill>
        </w:rPr>
        <w:t>表4</w:t>
      </w:r>
      <w:r>
        <w:rPr>
          <w:rFonts w:hint="eastAsia" w:ascii="黑体" w:hAnsi="黑体" w:eastAsia="黑体"/>
          <w:b w:val="0"/>
          <w:bCs/>
          <w:color w:val="000000" w:themeColor="text1"/>
          <w:szCs w:val="21"/>
          <w14:textFill>
            <w14:solidFill>
              <w14:schemeClr w14:val="tx1"/>
            </w14:solidFill>
          </w14:textFill>
        </w:rPr>
        <w:t>-</w:t>
      </w:r>
      <w:r>
        <w:rPr>
          <w:rFonts w:hint="eastAsia" w:ascii="黑体" w:hAnsi="黑体" w:eastAsia="黑体"/>
          <w:b w:val="0"/>
          <w:bCs/>
          <w:color w:val="000000" w:themeColor="text1"/>
          <w:szCs w:val="21"/>
          <w:lang w:val="en-US" w:eastAsia="zh-CN"/>
          <w14:textFill>
            <w14:solidFill>
              <w14:schemeClr w14:val="tx1"/>
            </w14:solidFill>
          </w14:textFill>
        </w:rPr>
        <w:t>9</w:t>
      </w:r>
      <w:r>
        <w:rPr>
          <w:rFonts w:hint="eastAsia" w:ascii="黑体" w:hAnsi="黑体" w:eastAsia="黑体"/>
          <w:b w:val="0"/>
          <w:bCs/>
          <w:color w:val="000000" w:themeColor="text1"/>
          <w:szCs w:val="21"/>
          <w14:textFill>
            <w14:solidFill>
              <w14:schemeClr w14:val="tx1"/>
            </w14:solidFill>
          </w14:textFill>
        </w:rPr>
        <w:t xml:space="preserve"> </w:t>
      </w:r>
      <w:r>
        <w:rPr>
          <w:rFonts w:ascii="黑体" w:hAnsi="黑体" w:eastAsia="黑体"/>
          <w:b w:val="0"/>
          <w:bCs/>
          <w:color w:val="000000" w:themeColor="text1"/>
          <w:szCs w:val="21"/>
          <w14:textFill>
            <w14:solidFill>
              <w14:schemeClr w14:val="tx1"/>
            </w14:solidFill>
          </w14:textFill>
        </w:rPr>
        <w:t>复垦前后土地利用结构调整表</w:t>
      </w:r>
    </w:p>
    <w:tbl>
      <w:tblPr>
        <w:tblStyle w:val="20"/>
        <w:tblW w:w="85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6"/>
        <w:gridCol w:w="2126"/>
        <w:gridCol w:w="212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6378"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复垦前</w:t>
            </w:r>
          </w:p>
        </w:tc>
        <w:tc>
          <w:tcPr>
            <w:tcW w:w="21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复垦后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21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一级地类</w:t>
            </w:r>
          </w:p>
        </w:tc>
        <w:tc>
          <w:tcPr>
            <w:tcW w:w="212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二 级 地 类</w:t>
            </w:r>
          </w:p>
        </w:tc>
        <w:tc>
          <w:tcPr>
            <w:tcW w:w="21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面积（公顷）</w:t>
            </w:r>
          </w:p>
        </w:tc>
        <w:tc>
          <w:tcPr>
            <w:tcW w:w="21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面积（公顷）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耕地（01）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水浇地（0102）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0.1754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0.1754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种植园用地（02）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果园（0201）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0.705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林地（03）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灌木林地（0305）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0.0601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交通运输用地（10）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公路用地（1003）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0.0508</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农村道路（1006）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0.2616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水域及水利设施用地（11）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河流水面（1101）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1.5254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1.5254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坑塘水面（1104）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4.9181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4.9181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沟渠（1107）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0.074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宋体" w:eastAsia="仿宋_GB2312" w:cs="仿宋_GB2312"/>
                <w:b w:val="0"/>
                <w:bCs/>
                <w:i w:val="0"/>
                <w:iCs w:val="0"/>
                <w:color w:val="000000" w:themeColor="text1"/>
                <w:kern w:val="0"/>
                <w:sz w:val="21"/>
                <w:szCs w:val="21"/>
                <w:u w:val="none"/>
                <w:lang w:val="en-US" w:eastAsia="zh-CN" w:bidi="ar"/>
                <w14:textFill>
                  <w14:solidFill>
                    <w14:schemeClr w14:val="tx1"/>
                  </w14:solidFill>
                </w14:textFill>
              </w:rPr>
              <w:t>0.074</w:t>
            </w:r>
          </w:p>
        </w:tc>
      </w:tr>
    </w:tbl>
    <w:p>
      <w:pPr>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eastAsia="仿宋_GB2312"/>
          <w:b w:val="0"/>
          <w:bCs w:val="0"/>
          <w:color w:val="000000" w:themeColor="text1"/>
          <w:sz w:val="32"/>
          <w:szCs w:val="32"/>
          <w14:textFill>
            <w14:solidFill>
              <w14:schemeClr w14:val="tx1"/>
            </w14:solidFill>
          </w14:textFill>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keepNext/>
        <w:keepLines/>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黑体" w:hAnsi="黑体" w:eastAsia="黑体" w:cs="黑体"/>
          <w:b w:val="0"/>
          <w:bCs w:val="0"/>
          <w:color w:val="000000" w:themeColor="text1"/>
          <w:sz w:val="32"/>
          <w:szCs w:val="32"/>
          <w14:textFill>
            <w14:solidFill>
              <w14:schemeClr w14:val="tx1"/>
            </w14:solidFill>
          </w14:textFill>
        </w:rPr>
      </w:pPr>
      <w:bookmarkStart w:id="104" w:name="_Toc12533"/>
      <w:bookmarkStart w:id="105" w:name="_Toc13095"/>
      <w:r>
        <w:rPr>
          <w:rFonts w:hint="eastAsia" w:eastAsia="仿宋_GB2312"/>
          <w:b w:val="0"/>
          <w:bCs w:val="0"/>
          <w:color w:val="000000" w:themeColor="text1"/>
          <w:sz w:val="32"/>
          <w:szCs w:val="32"/>
          <w14:textFill>
            <w14:solidFill>
              <w14:schemeClr w14:val="tx1"/>
            </w14:solidFill>
          </w14:textFill>
        </w:rPr>
        <w:t>5</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土地复垦质量要求与复垦措施</w:t>
      </w:r>
      <w:bookmarkEnd w:id="104"/>
      <w:bookmarkEnd w:id="105"/>
    </w:p>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hint="eastAsia" w:ascii="Times New Roman" w:hAnsi="Times New Roman" w:eastAsia="仿宋_GB2312"/>
          <w:b w:val="0"/>
          <w:color w:val="000000" w:themeColor="text1"/>
          <w:sz w:val="30"/>
          <w:szCs w:val="30"/>
          <w14:textFill>
            <w14:solidFill>
              <w14:schemeClr w14:val="tx1"/>
            </w14:solidFill>
          </w14:textFill>
        </w:rPr>
      </w:pPr>
      <w:bookmarkStart w:id="106" w:name="_Toc234532173"/>
      <w:bookmarkStart w:id="107" w:name="_Toc176955860"/>
      <w:bookmarkStart w:id="108" w:name="_Toc181246626"/>
      <w:bookmarkStart w:id="109" w:name="_Toc233032192"/>
      <w:bookmarkStart w:id="110" w:name="_Toc234532111"/>
      <w:bookmarkStart w:id="111" w:name="_Toc233595976"/>
      <w:bookmarkStart w:id="112" w:name="_Toc13714"/>
      <w:bookmarkStart w:id="113" w:name="_Toc309127538"/>
      <w:bookmarkStart w:id="114" w:name="_Toc23478"/>
      <w:r>
        <w:rPr>
          <w:rFonts w:hint="eastAsia" w:ascii="Times New Roman" w:hAnsi="Times New Roman" w:eastAsia="仿宋_GB2312"/>
          <w:b w:val="0"/>
          <w:color w:val="000000" w:themeColor="text1"/>
          <w:sz w:val="30"/>
          <w:szCs w:val="30"/>
          <w14:textFill>
            <w14:solidFill>
              <w14:schemeClr w14:val="tx1"/>
            </w14:solidFill>
          </w14:textFill>
        </w:rPr>
        <w:t xml:space="preserve">5.1 </w:t>
      </w:r>
      <w:r>
        <w:rPr>
          <w:rFonts w:hint="eastAsia" w:ascii="黑体" w:hAnsi="黑体" w:cs="黑体"/>
          <w:b w:val="0"/>
          <w:color w:val="000000" w:themeColor="text1"/>
          <w:sz w:val="30"/>
          <w:szCs w:val="30"/>
          <w14:textFill>
            <w14:solidFill>
              <w14:schemeClr w14:val="tx1"/>
            </w14:solidFill>
          </w14:textFill>
        </w:rPr>
        <w:t>土地复垦</w:t>
      </w:r>
      <w:bookmarkEnd w:id="106"/>
      <w:bookmarkEnd w:id="107"/>
      <w:bookmarkEnd w:id="108"/>
      <w:bookmarkEnd w:id="109"/>
      <w:bookmarkEnd w:id="110"/>
      <w:bookmarkEnd w:id="111"/>
      <w:r>
        <w:rPr>
          <w:rFonts w:hint="eastAsia" w:ascii="黑体" w:hAnsi="黑体" w:cs="黑体"/>
          <w:b w:val="0"/>
          <w:color w:val="000000" w:themeColor="text1"/>
          <w:sz w:val="30"/>
          <w:szCs w:val="30"/>
          <w14:textFill>
            <w14:solidFill>
              <w14:schemeClr w14:val="tx1"/>
            </w14:solidFill>
          </w14:textFill>
        </w:rPr>
        <w:t>质量要求</w:t>
      </w:r>
      <w:bookmarkEnd w:id="112"/>
      <w:bookmarkEnd w:id="113"/>
      <w:bookmarkEnd w:id="114"/>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bookmarkStart w:id="115" w:name="_Toc233032202"/>
      <w:bookmarkStart w:id="116" w:name="_Toc234532120"/>
      <w:bookmarkStart w:id="117" w:name="_Toc234532177"/>
      <w:bookmarkStart w:id="118" w:name="_Toc309127539"/>
      <w:bookmarkStart w:id="119" w:name="_Toc233595980"/>
      <w:r>
        <w:rPr>
          <w:color w:val="000000" w:themeColor="text1"/>
          <w:sz w:val="28"/>
          <w14:textFill>
            <w14:solidFill>
              <w14:schemeClr w14:val="tx1"/>
            </w14:solidFill>
          </w14:textFill>
        </w:rPr>
        <w:t xml:space="preserve">5.1.1 </w:t>
      </w:r>
      <w:r>
        <w:rPr>
          <w:rFonts w:hint="eastAsia" w:ascii="黑体" w:hAnsi="黑体" w:eastAsia="黑体" w:cs="黑体"/>
          <w:color w:val="000000" w:themeColor="text1"/>
          <w:sz w:val="28"/>
          <w14:textFill>
            <w14:solidFill>
              <w14:schemeClr w14:val="tx1"/>
            </w14:solidFill>
          </w14:textFill>
        </w:rPr>
        <w:t>土地复垦质量控制原则</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a</w:t>
      </w:r>
      <w:r>
        <w:rPr>
          <w:rFonts w:ascii="仿宋_GB2312" w:eastAsia="仿宋_GB2312"/>
          <w:color w:val="000000" w:themeColor="text1"/>
          <w14:textFill>
            <w14:solidFill>
              <w14:schemeClr w14:val="tx1"/>
            </w14:solidFill>
          </w14:textFill>
        </w:rPr>
        <w:t>）符合项目区土地利用总体规划及土地复垦规划，强调服从国家长远利益，宏观利益；</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b</w:t>
      </w:r>
      <w:r>
        <w:rPr>
          <w:rFonts w:ascii="仿宋_GB2312" w:eastAsia="仿宋_GB2312"/>
          <w:color w:val="000000" w:themeColor="text1"/>
          <w14:textFill>
            <w14:solidFill>
              <w14:schemeClr w14:val="tx1"/>
            </w14:solidFill>
          </w14:textFill>
        </w:rPr>
        <w:t>）依据技术经济合理的原则，兼顾自然条件与土地类型实际，选择复垦土地的用途，因地制宜，综合治理。宜农则农，宜林则林，宜牧则牧，宜建设则建设。条件允许的地方，应优先复垦为耕地或农用地；</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c</w:t>
      </w:r>
      <w:r>
        <w:rPr>
          <w:rFonts w:ascii="仿宋_GB2312" w:eastAsia="仿宋_GB2312"/>
          <w:color w:val="000000" w:themeColor="text1"/>
          <w14:textFill>
            <w14:solidFill>
              <w14:schemeClr w14:val="tx1"/>
            </w14:solidFill>
          </w14:textFill>
        </w:rPr>
        <w:t>）复垦后地形地貌与当地自然环境和景观相协调；</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d</w:t>
      </w:r>
      <w:r>
        <w:rPr>
          <w:rFonts w:ascii="仿宋_GB2312" w:eastAsia="仿宋_GB2312"/>
          <w:color w:val="000000" w:themeColor="text1"/>
          <w14:textFill>
            <w14:solidFill>
              <w14:schemeClr w14:val="tx1"/>
            </w14:solidFill>
          </w14:textFill>
        </w:rPr>
        <w:t>）保护土壤、水源和环境质量，保护文化古迹，保护生态，防止水土流失，防止次生污染；</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e</w:t>
      </w:r>
      <w:r>
        <w:rPr>
          <w:rFonts w:ascii="仿宋_GB2312" w:eastAsia="仿宋_GB2312"/>
          <w:color w:val="000000" w:themeColor="text1"/>
          <w14:textFill>
            <w14:solidFill>
              <w14:schemeClr w14:val="tx1"/>
            </w14:solidFill>
          </w14:textFill>
        </w:rPr>
        <w:t>）坚持经济效益、生态效益和社会效益相统一的原则。</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 xml:space="preserve">5.1.2 </w:t>
      </w:r>
      <w:r>
        <w:rPr>
          <w:rFonts w:eastAsia="黑体"/>
          <w:b/>
          <w:bCs w:val="0"/>
          <w:color w:val="000000" w:themeColor="text1"/>
          <w:sz w:val="28"/>
          <w14:textFill>
            <w14:solidFill>
              <w14:schemeClr w14:val="tx1"/>
            </w14:solidFill>
          </w14:textFill>
        </w:rPr>
        <w:t>复垦标准通则</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a</w:t>
      </w:r>
      <w:r>
        <w:rPr>
          <w:rFonts w:ascii="仿宋_GB2312" w:eastAsia="仿宋_GB2312"/>
          <w:color w:val="000000" w:themeColor="text1"/>
          <w14:textFill>
            <w14:solidFill>
              <w14:schemeClr w14:val="tx1"/>
            </w14:solidFill>
          </w14:textFill>
        </w:rPr>
        <w:t>）待复垦责任范围背景资料具备，包括工程地质、水文地质、土壤、植被、区域自然环境和简要社会环境等；待复垦责任范围原用途的设计资料；复垦责任范围利用方向设计论证资料等；</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b</w:t>
      </w:r>
      <w:r>
        <w:rPr>
          <w:rFonts w:ascii="仿宋_GB2312" w:eastAsia="仿宋_GB2312"/>
          <w:color w:val="000000" w:themeColor="text1"/>
          <w14:textFill>
            <w14:solidFill>
              <w14:schemeClr w14:val="tx1"/>
            </w14:solidFill>
          </w14:textFill>
        </w:rPr>
        <w:t xml:space="preserve">）待复垦责任范围利用类型的选择：应与当地地形、地貌及环境相协调。 </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c</w:t>
      </w:r>
      <w:r>
        <w:rPr>
          <w:rFonts w:ascii="仿宋_GB2312" w:eastAsia="仿宋_GB2312"/>
          <w:color w:val="000000" w:themeColor="text1"/>
          <w14:textFill>
            <w14:solidFill>
              <w14:schemeClr w14:val="tx1"/>
            </w14:solidFill>
          </w14:textFill>
        </w:rPr>
        <w:t>）待复垦责任范围及边坡稳定性可靠，原有工程设施</w:t>
      </w:r>
      <w:r>
        <w:rPr>
          <w:color w:val="000000" w:themeColor="text1"/>
          <w14:textFill>
            <w14:solidFill>
              <w14:schemeClr w14:val="tx1"/>
            </w14:solidFill>
          </w14:textFill>
        </w:rPr>
        <w:t>(</w:t>
      </w:r>
      <w:r>
        <w:rPr>
          <w:rFonts w:ascii="仿宋_GB2312" w:eastAsia="仿宋_GB2312"/>
          <w:color w:val="000000" w:themeColor="text1"/>
          <w14:textFill>
            <w14:solidFill>
              <w14:schemeClr w14:val="tx1"/>
            </w14:solidFill>
          </w14:textFill>
        </w:rPr>
        <w:t>坝、堤、坎等</w:t>
      </w:r>
      <w:r>
        <w:rPr>
          <w:color w:val="000000" w:themeColor="text1"/>
          <w14:textFill>
            <w14:solidFill>
              <w14:schemeClr w14:val="tx1"/>
            </w14:solidFill>
          </w14:textFill>
        </w:rPr>
        <w:t>)</w:t>
      </w:r>
      <w:r>
        <w:rPr>
          <w:rFonts w:ascii="仿宋_GB2312" w:eastAsia="仿宋_GB2312"/>
          <w:color w:val="000000" w:themeColor="text1"/>
          <w14:textFill>
            <w14:solidFill>
              <w14:schemeClr w14:val="tx1"/>
            </w14:solidFill>
          </w14:textFill>
        </w:rPr>
        <w:t>稳定</w:t>
      </w:r>
      <w:r>
        <w:rPr>
          <w:color w:val="000000" w:themeColor="text1"/>
          <w14:textFill>
            <w14:solidFill>
              <w14:schemeClr w14:val="tx1"/>
            </w14:solidFill>
          </w14:textFill>
        </w:rPr>
        <w:t>(</w:t>
      </w:r>
      <w:r>
        <w:rPr>
          <w:rFonts w:ascii="仿宋_GB2312" w:eastAsia="仿宋_GB2312"/>
          <w:color w:val="000000" w:themeColor="text1"/>
          <w14:textFill>
            <w14:solidFill>
              <w14:schemeClr w14:val="tx1"/>
            </w14:solidFill>
          </w14:textFill>
        </w:rPr>
        <w:t>含地震情况下</w:t>
      </w:r>
      <w:r>
        <w:rPr>
          <w:color w:val="000000" w:themeColor="text1"/>
          <w14:textFill>
            <w14:solidFill>
              <w14:schemeClr w14:val="tx1"/>
            </w14:solidFill>
          </w14:textFill>
        </w:rPr>
        <w:t>)</w:t>
      </w:r>
      <w:r>
        <w:rPr>
          <w:rFonts w:ascii="仿宋_GB2312" w:eastAsia="仿宋_GB2312"/>
          <w:color w:val="000000" w:themeColor="text1"/>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d</w:t>
      </w:r>
      <w:r>
        <w:rPr>
          <w:rFonts w:ascii="仿宋_GB2312" w:eastAsia="仿宋_GB2312"/>
          <w:color w:val="000000" w:themeColor="text1"/>
          <w14:textFill>
            <w14:solidFill>
              <w14:schemeClr w14:val="tx1"/>
            </w14:solidFill>
          </w14:textFill>
        </w:rPr>
        <w:t>）用作复垦责任范围的覆盖材料，不应含有有毒有害成分。如复垦责任范围含有毒有害成分时，应先处置去除，视其废弃物性质、场地条件、必要时设置隔离层后再行覆盖。充分利用从废弃地收集的表土作为顶部覆盖层；</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e</w:t>
      </w:r>
      <w:r>
        <w:rPr>
          <w:rFonts w:ascii="仿宋_GB2312" w:eastAsia="仿宋_GB2312"/>
          <w:color w:val="000000" w:themeColor="text1"/>
          <w14:textFill>
            <w14:solidFill>
              <w14:schemeClr w14:val="tx1"/>
            </w14:solidFill>
          </w14:textFill>
        </w:rPr>
        <w:t>）覆盖后的复垦责任范围规范、平整。覆盖层容重等满足复垦利用要求；</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f</w:t>
      </w:r>
      <w:r>
        <w:rPr>
          <w:rFonts w:ascii="仿宋_GB2312" w:eastAsia="仿宋_GB2312"/>
          <w:color w:val="000000" w:themeColor="text1"/>
          <w14:textFill>
            <w14:solidFill>
              <w14:schemeClr w14:val="tx1"/>
            </w14:solidFill>
          </w14:textFill>
        </w:rPr>
        <w:t>）复垦责任范围有满足要求的排水设施，防洪标准符合当地要求；</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g</w:t>
      </w:r>
      <w:r>
        <w:rPr>
          <w:rFonts w:ascii="仿宋_GB2312" w:eastAsia="仿宋_GB2312"/>
          <w:color w:val="000000" w:themeColor="text1"/>
          <w14:textFill>
            <w14:solidFill>
              <w14:schemeClr w14:val="tx1"/>
            </w14:solidFill>
          </w14:textFill>
        </w:rPr>
        <w:t>）复垦责任范围有控制水土流失的措施；</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h</w:t>
      </w:r>
      <w:r>
        <w:rPr>
          <w:rFonts w:ascii="仿宋_GB2312" w:eastAsia="仿宋_GB2312"/>
          <w:color w:val="000000" w:themeColor="text1"/>
          <w14:textFill>
            <w14:solidFill>
              <w14:schemeClr w14:val="tx1"/>
            </w14:solidFill>
          </w14:textFill>
        </w:rPr>
        <w:t>）复垦责任范围有控制污染措施，包括空气、地表水、地下水等；</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color w:val="000000" w:themeColor="text1"/>
          <w14:textFill>
            <w14:solidFill>
              <w14:schemeClr w14:val="tx1"/>
            </w14:solidFill>
          </w14:textFill>
        </w:rPr>
      </w:pPr>
      <w:r>
        <w:rPr>
          <w:rFonts w:hint="eastAsia" w:eastAsia="仿宋_GB2312"/>
          <w:color w:val="000000" w:themeColor="text1"/>
          <w14:textFill>
            <w14:solidFill>
              <w14:schemeClr w14:val="tx1"/>
            </w14:solidFill>
          </w14:textFill>
        </w:rPr>
        <w:t>i</w:t>
      </w:r>
      <w:r>
        <w:rPr>
          <w:rFonts w:ascii="仿宋_GB2312" w:eastAsia="仿宋_GB2312"/>
          <w:color w:val="000000" w:themeColor="text1"/>
          <w14:textFill>
            <w14:solidFill>
              <w14:schemeClr w14:val="tx1"/>
            </w14:solidFill>
          </w14:textFill>
        </w:rPr>
        <w:t>）复垦责任范围道路、交通干线布置合理。</w:t>
      </w:r>
    </w:p>
    <w:p>
      <w:pPr>
        <w:pStyle w:val="6"/>
        <w:pageBreakBefore w:val="0"/>
        <w:kinsoku/>
        <w:wordWrap/>
        <w:overflowPunct/>
        <w:topLinePunct w:val="0"/>
        <w:autoSpaceDE/>
        <w:autoSpaceDN/>
        <w:bidi w:val="0"/>
        <w:adjustRightInd w:val="0"/>
        <w:snapToGrid w:val="0"/>
        <w:spacing w:before="161" w:beforeLines="5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r>
        <w:rPr>
          <w:color w:val="000000" w:themeColor="text1"/>
          <w:sz w:val="28"/>
          <w14:textFill>
            <w14:solidFill>
              <w14:schemeClr w14:val="tx1"/>
            </w14:solidFill>
          </w14:textFill>
        </w:rPr>
        <w:t>5.1.3</w:t>
      </w:r>
      <w:r>
        <w:rPr>
          <w:rFonts w:hint="eastAsia" w:ascii="黑体" w:hAnsi="黑体" w:eastAsia="黑体" w:cs="黑体"/>
          <w:color w:val="000000" w:themeColor="text1"/>
          <w:sz w:val="28"/>
          <w14:textFill>
            <w14:solidFill>
              <w14:schemeClr w14:val="tx1"/>
            </w14:solidFill>
          </w14:textFill>
        </w:rPr>
        <w:t>土地复垦质量要求</w:t>
      </w:r>
    </w:p>
    <w:p>
      <w:pPr>
        <w:pStyle w:val="25"/>
        <w:pageBreakBefore w:val="0"/>
        <w:kinsoku/>
        <w:wordWrap/>
        <w:overflowPunct/>
        <w:topLinePunct w:val="0"/>
        <w:autoSpaceDE/>
        <w:autoSpaceDN/>
        <w:bidi w:val="0"/>
        <w:adjustRightInd w:val="0"/>
        <w:snapToGrid w:val="0"/>
        <w:spacing w:line="360" w:lineRule="auto"/>
        <w:ind w:left="0" w:leftChars="0" w:right="0" w:rightChars="0" w:firstLine="482"/>
        <w:textAlignment w:val="auto"/>
        <w:rPr>
          <w:rFonts w:hint="eastAsia" w:eastAsia="仿宋_GB2312"/>
          <w:color w:val="000000" w:themeColor="text1"/>
          <w:lang w:eastAsia="zh-CN"/>
          <w14:textFill>
            <w14:solidFill>
              <w14:schemeClr w14:val="tx1"/>
            </w14:solidFill>
          </w14:textFill>
        </w:rPr>
      </w:pPr>
      <w:r>
        <w:rPr>
          <w:rFonts w:hint="eastAsia" w:ascii="仿宋_GB2312" w:eastAsia="仿宋_GB2312"/>
          <w:color w:val="000000" w:themeColor="text1"/>
          <w14:textFill>
            <w14:solidFill>
              <w14:schemeClr w14:val="tx1"/>
            </w14:solidFill>
          </w14:textFill>
        </w:rPr>
        <w:t>通过</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ascii="仿宋_GB2312" w:eastAsia="仿宋_GB2312"/>
          <w:color w:val="000000" w:themeColor="text1"/>
          <w14:textFill>
            <w14:solidFill>
              <w14:schemeClr w14:val="tx1"/>
            </w14:solidFill>
          </w14:textFill>
        </w:rPr>
        <w:t>土地复垦适应性评价的结果，确定项目损毁土地复垦最终土地利用</w:t>
      </w:r>
      <w:r>
        <w:rPr>
          <w:rFonts w:hint="eastAsia" w:ascii="仿宋_GB2312" w:hAnsi="Times New Roman" w:eastAsia="仿宋_GB2312" w:cs="Times New Roman"/>
          <w:color w:val="000000" w:themeColor="text1"/>
          <w14:textFill>
            <w14:solidFill>
              <w14:schemeClr w14:val="tx1"/>
            </w14:solidFill>
          </w14:textFill>
        </w:rPr>
        <w:t>方向为</w:t>
      </w:r>
      <w:r>
        <w:rPr>
          <w:rFonts w:hint="eastAsia" w:ascii="仿宋_GB2312" w:eastAsia="仿宋_GB2312" w:cs="Times New Roman"/>
          <w:color w:val="000000" w:themeColor="text1"/>
          <w:lang w:val="en-US" w:eastAsia="zh-CN"/>
          <w14:textFill>
            <w14:solidFill>
              <w14:schemeClr w14:val="tx1"/>
            </w14:solidFill>
          </w14:textFill>
        </w:rPr>
        <w:t>林地及其他类型土地</w:t>
      </w:r>
      <w:r>
        <w:rPr>
          <w:rFonts w:hint="eastAsia" w:eastAsia="仿宋_GB2312"/>
          <w:color w:val="000000" w:themeColor="text1"/>
          <w:vertAlign w:val="baseline"/>
          <w:lang w:eastAsia="zh-CN"/>
          <w14:textFill>
            <w14:solidFill>
              <w14:schemeClr w14:val="tx1"/>
            </w14:solidFill>
          </w14:textFill>
        </w:rPr>
        <w:t>。</w:t>
      </w:r>
      <w:r>
        <w:rPr>
          <w:rFonts w:hint="eastAsia" w:ascii="仿宋_GB2312" w:eastAsia="仿宋_GB2312"/>
          <w:color w:val="000000" w:themeColor="text1"/>
          <w:lang w:eastAsia="zh-CN"/>
          <w14:textFill>
            <w14:solidFill>
              <w14:schemeClr w14:val="tx1"/>
            </w14:solidFill>
          </w14:textFill>
        </w:rPr>
        <w:t>本</w:t>
      </w:r>
      <w:r>
        <w:rPr>
          <w:rFonts w:hint="eastAsia" w:ascii="仿宋_GB2312" w:eastAsia="仿宋_GB2312"/>
          <w:color w:val="000000" w:themeColor="text1"/>
          <w14:textFill>
            <w14:solidFill>
              <w14:schemeClr w14:val="tx1"/>
            </w14:solidFill>
          </w14:textFill>
        </w:rPr>
        <w:t>次复垦根据《土地复垦技术标准（试行）》（</w:t>
      </w:r>
      <w:r>
        <w:rPr>
          <w:rFonts w:hint="eastAsia" w:eastAsia="仿宋_GB2312"/>
          <w:color w:val="000000" w:themeColor="text1"/>
          <w14:textFill>
            <w14:solidFill>
              <w14:schemeClr w14:val="tx1"/>
            </w14:solidFill>
          </w14:textFill>
        </w:rPr>
        <w:t>UDC</w:t>
      </w:r>
      <w:r>
        <w:rPr>
          <w:rFonts w:hint="eastAsia" w:eastAsia="仿宋_GB2312"/>
          <w:color w:val="000000" w:themeColor="text1"/>
          <w:lang w:eastAsia="zh-CN"/>
          <w14:textFill>
            <w14:solidFill>
              <w14:schemeClr w14:val="tx1"/>
            </w14:solidFill>
          </w14:textFill>
        </w:rPr>
        <w:t>-</w:t>
      </w:r>
      <w:r>
        <w:rPr>
          <w:rFonts w:hint="eastAsia" w:eastAsia="仿宋_GB2312"/>
          <w:color w:val="000000" w:themeColor="text1"/>
          <w14:textFill>
            <w14:solidFill>
              <w14:schemeClr w14:val="tx1"/>
            </w14:solidFill>
          </w14:textFill>
        </w:rPr>
        <w:t>TD</w:t>
      </w:r>
      <w:r>
        <w:rPr>
          <w:rFonts w:hint="eastAsia" w:ascii="仿宋_GB2312" w:eastAsia="仿宋_GB2312"/>
          <w:color w:val="000000" w:themeColor="text1"/>
          <w14:textFill>
            <w14:solidFill>
              <w14:schemeClr w14:val="tx1"/>
            </w14:solidFill>
          </w14:textFill>
        </w:rPr>
        <w:t>）、《土地复垦质量控制标准》</w:t>
      </w:r>
      <w:r>
        <w:rPr>
          <w:rFonts w:hint="eastAsia" w:eastAsia="仿宋_GB2312"/>
          <w:color w:val="000000" w:themeColor="text1"/>
          <w14:textFill>
            <w14:solidFill>
              <w14:schemeClr w14:val="tx1"/>
            </w14:solidFill>
          </w14:textFill>
        </w:rPr>
        <w:t>（TD/T1036</w:t>
      </w:r>
      <w:r>
        <w:rPr>
          <w:rFonts w:hint="eastAsia" w:eastAsia="仿宋_GB2312"/>
          <w:color w:val="000000" w:themeColor="text1"/>
          <w:lang w:eastAsia="zh-CN"/>
          <w14:textFill>
            <w14:solidFill>
              <w14:schemeClr w14:val="tx1"/>
            </w14:solidFill>
          </w14:textFill>
        </w:rPr>
        <w:t>-</w:t>
      </w:r>
      <w:r>
        <w:rPr>
          <w:rFonts w:hint="eastAsia" w:eastAsia="仿宋_GB2312"/>
          <w:color w:val="000000" w:themeColor="text1"/>
          <w14:textFill>
            <w14:solidFill>
              <w14:schemeClr w14:val="tx1"/>
            </w14:solidFill>
          </w14:textFill>
        </w:rPr>
        <w:t>2013)</w:t>
      </w:r>
      <w:r>
        <w:rPr>
          <w:rFonts w:hint="eastAsia" w:ascii="仿宋_GB2312" w:eastAsia="仿宋_GB2312"/>
          <w:color w:val="000000" w:themeColor="text1"/>
          <w14:textFill>
            <w14:solidFill>
              <w14:schemeClr w14:val="tx1"/>
            </w14:solidFill>
          </w14:textFill>
        </w:rPr>
        <w:t>等行业标准所规定土地复垦技术指标并结合项目区实际情况制订本项目土地复垦各类指标的质量要求</w:t>
      </w:r>
      <w:r>
        <w:rPr>
          <w:rFonts w:hint="eastAsia" w:ascii="仿宋_GB2312" w:eastAsia="仿宋_GB2312"/>
          <w:color w:val="000000" w:themeColor="text1"/>
          <w:lang w:eastAsia="zh-CN"/>
          <w14:textFill>
            <w14:solidFill>
              <w14:schemeClr w14:val="tx1"/>
            </w14:solidFill>
          </w14:textFill>
        </w:rPr>
        <w:t>，</w:t>
      </w:r>
      <w:r>
        <w:rPr>
          <w:rFonts w:hint="eastAsia" w:ascii="仿宋_GB2312" w:eastAsia="仿宋_GB2312"/>
          <w:color w:val="000000" w:themeColor="text1"/>
          <w:lang w:val="en-US" w:eastAsia="zh-CN"/>
          <w14:textFill>
            <w14:solidFill>
              <w14:schemeClr w14:val="tx1"/>
            </w14:solidFill>
          </w14:textFill>
        </w:rPr>
        <w:t>且</w:t>
      </w:r>
      <w:r>
        <w:rPr>
          <w:rFonts w:hint="eastAsia" w:ascii="Times New Roman" w:hAnsi="Times New Roman" w:eastAsia="仿宋_GB2312" w:cs="Times New Roman"/>
          <w:i w:val="0"/>
          <w:iCs w:val="0"/>
          <w:color w:val="000000" w:themeColor="text1"/>
          <w:sz w:val="24"/>
          <w:szCs w:val="21"/>
          <w:lang w:val="en-US" w:eastAsia="zh-CN"/>
          <w14:textFill>
            <w14:solidFill>
              <w14:schemeClr w14:val="tx1"/>
            </w14:solidFill>
          </w14:textFill>
        </w:rPr>
        <w:t>不低于现状指标</w:t>
      </w:r>
      <w:r>
        <w:rPr>
          <w:rFonts w:hint="eastAsia" w:ascii="仿宋_GB2312" w:eastAsia="仿宋_GB2312"/>
          <w:color w:val="000000" w:themeColor="text1"/>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bookmarkStart w:id="120" w:name="_Toc30528"/>
      <w:bookmarkStart w:id="121" w:name="_Toc32137"/>
      <w:r>
        <w:rPr>
          <w:rFonts w:hint="eastAsia" w:ascii="Times New Roman" w:hAnsi="Times New Roman" w:eastAsia="仿宋_GB2312" w:cs="Times New Roman"/>
          <w:b w:val="0"/>
          <w:bCs/>
          <w:color w:val="000000" w:themeColor="text1"/>
          <w:sz w:val="24"/>
          <w14:textFill>
            <w14:solidFill>
              <w14:schemeClr w14:val="tx1"/>
            </w14:solidFill>
          </w14:textFill>
        </w:rPr>
        <w:t>1）复垦监测指标</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①</w:t>
      </w:r>
      <w:r>
        <w:rPr>
          <w:rFonts w:hint="eastAsia" w:eastAsia="仿宋_GB2312" w:cs="Times New Roman"/>
          <w:color w:val="000000" w:themeColor="text1"/>
          <w:sz w:val="24"/>
          <w:szCs w:val="24"/>
          <w:lang w:val="en-US" w:eastAsia="zh-CN"/>
          <w14:textFill>
            <w14:solidFill>
              <w14:schemeClr w14:val="tx1"/>
            </w14:solidFill>
          </w14:textFill>
        </w:rPr>
        <w:t>耕地（水浇地）、种植园用地（果园）区域</w:t>
      </w:r>
      <w:r>
        <w:rPr>
          <w:rFonts w:hint="eastAsia" w:ascii="Times New Roman" w:hAnsi="Times New Roman" w:eastAsia="仿宋_GB2312" w:cs="Times New Roman"/>
          <w:b w:val="0"/>
          <w:bCs/>
          <w:color w:val="000000" w:themeColor="text1"/>
          <w:sz w:val="24"/>
          <w14:textFill>
            <w14:solidFill>
              <w14:schemeClr w14:val="tx1"/>
            </w14:solidFill>
          </w14:textFill>
        </w:rPr>
        <w:t>采用的监测指标为：有效土层厚度≥</w:t>
      </w:r>
      <w:r>
        <w:rPr>
          <w:rFonts w:hint="eastAsia"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0cm；</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表层容重在1.40克/立方厘米左右，</w:t>
      </w:r>
      <w:r>
        <w:rPr>
          <w:rFonts w:hint="eastAsia" w:ascii="Times New Roman" w:hAnsi="Times New Roman" w:eastAsia="仿宋_GB2312" w:cs="Times New Roman"/>
          <w:b w:val="0"/>
          <w:bCs/>
          <w:color w:val="000000" w:themeColor="text1"/>
          <w:sz w:val="24"/>
          <w14:textFill>
            <w14:solidFill>
              <w14:schemeClr w14:val="tx1"/>
            </w14:solidFill>
          </w14:textFill>
        </w:rPr>
        <w:t>PH值7.</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-8.5</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14:textFill>
            <w14:solidFill>
              <w14:schemeClr w14:val="tx1"/>
            </w14:solidFill>
          </w14:textFill>
        </w:rPr>
        <w:t>土壤砾石含量≤</w:t>
      </w:r>
      <w:r>
        <w:rPr>
          <w:rFonts w:hint="eastAsia" w:eastAsia="仿宋_GB2312" w:cs="Times New Roman"/>
          <w:b w:val="0"/>
          <w:bCs/>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w:t>
      </w:r>
      <w:r>
        <w:rPr>
          <w:rFonts w:hint="eastAsia" w:ascii="Times New Roman" w:hAnsi="Times New Roman" w:eastAsia="仿宋_GB2312" w:cs="Times New Roman"/>
          <w:b w:val="0"/>
          <w:bCs/>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，表层土有机质含量</w:t>
      </w:r>
      <w:r>
        <w:rPr>
          <w:rFonts w:hint="eastAsia" w:ascii="Times New Roman" w:hAnsi="Times New Roman" w:eastAsia="仿宋_GB2312" w:cs="Times New Roman"/>
          <w:b w:val="0"/>
          <w:bCs/>
          <w:color w:val="000000" w:themeColor="text1"/>
          <w:sz w:val="24"/>
          <w14:textFill>
            <w14:solidFill>
              <w14:schemeClr w14:val="tx1"/>
            </w14:solidFill>
          </w14:textFill>
        </w:rPr>
        <w:t>≥</w:t>
      </w:r>
      <w:r>
        <w:rPr>
          <w:rFonts w:hint="eastAsia" w:eastAsia="仿宋_GB2312" w:cs="Times New Roman"/>
          <w:color w:val="000000" w:themeColor="text1"/>
          <w:sz w:val="24"/>
          <w:szCs w:val="24"/>
          <w:lang w:val="en-US" w:eastAsia="zh-CN"/>
          <w14:textFill>
            <w14:solidFill>
              <w14:schemeClr w14:val="tx1"/>
            </w14:solidFill>
          </w14:textFill>
        </w:rPr>
        <w:t>8</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克/千克</w:t>
      </w:r>
      <w:r>
        <w:rPr>
          <w:rFonts w:hint="eastAsia" w:eastAsia="仿宋_GB2312" w:cs="Times New Roman"/>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sz w:val="24"/>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②</w:t>
      </w:r>
      <w:r>
        <w:rPr>
          <w:rFonts w:hint="eastAsia" w:ascii="Times New Roman" w:hAnsi="Times New Roman" w:eastAsia="仿宋_GB2312" w:cs="Times New Roman"/>
          <w:b w:val="0"/>
          <w:bCs/>
          <w:color w:val="000000" w:themeColor="text1"/>
          <w:sz w:val="24"/>
          <w14:textFill>
            <w14:solidFill>
              <w14:schemeClr w14:val="tx1"/>
            </w14:solidFill>
          </w14:textFill>
        </w:rPr>
        <w:t>林地（灌木林地）采用的监测指标为：有效土层厚度≥</w:t>
      </w:r>
      <w:r>
        <w:rPr>
          <w:rFonts w:hint="eastAsia"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14:textFill>
            <w14:solidFill>
              <w14:schemeClr w14:val="tx1"/>
            </w14:solidFill>
          </w14:textFill>
        </w:rPr>
        <w:t>0cm；土壤容重≤1.</w:t>
      </w:r>
      <w:r>
        <w:rPr>
          <w:rFonts w:hint="eastAsia" w:eastAsia="仿宋_GB2312" w:cs="Times New Roman"/>
          <w:b w:val="0"/>
          <w:bCs/>
          <w:color w:val="000000" w:themeColor="text1"/>
          <w:sz w:val="24"/>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24"/>
          <w14:textFill>
            <w14:solidFill>
              <w14:schemeClr w14:val="tx1"/>
            </w14:solidFill>
          </w14:textFill>
        </w:rPr>
        <w:t>g/cm</w:t>
      </w:r>
      <w:r>
        <w:rPr>
          <w:rFonts w:hint="eastAsia" w:ascii="Times New Roman" w:hAnsi="Times New Roman" w:eastAsia="仿宋_GB2312" w:cs="Times New Roman"/>
          <w:b w:val="0"/>
          <w:bCs/>
          <w:color w:val="000000" w:themeColor="text1"/>
          <w:sz w:val="24"/>
          <w:vertAlign w:val="superscript"/>
          <w14:textFill>
            <w14:solidFill>
              <w14:schemeClr w14:val="tx1"/>
            </w14:solidFill>
          </w14:textFill>
        </w:rPr>
        <w:t>3</w:t>
      </w:r>
      <w:r>
        <w:rPr>
          <w:rFonts w:hint="eastAsia" w:ascii="Times New Roman" w:hAnsi="Times New Roman" w:eastAsia="仿宋_GB2312" w:cs="Times New Roman"/>
          <w:b w:val="0"/>
          <w:bCs/>
          <w:color w:val="000000" w:themeColor="text1"/>
          <w:sz w:val="24"/>
          <w14:textFill>
            <w14:solidFill>
              <w14:schemeClr w14:val="tx1"/>
            </w14:solidFill>
          </w14:textFill>
        </w:rPr>
        <w:t>；土壤砾石含量≤</w:t>
      </w:r>
      <w:r>
        <w:rPr>
          <w:rFonts w:hint="eastAsia" w:eastAsia="仿宋_GB2312" w:cs="Times New Roman"/>
          <w:b w:val="0"/>
          <w:bCs/>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w:t>
      </w:r>
      <w:r>
        <w:rPr>
          <w:rFonts w:hint="eastAsia" w:ascii="Times New Roman" w:hAnsi="Times New Roman" w:eastAsia="仿宋_GB2312" w:cs="Times New Roman"/>
          <w:b w:val="0"/>
          <w:bCs/>
          <w:color w:val="000000" w:themeColor="text1"/>
          <w:sz w:val="24"/>
          <w14:textFill>
            <w14:solidFill>
              <w14:schemeClr w14:val="tx1"/>
            </w14:solidFill>
          </w14:textFill>
        </w:rPr>
        <w:t>%；PH值7.</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8</w:t>
      </w:r>
      <w:r>
        <w:rPr>
          <w:rFonts w:hint="eastAsia" w:ascii="Times New Roman" w:hAnsi="Times New Roman" w:eastAsia="仿宋_GB2312" w:cs="Times New Roman"/>
          <w:b w:val="0"/>
          <w:bCs/>
          <w:color w:val="000000" w:themeColor="text1"/>
          <w:sz w:val="24"/>
          <w14:textFill>
            <w14:solidFill>
              <w14:schemeClr w14:val="tx1"/>
            </w14:solidFill>
          </w14:textFill>
        </w:rPr>
        <w:t>-8.5；有机质含量</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＞5g/kg</w:t>
      </w:r>
      <w:r>
        <w:rPr>
          <w:rFonts w:hint="eastAsia" w:ascii="Times New Roman" w:hAnsi="Times New Roman" w:eastAsia="仿宋_GB2312" w:cs="Times New Roman"/>
          <w:b w:val="0"/>
          <w:bCs/>
          <w:color w:val="000000" w:themeColor="text1"/>
          <w:sz w:val="24"/>
          <w14:textFill>
            <w14:solidFill>
              <w14:schemeClr w14:val="tx1"/>
            </w14:solidFill>
          </w14:textFill>
        </w:rPr>
        <w:t>，根据现状</w:t>
      </w:r>
      <w:r>
        <w:rPr>
          <w:rFonts w:hint="eastAsia" w:eastAsia="仿宋_GB2312" w:cs="Times New Roman"/>
          <w:b w:val="0"/>
          <w:bCs/>
          <w:color w:val="000000" w:themeColor="text1"/>
          <w:sz w:val="24"/>
          <w:lang w:val="en-US" w:eastAsia="zh-CN"/>
          <w14:textFill>
            <w14:solidFill>
              <w14:schemeClr w14:val="tx1"/>
            </w14:solidFill>
          </w14:textFill>
        </w:rPr>
        <w:t>植被覆盖度30%</w:t>
      </w:r>
      <w:r>
        <w:rPr>
          <w:rFonts w:hint="eastAsia" w:ascii="Times New Roman" w:hAnsi="Times New Roman" w:eastAsia="仿宋_GB2312" w:cs="Times New Roman"/>
          <w:b w:val="0"/>
          <w:bCs/>
          <w:color w:val="000000" w:themeColor="text1"/>
          <w:sz w:val="24"/>
          <w14:textFill>
            <w14:solidFill>
              <w14:schemeClr w14:val="tx1"/>
            </w14:solidFill>
          </w14:textFill>
        </w:rPr>
        <w:t>，需确定三年后应达到</w:t>
      </w:r>
      <w:r>
        <w:rPr>
          <w:rFonts w:hint="eastAsia" w:eastAsia="仿宋_GB2312" w:cs="Times New Roman"/>
          <w:b w:val="0"/>
          <w:bCs/>
          <w:color w:val="000000" w:themeColor="text1"/>
          <w:sz w:val="24"/>
          <w:lang w:val="en-US" w:eastAsia="zh-CN"/>
          <w14:textFill>
            <w14:solidFill>
              <w14:schemeClr w14:val="tx1"/>
            </w14:solidFill>
          </w14:textFill>
        </w:rPr>
        <w:t>植被覆盖度30%</w:t>
      </w:r>
      <w:r>
        <w:rPr>
          <w:rFonts w:hint="eastAsia" w:ascii="Times New Roman" w:hAnsi="Times New Roman" w:eastAsia="仿宋_GB2312" w:cs="Times New Roman"/>
          <w:b w:val="0"/>
          <w:bCs/>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③农村宅基地、河流水面</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、坑塘水面、沟渠</w:t>
      </w:r>
      <w:r>
        <w:rPr>
          <w:rFonts w:hint="eastAsia" w:eastAsia="仿宋_GB2312" w:cs="Times New Roman"/>
          <w:b w:val="0"/>
          <w:bCs/>
          <w:color w:val="000000" w:themeColor="text1"/>
          <w:sz w:val="24"/>
          <w:lang w:val="en-US" w:eastAsia="zh-CN"/>
          <w14:textFill>
            <w14:solidFill>
              <w14:schemeClr w14:val="tx1"/>
            </w14:solidFill>
          </w14:textFill>
        </w:rPr>
        <w:t>进行场地平整，</w:t>
      </w:r>
      <w:r>
        <w:rPr>
          <w:rFonts w:hint="eastAsia" w:ascii="Times New Roman" w:hAnsi="Times New Roman" w:eastAsia="仿宋_GB2312" w:cs="Times New Roman"/>
          <w:b w:val="0"/>
          <w:bCs/>
          <w:color w:val="000000" w:themeColor="text1"/>
          <w:sz w:val="24"/>
          <w14:textFill>
            <w14:solidFill>
              <w14:schemeClr w14:val="tx1"/>
            </w14:solidFill>
          </w14:textFill>
        </w:rPr>
        <w:t>与区域自然环境和周边景观相协调一致</w:t>
      </w:r>
      <w:r>
        <w:rPr>
          <w:rFonts w:hint="eastAsia" w:eastAsia="仿宋_GB2312" w:cs="Times New Roman"/>
          <w:b w:val="0"/>
          <w:bCs/>
          <w:color w:val="000000" w:themeColor="text1"/>
          <w:sz w:val="24"/>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④公路用地、</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农村道路，本次施工压占几乎不会造成土地损毁，做好预防控制措施即可，进行土地损毁监测。</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2）场地</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标准</w:t>
      </w:r>
      <w:r>
        <w:rPr>
          <w:rFonts w:hint="eastAsia" w:ascii="Times New Roman" w:hAnsi="Times New Roman" w:eastAsia="仿宋_GB2312" w:cs="Times New Roman"/>
          <w:b w:val="0"/>
          <w:bCs/>
          <w:color w:val="000000" w:themeColor="text1"/>
          <w:sz w:val="24"/>
          <w14:textFill>
            <w14:solidFill>
              <w14:schemeClr w14:val="tx1"/>
            </w14:solidFill>
          </w14:textFill>
        </w:rPr>
        <w:t>：基本平整，与区域自然环境和周边景观相协调一致，符合地方土地利用总体规划。</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3）植物工程标准：选择当地适宜的、抗旱的、抗贫瘠的优良</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植被</w:t>
      </w:r>
      <w:r>
        <w:rPr>
          <w:rFonts w:hint="eastAsia" w:ascii="Times New Roman" w:hAnsi="Times New Roman" w:eastAsia="仿宋_GB2312" w:cs="Times New Roman"/>
          <w:b w:val="0"/>
          <w:bCs/>
          <w:color w:val="000000" w:themeColor="text1"/>
          <w:sz w:val="24"/>
          <w14:textFill>
            <w14:solidFill>
              <w14:schemeClr w14:val="tx1"/>
            </w14:solidFill>
          </w14:textFill>
        </w:rPr>
        <w:t>；灌木林地栽种骆驼刺，需确定三年后</w:t>
      </w:r>
      <w:r>
        <w:rPr>
          <w:rFonts w:hint="eastAsia" w:eastAsia="仿宋_GB2312" w:cs="Times New Roman"/>
          <w:b w:val="0"/>
          <w:bCs/>
          <w:color w:val="000000" w:themeColor="text1"/>
          <w:sz w:val="24"/>
          <w:lang w:val="en-US" w:eastAsia="zh-CN"/>
          <w14:textFill>
            <w14:solidFill>
              <w14:schemeClr w14:val="tx1"/>
            </w14:solidFill>
          </w14:textFill>
        </w:rPr>
        <w:t>植被覆盖度30%</w:t>
      </w:r>
      <w:r>
        <w:rPr>
          <w:rFonts w:hint="eastAsia" w:ascii="Times New Roman" w:hAnsi="Times New Roman" w:eastAsia="仿宋_GB2312" w:cs="Times New Roman"/>
          <w:b w:val="0"/>
          <w:bCs/>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4）配套设施：植被种植后，灌溉选用河流水进行灌溉，道路利用现有的道路网进行运输；</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ascii="Times New Roman" w:hAnsi="Times New Roman" w:eastAsia="仿宋_GB2312" w:cs="Times New Roman"/>
          <w:b w:val="0"/>
          <w:bCs/>
          <w:color w:val="000000" w:themeColor="text1"/>
          <w:sz w:val="24"/>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5）复垦施工工作结束三年后（即管护期</w:t>
      </w:r>
      <w:r>
        <w:rPr>
          <w:rFonts w:hint="eastAsia" w:eastAsia="仿宋_GB2312" w:cs="Times New Roman"/>
          <w:b w:val="0"/>
          <w:bCs/>
          <w:color w:val="000000" w:themeColor="text1"/>
          <w:sz w:val="24"/>
          <w:lang w:val="en-US" w:eastAsia="zh-CN"/>
          <w14:textFill>
            <w14:solidFill>
              <w14:schemeClr w14:val="tx1"/>
            </w14:solidFill>
          </w14:textFill>
        </w:rPr>
        <w:t>结束）</w:t>
      </w:r>
      <w:r>
        <w:rPr>
          <w:rFonts w:hint="eastAsia" w:ascii="Times New Roman" w:hAnsi="Times New Roman" w:eastAsia="仿宋_GB2312" w:cs="Times New Roman"/>
          <w:b w:val="0"/>
          <w:bCs/>
          <w:color w:val="000000" w:themeColor="text1"/>
          <w:sz w:val="24"/>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14:textFill>
            <w14:solidFill>
              <w14:schemeClr w14:val="tx1"/>
            </w14:solidFill>
          </w14:textFill>
        </w:rPr>
        <w:t>6）后期管护：浇水灌溉，植被补种。</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hint="eastAsia" w:ascii="黑体" w:hAnsi="黑体" w:cs="黑体"/>
          <w:b w:val="0"/>
          <w:color w:val="000000" w:themeColor="text1"/>
          <w:sz w:val="30"/>
          <w:szCs w:val="30"/>
          <w14:textFill>
            <w14:solidFill>
              <w14:schemeClr w14:val="tx1"/>
            </w14:solidFill>
          </w14:textFill>
        </w:rPr>
      </w:pPr>
      <w:r>
        <w:rPr>
          <w:rFonts w:hint="eastAsia" w:ascii="Times New Roman" w:hAnsi="Times New Roman" w:eastAsia="仿宋_GB2312"/>
          <w:b w:val="0"/>
          <w:color w:val="000000" w:themeColor="text1"/>
          <w:sz w:val="30"/>
          <w:szCs w:val="30"/>
          <w14:textFill>
            <w14:solidFill>
              <w14:schemeClr w14:val="tx1"/>
            </w14:solidFill>
          </w14:textFill>
        </w:rPr>
        <w:t xml:space="preserve">5.2 </w:t>
      </w:r>
      <w:r>
        <w:rPr>
          <w:rFonts w:hint="eastAsia" w:ascii="黑体" w:hAnsi="黑体" w:cs="黑体"/>
          <w:b w:val="0"/>
          <w:color w:val="000000" w:themeColor="text1"/>
          <w:sz w:val="30"/>
          <w:szCs w:val="30"/>
          <w14:textFill>
            <w14:solidFill>
              <w14:schemeClr w14:val="tx1"/>
            </w14:solidFill>
          </w14:textFill>
        </w:rPr>
        <w:t>预防控制措施</w:t>
      </w:r>
      <w:bookmarkEnd w:id="115"/>
      <w:bookmarkEnd w:id="116"/>
      <w:bookmarkEnd w:id="117"/>
      <w:bookmarkEnd w:id="118"/>
      <w:bookmarkEnd w:id="119"/>
      <w:bookmarkEnd w:id="120"/>
      <w:bookmarkEnd w:id="121"/>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5.2.1</w:t>
      </w:r>
      <w:r>
        <w:rPr>
          <w:rFonts w:hint="eastAsia" w:ascii="黑体" w:hAnsi="黑体" w:eastAsia="黑体" w:cs="黑体"/>
          <w:bCs w:val="0"/>
          <w:color w:val="000000" w:themeColor="text1"/>
          <w:sz w:val="28"/>
          <w14:textFill>
            <w14:solidFill>
              <w14:schemeClr w14:val="tx1"/>
            </w14:solidFill>
          </w14:textFill>
        </w:rPr>
        <w:t>预防控制原则</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针对项目区的自然生态环境脆弱，</w:t>
      </w:r>
      <w:r>
        <w:rPr>
          <w:rFonts w:hint="eastAsia" w:eastAsia="仿宋_GB2312"/>
          <w:color w:val="000000" w:themeColor="text1"/>
          <w:sz w:val="24"/>
          <w:lang w:eastAsia="zh-CN"/>
          <w14:textFill>
            <w14:solidFill>
              <w14:schemeClr w14:val="tx1"/>
            </w14:solidFill>
          </w14:textFill>
        </w:rPr>
        <w:t>根据项目建设</w:t>
      </w:r>
      <w:r>
        <w:rPr>
          <w:rFonts w:eastAsia="仿宋_GB2312"/>
          <w:color w:val="000000" w:themeColor="text1"/>
          <w:sz w:val="24"/>
          <w14:textFill>
            <w14:solidFill>
              <w14:schemeClr w14:val="tx1"/>
            </w14:solidFill>
          </w14:textFill>
        </w:rPr>
        <w:t>对地表生态破坏的特点，项目土地复垦及生态重建规划应遵循以下原则：</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a</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因地制宜原则。根据项目区所在地的自然、气候条件，按照土地适宜性评价的结果，宜农则农，宜林则林合理安排各类用地，使遭损毁的土地发挥最大效益，将有潜在可能性的生产力转变为现实生产力。</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b</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可持续性原则。可持续发展思想对于项目土地复垦规划显得特别重要，因为挖损、压占土地的产生是源于施工期建设，只有通过边建设、边复垦的持续性土地植被恢复，才能达到土地的可持续利用。为此，本方案要立足于土地资源的持续利用和生态环境的改善，才有利于保证社会经济的可持续发展，变“废弃”为可利用，达到永续利用。</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c</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综合效益原则。生态环境的恢复和治理是一项系统工程，关联众多因素，涉及自然、经济、社会各个方面。要以生态系统的弹性出发，以生态效益为目标，考虑治理的可能性和经济的可承受性，同时兼顾社会效益。项目土地复垦追求的目标就是融社会、经济和生态效益为一体的综合效益最优，使土地复垦寓于社会经济发展和维持生态系统平衡之中，谋求社会、经济、生态三效益的统一。</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d</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整体性原则。要着眼于生态系统的整体性，协调一致，建设、复垦、生态恢复要统一考虑。坚持施工工艺设计与复垦设计相统一做法，把复垦内容纳入建设计划之中，统一规划、统一管理，使建设程序与土地复垦的要求相协调，既可节省复垦费用，更能使遭损毁的地表尽快恢复其功能。</w:t>
      </w:r>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5.2.2</w:t>
      </w:r>
      <w:r>
        <w:rPr>
          <w:rFonts w:hint="eastAsia" w:ascii="黑体" w:hAnsi="黑体" w:eastAsia="黑体" w:cs="黑体"/>
          <w:bCs w:val="0"/>
          <w:color w:val="000000" w:themeColor="text1"/>
          <w:sz w:val="28"/>
          <w14:textFill>
            <w14:solidFill>
              <w14:schemeClr w14:val="tx1"/>
            </w14:solidFill>
          </w14:textFill>
        </w:rPr>
        <w:t>预防控制措施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项目区在土地复垦与生态重建的同时，必须遵循“统一规划、源头控制、防复结合”的原则，对项目区的土地损毁实施预防与控制的措施。预防控制措施必须兼顾技术上的可行性和经济上的合理性，同时还要考虑国家的经济、技术政策导向以及企业近期和长远的经济效益、社会效益和环境效益，必须针对具体问题进行专门论证。</w:t>
      </w:r>
      <w:r>
        <w:rPr>
          <w:rFonts w:hint="eastAsia" w:eastAsia="仿宋_GB2312"/>
          <w:color w:val="000000" w:themeColor="text1"/>
          <w:sz w:val="24"/>
          <w:lang w:eastAsia="zh-CN"/>
          <w14:textFill>
            <w14:solidFill>
              <w14:schemeClr w14:val="tx1"/>
            </w14:solidFill>
          </w14:textFill>
        </w:rPr>
        <w:t>新疆克孜河大桥渠首除险加固工程</w:t>
      </w:r>
      <w:r>
        <w:rPr>
          <w:rFonts w:eastAsia="仿宋_GB2312"/>
          <w:color w:val="000000" w:themeColor="text1"/>
          <w:sz w:val="24"/>
          <w14:textFill>
            <w14:solidFill>
              <w14:schemeClr w14:val="tx1"/>
            </w14:solidFill>
          </w14:textFill>
        </w:rPr>
        <w:t>土地复垦预防控制措施主要包括以下几个方面：</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lang w:eastAsia="zh-CN"/>
          <w14:textFill>
            <w14:solidFill>
              <w14:schemeClr w14:val="tx1"/>
            </w14:solidFill>
          </w14:textFill>
        </w:rPr>
      </w:pPr>
      <w:bookmarkStart w:id="122" w:name="_Toc234532178"/>
      <w:bookmarkStart w:id="123" w:name="_Toc233032203"/>
      <w:bookmarkStart w:id="124" w:name="_Toc233595981"/>
      <w:bookmarkStart w:id="125" w:name="_Toc234532121"/>
      <w:bookmarkStart w:id="126" w:name="_Toc309127540"/>
      <w:r>
        <w:rPr>
          <w:rFonts w:hint="eastAsia" w:eastAsia="仿宋_GB2312"/>
          <w:color w:val="000000" w:themeColor="text1"/>
          <w:sz w:val="24"/>
          <w:lang w:val="en-US" w:eastAsia="zh-CN"/>
          <w14:textFill>
            <w14:solidFill>
              <w14:schemeClr w14:val="tx1"/>
            </w14:solidFill>
          </w14:textFill>
        </w:rPr>
        <w:t>a</w:t>
      </w:r>
      <w:r>
        <w:rPr>
          <w:rFonts w:hint="eastAsia" w:eastAsia="仿宋_GB2312"/>
          <w:color w:val="000000" w:themeColor="text1"/>
          <w:sz w:val="24"/>
          <w:lang w:eastAsia="zh-CN"/>
          <w14:textFill>
            <w14:solidFill>
              <w14:schemeClr w14:val="tx1"/>
            </w14:solidFill>
          </w14:textFill>
        </w:rPr>
        <w:t>）科学制定工程方案，减少土地破坏面积。</w:t>
      </w:r>
      <w:r>
        <w:rPr>
          <w:rFonts w:hint="eastAsia" w:eastAsia="仿宋_GB2312"/>
          <w:color w:val="000000" w:themeColor="text1"/>
          <w:sz w:val="24"/>
          <w:lang w:val="en-US" w:eastAsia="zh-CN"/>
          <w14:textFill>
            <w14:solidFill>
              <w14:schemeClr w14:val="tx1"/>
            </w14:solidFill>
          </w14:textFill>
        </w:rPr>
        <w:t>项目选址</w:t>
      </w:r>
      <w:r>
        <w:rPr>
          <w:rFonts w:hint="eastAsia" w:eastAsia="仿宋_GB2312"/>
          <w:color w:val="000000" w:themeColor="text1"/>
          <w:sz w:val="24"/>
          <w:lang w:eastAsia="zh-CN"/>
          <w14:textFill>
            <w14:solidFill>
              <w14:schemeClr w14:val="tx1"/>
            </w14:solidFill>
          </w14:textFill>
        </w:rPr>
        <w:t>设计过程中，该项目应充分考虑节约用地、少占</w:t>
      </w:r>
      <w:r>
        <w:rPr>
          <w:rFonts w:hint="eastAsia" w:eastAsia="仿宋_GB2312"/>
          <w:color w:val="000000" w:themeColor="text1"/>
          <w:sz w:val="24"/>
          <w:lang w:val="en-US" w:eastAsia="zh-CN"/>
          <w14:textFill>
            <w14:solidFill>
              <w14:schemeClr w14:val="tx1"/>
            </w14:solidFill>
          </w14:textFill>
        </w:rPr>
        <w:t>林地、草地</w:t>
      </w:r>
      <w:r>
        <w:rPr>
          <w:rFonts w:hint="eastAsia" w:eastAsia="仿宋_GB2312"/>
          <w:color w:val="000000" w:themeColor="text1"/>
          <w:sz w:val="24"/>
          <w:lang w:eastAsia="zh-CN"/>
          <w14:textFill>
            <w14:solidFill>
              <w14:schemeClr w14:val="tx1"/>
            </w14:solidFill>
          </w14:textFill>
        </w:rPr>
        <w:t>的原则，反复进行方案优化和完善选线工作，在不增加工程投资的情况下，最大限度地减少占地。</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b</w:t>
      </w:r>
      <w:r>
        <w:rPr>
          <w:rFonts w:hint="eastAsia" w:eastAsia="仿宋_GB2312"/>
          <w:color w:val="000000" w:themeColor="text1"/>
          <w:sz w:val="24"/>
          <w:lang w:eastAsia="zh-CN"/>
          <w14:textFill>
            <w14:solidFill>
              <w14:schemeClr w14:val="tx1"/>
            </w14:solidFill>
          </w14:textFill>
        </w:rPr>
        <w:t>）合理选择临时用地地点节约集约用地。临时用地的选择遵循节约集约土地的原则，少占草场，该项目</w:t>
      </w:r>
      <w:r>
        <w:rPr>
          <w:rFonts w:hint="eastAsia" w:eastAsia="仿宋_GB2312"/>
          <w:color w:val="000000" w:themeColor="text1"/>
          <w:sz w:val="24"/>
          <w:lang w:val="en-US" w:eastAsia="zh-CN"/>
          <w14:textFill>
            <w14:solidFill>
              <w14:schemeClr w14:val="tx1"/>
            </w14:solidFill>
          </w14:textFill>
        </w:rPr>
        <w:t>尽量</w:t>
      </w:r>
      <w:r>
        <w:rPr>
          <w:rFonts w:hint="eastAsia" w:eastAsia="仿宋_GB2312"/>
          <w:color w:val="000000" w:themeColor="text1"/>
          <w:sz w:val="24"/>
          <w:lang w:eastAsia="zh-CN"/>
          <w14:textFill>
            <w14:solidFill>
              <w14:schemeClr w14:val="tx1"/>
            </w14:solidFill>
          </w14:textFill>
        </w:rPr>
        <w:t>利用边角地和荒草地，严格控制各种施工场地面积，施工便道尽可能利用原有的乡村道路或老路。</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d</w:t>
      </w:r>
      <w:r>
        <w:rPr>
          <w:rFonts w:hint="eastAsia" w:eastAsia="仿宋_GB2312"/>
          <w:color w:val="000000" w:themeColor="text1"/>
          <w:sz w:val="24"/>
          <w:lang w:eastAsia="zh-CN"/>
          <w14:textFill>
            <w14:solidFill>
              <w14:schemeClr w14:val="tx1"/>
            </w14:solidFill>
          </w14:textFill>
        </w:rPr>
        <w:t>）加强施工过程预防控制，降低土地破坏程度，避免超越红线作业破坏周围植被和草场。对于</w:t>
      </w:r>
      <w:r>
        <w:rPr>
          <w:rFonts w:hint="eastAsia" w:eastAsia="仿宋_GB2312"/>
          <w:color w:val="000000" w:themeColor="text1"/>
          <w:sz w:val="24"/>
          <w:lang w:val="en-US" w:eastAsia="zh-CN"/>
          <w14:textFill>
            <w14:solidFill>
              <w14:schemeClr w14:val="tx1"/>
            </w14:solidFill>
          </w14:textFill>
        </w:rPr>
        <w:t>表土堆场</w:t>
      </w:r>
      <w:r>
        <w:rPr>
          <w:rFonts w:hint="eastAsia" w:eastAsia="仿宋_GB2312"/>
          <w:color w:val="000000" w:themeColor="text1"/>
          <w:sz w:val="24"/>
          <w:lang w:eastAsia="zh-CN"/>
          <w14:textFill>
            <w14:solidFill>
              <w14:schemeClr w14:val="tx1"/>
            </w14:solidFill>
          </w14:textFill>
        </w:rPr>
        <w:t>加以防护，以减少水土流失现象发生，将占用</w:t>
      </w:r>
      <w:r>
        <w:rPr>
          <w:rFonts w:hint="eastAsia" w:eastAsia="仿宋_GB2312"/>
          <w:color w:val="000000" w:themeColor="text1"/>
          <w:sz w:val="24"/>
          <w:lang w:val="en-US" w:eastAsia="zh-CN"/>
          <w14:textFill>
            <w14:solidFill>
              <w14:schemeClr w14:val="tx1"/>
            </w14:solidFill>
          </w14:textFill>
        </w:rPr>
        <w:t>林地</w:t>
      </w:r>
      <w:r>
        <w:rPr>
          <w:rFonts w:hint="eastAsia" w:eastAsia="仿宋_GB2312"/>
          <w:color w:val="000000" w:themeColor="text1"/>
          <w:sz w:val="24"/>
          <w:lang w:eastAsia="zh-CN"/>
          <w14:textFill>
            <w14:solidFill>
              <w14:schemeClr w14:val="tx1"/>
            </w14:solidFill>
          </w14:textFill>
        </w:rPr>
        <w:t>的表土层剥离、集中堆放，并进行临时防护，以便用于后期的绿化和土地复垦</w:t>
      </w:r>
      <w:r>
        <w:rPr>
          <w:rFonts w:hint="eastAsia" w:eastAsia="仿宋_GB2312"/>
          <w:color w:val="000000" w:themeColor="text1"/>
          <w:sz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color w:val="000000" w:themeColor="text1"/>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e）工程施工过程中不允许将工程废渣随便乱排，更不允许排入河中。运输搬运过程中注意材料、废渣的密闭性，减少渗漏及散落事故的发生，严格控制临时用地面积，不得随意扩大范围及破坏周围农田、植被。严格规定施工车辆行驶便道，防止施工车辆任意行驶破坏植被等，施工机械也要做好维护保养工作，避免漏油、废气污染。强化后续处理措施，减少后续隐患。临时用地施工结束后，恢复该区的原有地貌，使地面尽量平整，尽量达到或超过原有耕作条件、耕作肥力。</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lang w:val="en-US" w:eastAsia="zh-CN"/>
          <w14:textFill>
            <w14:solidFill>
              <w14:schemeClr w14:val="tx1"/>
            </w14:solidFill>
          </w14:textFill>
        </w:rPr>
        <w:t>f</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项目区内人民政府</w:t>
      </w:r>
      <w:r>
        <w:rPr>
          <w:rFonts w:hint="eastAsia" w:eastAsia="仿宋_GB2312"/>
          <w:color w:val="000000" w:themeColor="text1"/>
          <w:sz w:val="24"/>
          <w:lang w:eastAsia="zh-CN"/>
          <w14:textFill>
            <w14:solidFill>
              <w14:schemeClr w14:val="tx1"/>
            </w14:solidFill>
          </w14:textFill>
        </w:rPr>
        <w:t>自然资源管理部门</w:t>
      </w:r>
      <w:r>
        <w:rPr>
          <w:rFonts w:eastAsia="仿宋_GB2312"/>
          <w:color w:val="000000" w:themeColor="text1"/>
          <w:sz w:val="24"/>
          <w14:textFill>
            <w14:solidFill>
              <w14:schemeClr w14:val="tx1"/>
            </w14:solidFill>
          </w14:textFill>
        </w:rPr>
        <w:t>要把</w:t>
      </w:r>
      <w:r>
        <w:rPr>
          <w:rFonts w:hint="eastAsia" w:eastAsia="仿宋_GB2312"/>
          <w:color w:val="000000" w:themeColor="text1"/>
          <w:sz w:val="24"/>
          <w:lang w:eastAsia="zh-CN"/>
          <w14:textFill>
            <w14:solidFill>
              <w14:schemeClr w14:val="tx1"/>
            </w14:solidFill>
          </w14:textFill>
        </w:rPr>
        <w:t>该工程的</w:t>
      </w:r>
      <w:r>
        <w:rPr>
          <w:rFonts w:eastAsia="仿宋_GB2312"/>
          <w:color w:val="000000" w:themeColor="text1"/>
          <w:sz w:val="24"/>
          <w14:textFill>
            <w14:solidFill>
              <w14:schemeClr w14:val="tx1"/>
            </w14:solidFill>
          </w14:textFill>
        </w:rPr>
        <w:t>土地复垦任务纳入本行政区土地复垦规划，对工程所占用的土地资源进行工程征占地合理性评价，合理控制建设单位的土地利用数量，不定期监督检查建设单位损坏、占用、占压土地情况，坚决杜绝建设单位乱占乱用土地资源的现象。</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lang w:val="en-US" w:eastAsia="zh-CN"/>
          <w14:textFill>
            <w14:solidFill>
              <w14:schemeClr w14:val="tx1"/>
            </w14:solidFill>
          </w14:textFill>
        </w:rPr>
        <w:t>g</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土地复垦方案的编制，应当根据经济合理的原则和自然条件以及土地损毁状态，因地制宜地确定复垦后的土地用途。土地复垦规划应当符合项目所在地土地利用总体规划，并与其他相关规划协调。单位和个人制定的土地复垦规划设计方案应当与本地区土地复垦规划相衔接。</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lang w:val="en-US" w:eastAsia="zh-CN"/>
          <w14:textFill>
            <w14:solidFill>
              <w14:schemeClr w14:val="tx1"/>
            </w14:solidFill>
          </w14:textFill>
        </w:rPr>
        <w:t>h</w:t>
      </w:r>
      <w:r>
        <w:rPr>
          <w:rFonts w:eastAsia="黑体"/>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新疆克孜河大桥渠首除险加固工程</w:t>
      </w:r>
      <w:r>
        <w:rPr>
          <w:rFonts w:eastAsia="仿宋_GB2312"/>
          <w:color w:val="000000" w:themeColor="text1"/>
          <w:sz w:val="24"/>
          <w14:textFill>
            <w14:solidFill>
              <w14:schemeClr w14:val="tx1"/>
            </w14:solidFill>
          </w14:textFill>
        </w:rPr>
        <w:t>土地复垦在其</w:t>
      </w:r>
      <w:r>
        <w:rPr>
          <w:rFonts w:hint="eastAsia" w:eastAsia="仿宋_GB2312"/>
          <w:color w:val="000000" w:themeColor="text1"/>
          <w:sz w:val="24"/>
          <w:lang w:eastAsia="zh-CN"/>
          <w14:textFill>
            <w14:solidFill>
              <w14:schemeClr w14:val="tx1"/>
            </w14:solidFill>
          </w14:textFill>
        </w:rPr>
        <w:t>水土保持方案报告书</w:t>
      </w:r>
      <w:r>
        <w:rPr>
          <w:rFonts w:eastAsia="仿宋_GB2312"/>
          <w:color w:val="000000" w:themeColor="text1"/>
          <w:sz w:val="24"/>
          <w14:textFill>
            <w14:solidFill>
              <w14:schemeClr w14:val="tx1"/>
            </w14:solidFill>
          </w14:textFill>
        </w:rPr>
        <w:t>应当包括土地复垦的内容；设计文件必须有土地复垦的章节；工艺设计必须兼顾土地复垦的要求。</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lang w:val="en-US" w:eastAsia="zh-CN"/>
          <w14:textFill>
            <w14:solidFill>
              <w14:schemeClr w14:val="tx1"/>
            </w14:solidFill>
          </w14:textFill>
        </w:rPr>
        <w:t>i</w:t>
      </w:r>
      <w:r>
        <w:rPr>
          <w:rFonts w:eastAsia="黑体"/>
          <w:color w:val="000000" w:themeColor="text1"/>
          <w:sz w:val="24"/>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该工程</w:t>
      </w:r>
      <w:r>
        <w:rPr>
          <w:rFonts w:eastAsia="仿宋_GB2312"/>
          <w:color w:val="000000" w:themeColor="text1"/>
          <w:sz w:val="24"/>
          <w14:textFill>
            <w14:solidFill>
              <w14:schemeClr w14:val="tx1"/>
            </w14:solidFill>
          </w14:textFill>
        </w:rPr>
        <w:t>土地复垦方案应当报</w:t>
      </w:r>
      <w:r>
        <w:rPr>
          <w:rFonts w:hint="eastAsia" w:eastAsia="仿宋_GB2312"/>
          <w:color w:val="000000" w:themeColor="text1"/>
          <w:sz w:val="24"/>
          <w:lang w:eastAsia="zh-CN"/>
          <w14:textFill>
            <w14:solidFill>
              <w14:schemeClr w14:val="tx1"/>
            </w14:solidFill>
          </w14:textFill>
        </w:rPr>
        <w:t>自然资源主管部门</w:t>
      </w:r>
      <w:r>
        <w:rPr>
          <w:rFonts w:eastAsia="仿宋_GB2312"/>
          <w:color w:val="000000" w:themeColor="text1"/>
          <w:sz w:val="24"/>
          <w14:textFill>
            <w14:solidFill>
              <w14:schemeClr w14:val="tx1"/>
            </w14:solidFill>
          </w14:textFill>
        </w:rPr>
        <w:t>审查，经审查同意后，与建设同步实施。土地复垦规划设计方案确定的任务纳入建设计划和投资概算。</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lang w:val="en-US" w:eastAsia="zh-CN"/>
          <w14:textFill>
            <w14:solidFill>
              <w14:schemeClr w14:val="tx1"/>
            </w14:solidFill>
          </w14:textFill>
        </w:rPr>
        <w:t>j</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严格执行《土地管理法》、《水土保持法》等法律法规。严禁超占地、乱拉乱堆乱放等违法违规行为，依法追究违法者的法律法规责任。工程竣工时应通过土地管理部门的验收。</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k</w:t>
      </w:r>
      <w:r>
        <w:rPr>
          <w:rFonts w:hint="eastAsia" w:eastAsia="仿宋_GB2312"/>
          <w:color w:val="000000" w:themeColor="text1"/>
          <w:sz w:val="24"/>
          <w:lang w:eastAsia="zh-CN"/>
          <w14:textFill>
            <w14:solidFill>
              <w14:schemeClr w14:val="tx1"/>
            </w14:solidFill>
          </w14:textFill>
        </w:rPr>
        <w:t>）加强对复垦作业现场</w:t>
      </w:r>
      <w:r>
        <w:rPr>
          <w:rFonts w:hint="eastAsia" w:ascii="Times New Roman" w:hAnsi="Times New Roman" w:eastAsia="仿宋_GB2312" w:cs="Times New Roman"/>
          <w:color w:val="000000" w:themeColor="text1"/>
          <w:sz w:val="24"/>
          <w:lang w:eastAsia="zh-CN"/>
          <w14:textFill>
            <w14:solidFill>
              <w14:schemeClr w14:val="tx1"/>
            </w14:solidFill>
          </w14:textFill>
        </w:rPr>
        <w:t>扬尘的防治，减少施工扬尘对周围环境的影响。采取洒水降尘等措施，避免大风天气施工，防止扬尘污染。严格控制施工作业时间等方式降低对周围环境的影响。</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l</w:t>
      </w:r>
      <w:r>
        <w:rPr>
          <w:rFonts w:hint="eastAsia" w:ascii="Times New Roman" w:hAnsi="Times New Roman" w:eastAsia="仿宋_GB2312" w:cs="Times New Roman"/>
          <w:color w:val="000000" w:themeColor="text1"/>
          <w:sz w:val="24"/>
          <w:lang w:eastAsia="zh-CN"/>
          <w14:textFill>
            <w14:solidFill>
              <w14:schemeClr w14:val="tx1"/>
            </w14:solidFill>
          </w14:textFill>
        </w:rPr>
        <w:t>）施工严格按照划定的路线和范围，严禁施工车辆随意行驶，减少对土壤和植被的破坏。</w:t>
      </w:r>
    </w:p>
    <w:p>
      <w:pPr>
        <w:pStyle w:val="5"/>
        <w:pageBreakBefore w:val="0"/>
        <w:widowControl w:val="0"/>
        <w:kinsoku/>
        <w:wordWrap/>
        <w:overflowPunct/>
        <w:topLinePunct w:val="0"/>
        <w:autoSpaceDE/>
        <w:autoSpaceDN/>
        <w:bidi w:val="0"/>
        <w:adjustRightInd w:val="0"/>
        <w:snapToGrid w:val="0"/>
        <w:spacing w:before="0" w:after="0" w:line="360" w:lineRule="auto"/>
        <w:ind w:left="0" w:leftChars="0" w:right="0" w:rightChars="0"/>
        <w:jc w:val="both"/>
        <w:textAlignment w:val="auto"/>
        <w:rPr>
          <w:rFonts w:hint="eastAsia" w:ascii="黑体" w:hAnsi="黑体" w:cs="黑体"/>
          <w:b w:val="0"/>
          <w:color w:val="000000" w:themeColor="text1"/>
          <w:sz w:val="30"/>
          <w:szCs w:val="30"/>
          <w14:textFill>
            <w14:solidFill>
              <w14:schemeClr w14:val="tx1"/>
            </w14:solidFill>
          </w14:textFill>
        </w:rPr>
      </w:pPr>
      <w:bookmarkStart w:id="127" w:name="_Toc10650"/>
      <w:bookmarkStart w:id="128" w:name="_Toc9855"/>
      <w:r>
        <w:rPr>
          <w:rFonts w:hint="eastAsia" w:ascii="Times New Roman" w:hAnsi="Times New Roman" w:eastAsia="仿宋_GB2312"/>
          <w:b w:val="0"/>
          <w:color w:val="000000" w:themeColor="text1"/>
          <w:sz w:val="30"/>
          <w:szCs w:val="30"/>
          <w14:textFill>
            <w14:solidFill>
              <w14:schemeClr w14:val="tx1"/>
            </w14:solidFill>
          </w14:textFill>
        </w:rPr>
        <w:t xml:space="preserve">5.3 </w:t>
      </w:r>
      <w:r>
        <w:rPr>
          <w:rFonts w:hint="eastAsia" w:ascii="黑体" w:hAnsi="黑体" w:cs="黑体"/>
          <w:b w:val="0"/>
          <w:color w:val="000000" w:themeColor="text1"/>
          <w:sz w:val="30"/>
          <w:szCs w:val="30"/>
          <w14:textFill>
            <w14:solidFill>
              <w14:schemeClr w14:val="tx1"/>
            </w14:solidFill>
          </w14:textFill>
        </w:rPr>
        <w:t>复垦措施</w:t>
      </w:r>
      <w:bookmarkEnd w:id="122"/>
      <w:bookmarkEnd w:id="123"/>
      <w:bookmarkEnd w:id="124"/>
      <w:bookmarkEnd w:id="125"/>
      <w:bookmarkEnd w:id="126"/>
      <w:bookmarkEnd w:id="127"/>
      <w:bookmarkEnd w:id="128"/>
      <w:bookmarkStart w:id="129" w:name="_Toc383432821"/>
      <w:bookmarkEnd w:id="129"/>
      <w:bookmarkStart w:id="130" w:name="_Toc383432917"/>
    </w:p>
    <w:p>
      <w:pPr>
        <w:pStyle w:val="6"/>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 xml:space="preserve">5.3.1 </w:t>
      </w:r>
      <w:r>
        <w:rPr>
          <w:rFonts w:hint="eastAsia" w:ascii="黑体" w:hAnsi="黑体" w:eastAsia="黑体" w:cs="黑体"/>
          <w:bCs w:val="0"/>
          <w:color w:val="000000" w:themeColor="text1"/>
          <w:sz w:val="28"/>
          <w14:textFill>
            <w14:solidFill>
              <w14:schemeClr w14:val="tx1"/>
            </w14:solidFill>
          </w14:textFill>
        </w:rPr>
        <w:t>工程技术措施</w:t>
      </w:r>
      <w:bookmarkEnd w:id="130"/>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土地复垦的工程技术措施即通过一定的工程措施进行造地、整地的过程，同时在造地、整地过程中通过水土保持工程建设减少土地流失发生的可能性，增强再造地地貌的稳定性，为生态重建创造有利的条件。结合</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ascii="仿宋_GB2312" w:eastAsia="仿宋_GB2312"/>
          <w:color w:val="000000" w:themeColor="text1"/>
          <w:sz w:val="24"/>
          <w14:textFill>
            <w14:solidFill>
              <w14:schemeClr w14:val="tx1"/>
            </w14:solidFill>
          </w14:textFill>
        </w:rPr>
        <w:t>土地复垦适宜性评价及土地复垦质量要求，</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本工程主要采取</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表土剥离及堆放（由建设单位完成，不计入复垦工程量）</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机械拆除场地硬化区及外运、</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土地平整、覆土措施、</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土地翻耕</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等工程技术措施</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，其中：</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水浇地</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区域主要采取</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表土剥离及堆放（由建设单位完成，不计入复垦工程量）</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机械拆除场地硬化区及外运、</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土地平整、覆土措施、土地翻耕等工程技术措施，后期</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土壤培肥</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等生物化学措施；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仿宋_GB2312"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果园</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区域主要采取</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表土剥离及堆放（由建设单位完成，不计入复垦工程量）</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、土地平整、覆土措施、土地翻耕等工程技术措施，后期进行</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土壤培肥</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等生物化学措施；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灌木林地区域主要采取</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表土剥离及堆放（由建设单位完成，不计入复垦工程量）</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、土地平整、覆土措施、土地翻耕等工程技术措施，后期进行植被恢复等生物化学措施。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农村宅基地</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、河流水面、</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坑塘水面、沟渠区域主要采取土地平整等工程技术措施。</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公路用地、</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农村道路区域现状经硬化处理，本次直接投入使用，项目作为</w:t>
      </w:r>
      <w:r>
        <w:rPr>
          <w:rFonts w:hint="eastAsia" w:ascii="仿宋_GB2312" w:eastAsia="仿宋_GB2312" w:cs="Times New Roman"/>
          <w:color w:val="000000" w:themeColor="text1"/>
          <w:kern w:val="0"/>
          <w:sz w:val="24"/>
          <w:szCs w:val="24"/>
          <w:lang w:val="en-US" w:eastAsia="zh-CN" w:bidi="ar-SA"/>
          <w14:textFill>
            <w14:solidFill>
              <w14:schemeClr w14:val="tx1"/>
            </w14:solidFill>
          </w14:textFill>
        </w:rPr>
        <w:t>材料堆场、制梁厂、施工驻地</w:t>
      </w:r>
      <w:r>
        <w:rPr>
          <w:rFonts w:hint="eastAsia" w:ascii="仿宋_GB2312" w:hAnsi="Times New Roman" w:eastAsia="仿宋_GB2312" w:cs="Times New Roman"/>
          <w:color w:val="000000" w:themeColor="text1"/>
          <w:kern w:val="0"/>
          <w:sz w:val="24"/>
          <w:szCs w:val="24"/>
          <w:lang w:val="en-US" w:eastAsia="zh-CN" w:bidi="ar-SA"/>
          <w14:textFill>
            <w14:solidFill>
              <w14:schemeClr w14:val="tx1"/>
            </w14:solidFill>
          </w14:textFill>
        </w:rPr>
        <w:t>使用，车辆通行预估不会造成路面损毁，做好预防控制措施即可。</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lang w:eastAsia="zh-CN"/>
          <w14:textFill>
            <w14:solidFill>
              <w14:schemeClr w14:val="tx1"/>
            </w14:solidFill>
          </w14:textFill>
        </w:rPr>
      </w:pPr>
      <w:bookmarkStart w:id="131" w:name="_Toc383432918"/>
      <w:r>
        <w:rPr>
          <w:rFonts w:hint="eastAsia" w:ascii="仿宋_GB2312" w:eastAsia="仿宋_GB2312"/>
          <w:color w:val="000000" w:themeColor="text1"/>
          <w:lang w:val="en-US" w:eastAsia="zh-CN"/>
          <w14:textFill>
            <w14:solidFill>
              <w14:schemeClr w14:val="tx1"/>
            </w14:solidFill>
          </w14:textFill>
        </w:rPr>
        <w:t>a</w:t>
      </w:r>
      <w:r>
        <w:rPr>
          <w:rFonts w:hint="eastAsia" w:ascii="仿宋_GB2312" w:eastAsia="仿宋_GB2312"/>
          <w:color w:val="000000" w:themeColor="text1"/>
          <w14:textFill>
            <w14:solidFill>
              <w14:schemeClr w14:val="tx1"/>
            </w14:solidFill>
          </w14:textFill>
        </w:rPr>
        <w:t>）</w:t>
      </w:r>
      <w:r>
        <w:rPr>
          <w:rFonts w:hint="eastAsia" w:ascii="仿宋_GB2312" w:eastAsia="仿宋_GB2312"/>
          <w:color w:val="000000" w:themeColor="text1"/>
          <w:lang w:eastAsia="zh-CN"/>
          <w14:textFill>
            <w14:solidFill>
              <w14:schemeClr w14:val="tx1"/>
            </w14:solidFill>
          </w14:textFill>
        </w:rPr>
        <w:t>表土剥离及堆放（由建设单位完成，不计入复垦工程量）</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据《土地复垦质量控制标准》（TD/T1036—2013)要求，剥离临时用地草地区域表土土壤以备复垦工程用，依据剥离区的表土的性质特征、数量、分布以及复垦后土地的用途来决定应保留的表土。</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表土剥离工序采取推土机铲运土方式剥离，剥离土方采取集中堆放至场区</w:t>
      </w:r>
      <w:r>
        <w:rPr>
          <w:rFonts w:hint="eastAsia" w:ascii="仿宋_GB2312" w:eastAsia="仿宋_GB2312"/>
          <w:color w:val="000000" w:themeColor="text1"/>
          <w:lang w:eastAsia="zh-CN"/>
          <w14:textFill>
            <w14:solidFill>
              <w14:schemeClr w14:val="tx1"/>
            </w14:solidFill>
          </w14:textFill>
        </w:rPr>
        <w:t>办公生活区</w:t>
      </w:r>
      <w:r>
        <w:rPr>
          <w:rFonts w:hint="eastAsia" w:ascii="仿宋_GB2312" w:eastAsia="仿宋_GB2312"/>
          <w:color w:val="000000" w:themeColor="text1"/>
          <w14:textFill>
            <w14:solidFill>
              <w14:schemeClr w14:val="tx1"/>
            </w14:solidFill>
          </w14:textFill>
        </w:rPr>
        <w:t>一角，在不影响正常施工的前提下，在表土堆放坡脚采用编织袋堆砌挡护，以避免二次搬运。表土剥离单独堆放在一边，妥善保存，防止岩石混入使土质恶化，尽可能做到恢复后保持原有的土壤结构，</w:t>
      </w:r>
      <w:r>
        <w:rPr>
          <w:rFonts w:hint="eastAsia" w:ascii="仿宋_GB2312" w:hAnsi="Times New Roman" w:eastAsia="仿宋_GB2312" w:cs="Times New Roman"/>
          <w:color w:val="000000" w:themeColor="text1"/>
          <w14:textFill>
            <w14:solidFill>
              <w14:schemeClr w14:val="tx1"/>
            </w14:solidFill>
          </w14:textFill>
        </w:rPr>
        <w:t>以利种植。为减少表层松散土体堆放</w:t>
      </w:r>
      <w:r>
        <w:rPr>
          <w:rFonts w:hint="eastAsia" w:ascii="仿宋_GB2312" w:eastAsia="仿宋_GB2312"/>
          <w:color w:val="000000" w:themeColor="text1"/>
          <w14:textFill>
            <w14:solidFill>
              <w14:schemeClr w14:val="tx1"/>
            </w14:solidFill>
          </w14:textFill>
        </w:rPr>
        <w:t>过程中产生的水土流失、堆放形势采用梯形，边坡比为1：1.75，平均堆高3.0米，在</w:t>
      </w:r>
      <w:r>
        <w:rPr>
          <w:rFonts w:hint="eastAsia" w:ascii="仿宋_GB2312" w:eastAsia="仿宋_GB2312"/>
          <w:color w:val="000000" w:themeColor="text1"/>
          <w:lang w:val="en-US" w:eastAsia="zh-CN"/>
          <w14:textFill>
            <w14:solidFill>
              <w14:schemeClr w14:val="tx1"/>
            </w14:solidFill>
          </w14:textFill>
        </w:rPr>
        <w:t>上层表土采取苫盖措施，表土剥离已纳入主体工程内容，不纳入预算范围</w:t>
      </w:r>
      <w:r>
        <w:rPr>
          <w:rFonts w:hint="eastAsia" w:ascii="仿宋_GB2312" w:eastAsia="仿宋_GB2312"/>
          <w:color w:val="000000" w:themeColor="text1"/>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黑体" w:hAnsi="黑体" w:eastAsia="黑体" w:cs="黑体"/>
          <w:b/>
          <w:bCs/>
          <w:color w:val="000000" w:themeColor="text1"/>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b)</w:t>
      </w:r>
      <w:r>
        <w:rPr>
          <w:rFonts w:hint="eastAsia" w:ascii="仿宋_GB2312" w:hAnsi="仿宋_GB2312" w:eastAsia="仿宋_GB2312" w:cs="仿宋_GB2312"/>
          <w:color w:val="000000" w:themeColor="text1"/>
          <w14:textFill>
            <w14:solidFill>
              <w14:schemeClr w14:val="tx1"/>
            </w14:solidFill>
          </w14:textFill>
        </w:rPr>
        <w:t>土地平整措施</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土地平整过程是复垦工作的主要工作内容之一。</w:t>
      </w:r>
      <w:r>
        <w:rPr>
          <w:rFonts w:hint="eastAsia" w:ascii="仿宋_GB2312" w:eastAsia="仿宋_GB2312"/>
          <w:color w:val="000000" w:themeColor="text1"/>
          <w:lang w:eastAsia="zh-CN"/>
          <w14:textFill>
            <w14:solidFill>
              <w14:schemeClr w14:val="tx1"/>
            </w14:solidFill>
          </w14:textFill>
        </w:rPr>
        <w:t>工程建设</w:t>
      </w:r>
      <w:r>
        <w:rPr>
          <w:rFonts w:hint="eastAsia" w:ascii="仿宋_GB2312" w:eastAsia="仿宋_GB2312"/>
          <w:color w:val="000000" w:themeColor="text1"/>
          <w14:textFill>
            <w14:solidFill>
              <w14:schemeClr w14:val="tx1"/>
            </w14:solidFill>
          </w14:textFill>
        </w:rPr>
        <w:t>占压土地后，使原有的土地形态发生改变，导致土地的表层起伏不平，难以达到预期的土地利用方向。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eastAsia="仿宋_GB2312"/>
          <w:color w:val="000000" w:themeColor="text1"/>
          <w:kern w:val="0"/>
          <w:sz w:val="24"/>
          <w:szCs w:val="24"/>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1"/>
          <w:lang w:val="en-US" w:eastAsia="zh-CN" w:bidi="ar-SA"/>
          <w14:textFill>
            <w14:solidFill>
              <w14:schemeClr w14:val="tx1"/>
            </w14:solidFill>
          </w14:textFill>
        </w:rPr>
        <w:t>土地平整工程按微地形就地推平即可，该区预估平整厚度0.15m，平整工程量1500m</w:t>
      </w:r>
      <w:r>
        <w:rPr>
          <w:rFonts w:hint="eastAsia" w:ascii="仿宋_GB2312" w:hAnsi="仿宋_GB2312" w:eastAsia="仿宋_GB2312" w:cs="仿宋_GB2312"/>
          <w:color w:val="000000" w:themeColor="text1"/>
          <w:sz w:val="24"/>
          <w:szCs w:val="21"/>
          <w:vertAlign w:val="superscript"/>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4"/>
          <w:szCs w:val="21"/>
          <w:lang w:val="en-US" w:eastAsia="zh-CN" w:bidi="ar-SA"/>
          <w14:textFill>
            <w14:solidFill>
              <w14:schemeClr w14:val="tx1"/>
            </w14:solidFill>
          </w14:textFill>
        </w:rPr>
        <w:t>/公顷</w:t>
      </w:r>
      <w:r>
        <w:rPr>
          <w:rFonts w:hint="eastAsia" w:eastAsia="仿宋_GB2312"/>
          <w:color w:val="000000" w:themeColor="text1"/>
          <w:kern w:val="0"/>
          <w:sz w:val="24"/>
          <w:szCs w:val="24"/>
          <w:vertAlign w:val="baseline"/>
          <w:lang w:val="en-US"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lang w:eastAsia="zh-CN"/>
          <w14:textFill>
            <w14:solidFill>
              <w14:schemeClr w14:val="tx1"/>
            </w14:solidFill>
          </w14:textFill>
        </w:rPr>
      </w:pPr>
      <w:r>
        <w:rPr>
          <w:rFonts w:hint="eastAsia" w:ascii="仿宋_GB2312" w:eastAsia="仿宋_GB2312"/>
          <w:color w:val="000000" w:themeColor="text1"/>
          <w14:textFill>
            <w14:solidFill>
              <w14:schemeClr w14:val="tx1"/>
            </w14:solidFill>
          </w14:textFill>
        </w:rPr>
        <w:t>根据复垦标准及实地情况，采用人工或机械（如</w:t>
      </w:r>
      <w:r>
        <w:rPr>
          <w:rFonts w:hint="eastAsia" w:eastAsia="仿宋_GB2312"/>
          <w:color w:val="000000" w:themeColor="text1"/>
          <w:lang w:val="en-US" w:eastAsia="zh-CN"/>
          <w14:textFill>
            <w14:solidFill>
              <w14:schemeClr w14:val="tx1"/>
            </w14:solidFill>
          </w14:textFill>
        </w:rPr>
        <w:t>74</w:t>
      </w:r>
      <w:r>
        <w:rPr>
          <w:rFonts w:eastAsia="仿宋_GB2312"/>
          <w:color w:val="000000" w:themeColor="text1"/>
          <w14:textFill>
            <w14:solidFill>
              <w14:schemeClr w14:val="tx1"/>
            </w14:solidFill>
          </w14:textFill>
        </w:rPr>
        <w:t>kw</w:t>
      </w:r>
      <w:r>
        <w:rPr>
          <w:rFonts w:hint="eastAsia" w:ascii="仿宋_GB2312" w:eastAsia="仿宋_GB2312"/>
          <w:color w:val="000000" w:themeColor="text1"/>
          <w14:textFill>
            <w14:solidFill>
              <w14:schemeClr w14:val="tx1"/>
            </w14:solidFill>
          </w14:textFill>
        </w:rPr>
        <w:t>的</w:t>
      </w:r>
      <w:r>
        <w:rPr>
          <w:rFonts w:hint="eastAsia" w:ascii="仿宋_GB2312" w:eastAsia="仿宋_GB2312"/>
          <w:color w:val="000000" w:themeColor="text1"/>
          <w:lang w:eastAsia="zh-CN"/>
          <w14:textFill>
            <w14:solidFill>
              <w14:schemeClr w14:val="tx1"/>
            </w14:solidFill>
          </w14:textFill>
        </w:rPr>
        <w:t>推土</w:t>
      </w:r>
      <w:r>
        <w:rPr>
          <w:rFonts w:hint="eastAsia" w:ascii="仿宋_GB2312" w:eastAsia="仿宋_GB2312"/>
          <w:color w:val="000000" w:themeColor="text1"/>
          <w14:textFill>
            <w14:solidFill>
              <w14:schemeClr w14:val="tx1"/>
            </w14:solidFill>
          </w14:textFill>
        </w:rPr>
        <w:t>机）进行平整，使作业面保持平整</w:t>
      </w:r>
      <w:r>
        <w:rPr>
          <w:rFonts w:hint="eastAsia" w:ascii="仿宋_GB2312" w:eastAsia="仿宋_GB2312"/>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eastAsia="仿宋_GB2312"/>
          <w:color w:val="000000" w:themeColor="text1"/>
          <w:kern w:val="0"/>
          <w:sz w:val="24"/>
          <w:szCs w:val="24"/>
          <w:vertAlign w:val="baseline"/>
          <w:lang w:val="en-US" w:eastAsia="zh-CN"/>
          <w14:textFill>
            <w14:solidFill>
              <w14:schemeClr w14:val="tx1"/>
            </w14:solidFill>
          </w14:textFill>
        </w:rPr>
      </w:pPr>
      <w:r>
        <w:rPr>
          <w:rFonts w:hint="eastAsia" w:eastAsia="仿宋_GB2312"/>
          <w:color w:val="000000" w:themeColor="text1"/>
          <w:kern w:val="0"/>
          <w:sz w:val="24"/>
          <w:szCs w:val="24"/>
          <w:vertAlign w:val="baseline"/>
          <w:lang w:val="en-US" w:eastAsia="zh-CN"/>
          <w14:textFill>
            <w14:solidFill>
              <w14:schemeClr w14:val="tx1"/>
            </w14:solidFill>
          </w14:textFill>
        </w:rPr>
        <w:t>土地复垦工程施工过程中，土地平整边界依据拟定及破坏的临时用地边界进行确定，平整范围即为临时用地破坏范围，在场地边界范围进行复垦工程过程中，施工机械不得碾压破坏批复临时用地范围外的土地。</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color w:val="000000" w:themeColor="text1"/>
          <w:lang w:val="en-US" w:eastAsia="zh-CN"/>
          <w14:textFill>
            <w14:solidFill>
              <w14:schemeClr w14:val="tx1"/>
            </w14:solidFill>
          </w14:textFill>
        </w:rPr>
      </w:pPr>
      <w:r>
        <w:rPr>
          <w:rFonts w:hint="eastAsia" w:eastAsia="仿宋_GB2312"/>
          <w:color w:val="000000" w:themeColor="text1"/>
          <w:kern w:val="0"/>
          <w:sz w:val="24"/>
          <w:szCs w:val="24"/>
          <w:vertAlign w:val="baseline"/>
          <w:lang w:val="en-US" w:eastAsia="zh-CN"/>
          <w14:textFill>
            <w14:solidFill>
              <w14:schemeClr w14:val="tx1"/>
            </w14:solidFill>
          </w14:textFill>
        </w:rPr>
        <w:t>施工方法：根据复垦标准及实地情况，采用人工或机械（如74kw的推土机）进行平整，平整时匀速行驶，场地平整后进行标高抽检复核，标高应控制在</w:t>
      </w:r>
      <w:r>
        <w:rPr>
          <w:rFonts w:hint="eastAsia" w:eastAsia="仿宋_GB2312"/>
          <w:color w:val="000000" w:themeColor="text1"/>
          <w:kern w:val="0"/>
          <w:sz w:val="24"/>
          <w:szCs w:val="24"/>
          <w:vertAlign w:val="baseline"/>
          <w:lang w:val="sq-AL" w:eastAsia="zh-CN"/>
          <w14:textFill>
            <w14:solidFill>
              <w14:schemeClr w14:val="tx1"/>
            </w14:solidFill>
          </w14:textFill>
        </w:rPr>
        <w:t>±</w:t>
      </w:r>
      <w:r>
        <w:rPr>
          <w:rFonts w:hint="eastAsia" w:eastAsia="仿宋_GB2312"/>
          <w:color w:val="000000" w:themeColor="text1"/>
          <w:kern w:val="0"/>
          <w:sz w:val="24"/>
          <w:szCs w:val="24"/>
          <w:vertAlign w:val="baseline"/>
          <w:lang w:val="en-US" w:eastAsia="zh-CN"/>
          <w14:textFill>
            <w14:solidFill>
              <w14:schemeClr w14:val="tx1"/>
            </w14:solidFill>
          </w14:textFill>
        </w:rPr>
        <w:t>1</w:t>
      </w:r>
      <w:r>
        <w:rPr>
          <w:rFonts w:hint="eastAsia" w:eastAsia="仿宋_GB2312"/>
          <w:color w:val="000000" w:themeColor="text1"/>
          <w:kern w:val="0"/>
          <w:sz w:val="24"/>
          <w:szCs w:val="24"/>
          <w:vertAlign w:val="baseline"/>
          <w:lang w:val="sq-AL" w:eastAsia="zh-CN"/>
          <w14:textFill>
            <w14:solidFill>
              <w14:schemeClr w14:val="tx1"/>
            </w14:solidFill>
          </w14:textFill>
        </w:rPr>
        <w:t>0厘米以</w:t>
      </w:r>
      <w:r>
        <w:rPr>
          <w:rFonts w:hint="eastAsia" w:eastAsia="仿宋_GB2312"/>
          <w:color w:val="000000" w:themeColor="text1"/>
          <w:kern w:val="0"/>
          <w:sz w:val="24"/>
          <w:szCs w:val="24"/>
          <w:vertAlign w:val="baseline"/>
          <w:lang w:val="en-US" w:eastAsia="zh-CN"/>
          <w14:textFill>
            <w14:solidFill>
              <w14:schemeClr w14:val="tx1"/>
            </w14:solidFill>
          </w14:textFill>
        </w:rPr>
        <w:t>内。场地平整后采用人工对复垦区周边衔接部位进行边坡整饰，以满足与周边地形地貌相协调的视觉感官要求。</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b w:val="0"/>
          <w:bCs/>
          <w:color w:val="000000" w:themeColor="text1"/>
          <w:sz w:val="24"/>
          <w:szCs w:val="24"/>
          <w14:textFill>
            <w14:solidFill>
              <w14:schemeClr w14:val="tx1"/>
            </w14:solidFill>
          </w14:textFill>
        </w:rPr>
      </w:pPr>
      <w:r>
        <w:rPr>
          <w:rFonts w:hint="eastAsia" w:eastAsia="仿宋_GB2312"/>
          <w:color w:val="000000" w:themeColor="text1"/>
          <w:sz w:val="24"/>
          <w:szCs w:val="24"/>
          <w:lang w:val="en-US" w:eastAsia="zh-CN"/>
          <w14:textFill>
            <w14:solidFill>
              <w14:schemeClr w14:val="tx1"/>
            </w14:solidFill>
          </w14:textFill>
        </w:rPr>
        <w:t>b</w:t>
      </w:r>
      <w:r>
        <w:rPr>
          <w:rFonts w:eastAsia="仿宋_GB2312"/>
          <w:color w:val="000000" w:themeColor="text1"/>
          <w:sz w:val="24"/>
          <w:szCs w:val="24"/>
          <w14:textFill>
            <w14:solidFill>
              <w14:schemeClr w14:val="tx1"/>
            </w14:solidFill>
          </w14:textFill>
        </w:rPr>
        <w:t>）</w:t>
      </w:r>
      <w:r>
        <w:rPr>
          <w:rFonts w:eastAsia="仿宋_GB2312"/>
          <w:b w:val="0"/>
          <w:bCs/>
          <w:color w:val="000000" w:themeColor="text1"/>
          <w:sz w:val="24"/>
          <w:szCs w:val="24"/>
          <w14:textFill>
            <w14:solidFill>
              <w14:schemeClr w14:val="tx1"/>
            </w14:solidFill>
          </w14:textFill>
        </w:rPr>
        <w:t>表土回覆</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平整后，要对平整后的土地进行覆土，覆土来源是施工前表层土的剥离，覆土厚度根据复垦后土地的利用方向具体确定。鉴于该临时占用场地本身具有一定厚度土层，该部分表土仅进行平铺即可，表土回填最终满足：</w:t>
      </w:r>
      <w:r>
        <w:rPr>
          <w:rFonts w:hint="eastAsia" w:eastAsia="仿宋_GB2312"/>
          <w:color w:val="000000" w:themeColor="text1"/>
          <w:sz w:val="24"/>
          <w:lang w:val="en-US" w:eastAsia="zh-CN"/>
          <w14:textFill>
            <w14:solidFill>
              <w14:schemeClr w14:val="tx1"/>
            </w14:solidFill>
          </w14:textFill>
        </w:rPr>
        <w:t>复垦为耕地、种植园用地覆土厚度0.5m，</w:t>
      </w:r>
      <w:r>
        <w:rPr>
          <w:rFonts w:eastAsia="仿宋_GB2312"/>
          <w:color w:val="000000" w:themeColor="text1"/>
          <w:sz w:val="24"/>
          <w14:textFill>
            <w14:solidFill>
              <w14:schemeClr w14:val="tx1"/>
            </w14:solidFill>
          </w14:textFill>
        </w:rPr>
        <w:t>复垦为</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覆土厚度为</w:t>
      </w:r>
      <w:r>
        <w:rPr>
          <w:rFonts w:hint="eastAsia" w:eastAsia="仿宋_GB2312"/>
          <w:color w:val="000000" w:themeColor="text1"/>
          <w:sz w:val="24"/>
          <w:lang w:eastAsia="zh-CN"/>
          <w14:textFill>
            <w14:solidFill>
              <w14:schemeClr w14:val="tx1"/>
            </w14:solidFill>
          </w14:textFill>
        </w:rPr>
        <w:t>0.</w:t>
      </w:r>
      <w:r>
        <w:rPr>
          <w:rFonts w:hint="eastAsia" w:eastAsia="仿宋_GB2312"/>
          <w:color w:val="000000" w:themeColor="text1"/>
          <w:sz w:val="24"/>
          <w:lang w:val="en-US" w:eastAsia="zh-CN"/>
          <w14:textFill>
            <w14:solidFill>
              <w14:schemeClr w14:val="tx1"/>
            </w14:solidFill>
          </w14:textFill>
        </w:rPr>
        <w:t>3</w:t>
      </w:r>
      <w:r>
        <w:rPr>
          <w:rFonts w:hint="eastAsia" w:eastAsia="仿宋_GB2312"/>
          <w:color w:val="000000" w:themeColor="text1"/>
          <w:sz w:val="24"/>
          <w:lang w:eastAsia="zh-CN"/>
          <w14:textFill>
            <w14:solidFill>
              <w14:schemeClr w14:val="tx1"/>
            </w14:solidFill>
          </w14:textFill>
        </w:rPr>
        <w:t>m</w:t>
      </w:r>
      <w:r>
        <w:rPr>
          <w:rFonts w:eastAsia="仿宋_GB2312"/>
          <w:color w:val="000000" w:themeColor="text1"/>
          <w:sz w:val="24"/>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color w:val="000000" w:themeColor="text1"/>
          <w:sz w:val="24"/>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施工方法：</w:t>
      </w:r>
      <w:r>
        <w:rPr>
          <w:rFonts w:hint="eastAsia" w:eastAsia="仿宋_GB2312"/>
          <w:color w:val="000000" w:themeColor="text1"/>
          <w:sz w:val="24"/>
          <w:szCs w:val="24"/>
          <w:lang w:eastAsia="zh-CN"/>
          <w14:textFill>
            <w14:solidFill>
              <w14:schemeClr w14:val="tx1"/>
            </w14:solidFill>
          </w14:textFill>
        </w:rPr>
        <w:t>表土回覆工序</w:t>
      </w:r>
      <w:r>
        <w:rPr>
          <w:rFonts w:hint="eastAsia" w:ascii="Times New Roman" w:hAnsi="Times New Roman" w:eastAsia="仿宋_GB2312" w:cs="Times New Roman"/>
          <w:color w:val="000000" w:themeColor="text1"/>
          <w:sz w:val="24"/>
          <w:szCs w:val="24"/>
          <w:vertAlign w:val="baseline"/>
          <w:lang w:eastAsia="zh-CN"/>
          <w14:textFill>
            <w14:solidFill>
              <w14:schemeClr w14:val="tx1"/>
            </w14:solidFill>
          </w14:textFill>
        </w:rPr>
        <w:t>即采用</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74kw</w:t>
      </w:r>
      <w:r>
        <w:rPr>
          <w:rFonts w:hint="eastAsia" w:eastAsia="仿宋_GB2312"/>
          <w:color w:val="000000" w:themeColor="text1"/>
          <w:sz w:val="24"/>
          <w:lang w:eastAsia="zh-CN"/>
          <w14:textFill>
            <w14:solidFill>
              <w14:schemeClr w14:val="tx1"/>
            </w14:solidFill>
          </w14:textFill>
        </w:rPr>
        <w:t>推土机推土方式进行平铺</w:t>
      </w:r>
      <w:r>
        <w:rPr>
          <w:rFonts w:eastAsia="仿宋_GB2312"/>
          <w:color w:val="000000" w:themeColor="text1"/>
          <w:sz w:val="24"/>
          <w14:textFill>
            <w14:solidFill>
              <w14:schemeClr w14:val="tx1"/>
            </w14:solidFill>
          </w14:textFill>
        </w:rPr>
        <w:t>。</w:t>
      </w:r>
    </w:p>
    <w:p>
      <w:pPr>
        <w:spacing w:line="360" w:lineRule="auto"/>
        <w:ind w:firstLine="480" w:firstLineChars="200"/>
        <w:rPr>
          <w:rFonts w:hint="eastAsia" w:eastAsia="仿宋_GB2312"/>
          <w:b w:val="0"/>
          <w:bCs w:val="0"/>
          <w:color w:val="000000" w:themeColor="text1"/>
          <w:sz w:val="24"/>
          <w:lang w:eastAsia="zh-CN"/>
          <w14:textFill>
            <w14:solidFill>
              <w14:schemeClr w14:val="tx1"/>
            </w14:solidFill>
          </w14:textFill>
        </w:rPr>
      </w:pPr>
      <w:r>
        <w:rPr>
          <w:rFonts w:hint="eastAsia" w:eastAsia="仿宋_GB2312"/>
          <w:b w:val="0"/>
          <w:bCs w:val="0"/>
          <w:color w:val="000000" w:themeColor="text1"/>
          <w:sz w:val="24"/>
          <w:lang w:val="en-US" w:eastAsia="zh-CN"/>
          <w14:textFill>
            <w14:solidFill>
              <w14:schemeClr w14:val="tx1"/>
            </w14:solidFill>
          </w14:textFill>
        </w:rPr>
        <w:t>c</w:t>
      </w:r>
      <w:r>
        <w:rPr>
          <w:rFonts w:hint="eastAsia" w:eastAsia="仿宋_GB2312"/>
          <w:b w:val="0"/>
          <w:bCs w:val="0"/>
          <w:color w:val="000000" w:themeColor="text1"/>
          <w:sz w:val="24"/>
          <w:lang w:eastAsia="zh-CN"/>
          <w14:textFill>
            <w14:solidFill>
              <w14:schemeClr w14:val="tx1"/>
            </w14:solidFill>
          </w14:textFill>
        </w:rPr>
        <w:t>）土地翻耕措施</w:t>
      </w:r>
    </w:p>
    <w:p>
      <w:pPr>
        <w:pStyle w:val="25"/>
        <w:adjustRightInd w:val="0"/>
        <w:snapToGrid w:val="0"/>
        <w:ind w:firstLine="480"/>
        <w:rPr>
          <w:rFonts w:hint="eastAsia" w:ascii="Times New Roman" w:hAnsi="Times New Roman" w:eastAsia="仿宋_GB2312" w:cs="Times New Roman"/>
          <w:b w:val="0"/>
          <w:bCs w:val="0"/>
          <w:color w:val="000000" w:themeColor="text1"/>
          <w:sz w:val="24"/>
          <w:lang w:eastAsia="zh-CN"/>
          <w14:textFill>
            <w14:solidFill>
              <w14:schemeClr w14:val="tx1"/>
            </w14:solidFill>
          </w14:textFill>
        </w:rPr>
      </w:pPr>
      <w:r>
        <w:rPr>
          <w:rFonts w:eastAsia="仿宋_GB2312"/>
          <w:b w:val="0"/>
          <w:bCs w:val="0"/>
          <w:color w:val="000000" w:themeColor="text1"/>
          <w:sz w:val="24"/>
          <w14:textFill>
            <w14:solidFill>
              <w14:schemeClr w14:val="tx1"/>
            </w14:solidFill>
          </w14:textFill>
        </w:rPr>
        <w:t>由于临时占地土地损毁类型为压占，重型机械的压实，造成地表板结，直接在此基础上进行客土耕种，不利于水分渗透和通风，</w:t>
      </w:r>
      <w:r>
        <w:rPr>
          <w:rFonts w:hint="eastAsia" w:eastAsia="仿宋_GB2312"/>
          <w:b w:val="0"/>
          <w:bCs w:val="0"/>
          <w:color w:val="000000" w:themeColor="text1"/>
          <w:sz w:val="24"/>
          <w:lang w:eastAsia="zh-CN"/>
          <w14:textFill>
            <w14:solidFill>
              <w14:schemeClr w14:val="tx1"/>
            </w14:solidFill>
          </w14:textFill>
        </w:rPr>
        <w:t>妨碍植被生长</w:t>
      </w:r>
      <w:r>
        <w:rPr>
          <w:rFonts w:eastAsia="仿宋_GB2312"/>
          <w:b w:val="0"/>
          <w:bCs w:val="0"/>
          <w:color w:val="000000" w:themeColor="text1"/>
          <w:sz w:val="24"/>
          <w14:textFill>
            <w14:solidFill>
              <w14:schemeClr w14:val="tx1"/>
            </w14:solidFill>
          </w14:textFill>
        </w:rPr>
        <w:t>；</w:t>
      </w:r>
      <w:r>
        <w:rPr>
          <w:rFonts w:hint="eastAsia" w:eastAsia="仿宋_GB2312"/>
          <w:b w:val="0"/>
          <w:bCs w:val="0"/>
          <w:color w:val="000000" w:themeColor="text1"/>
          <w:sz w:val="24"/>
          <w:lang w:eastAsia="zh-CN"/>
          <w14:textFill>
            <w14:solidFill>
              <w14:schemeClr w14:val="tx1"/>
            </w14:solidFill>
          </w14:textFill>
        </w:rPr>
        <w:t>故</w:t>
      </w:r>
      <w:r>
        <w:rPr>
          <w:rFonts w:eastAsia="仿宋_GB2312"/>
          <w:b w:val="0"/>
          <w:bCs w:val="0"/>
          <w:color w:val="000000" w:themeColor="text1"/>
          <w:sz w:val="24"/>
          <w14:textFill>
            <w14:solidFill>
              <w14:schemeClr w14:val="tx1"/>
            </w14:solidFill>
          </w14:textFill>
        </w:rPr>
        <w:t>需要对复垦责任范围区域</w:t>
      </w:r>
      <w:r>
        <w:rPr>
          <w:rFonts w:hint="eastAsia" w:eastAsia="仿宋_GB2312"/>
          <w:b w:val="0"/>
          <w:bCs w:val="0"/>
          <w:color w:val="000000" w:themeColor="text1"/>
          <w:sz w:val="24"/>
          <w:lang w:eastAsia="zh-CN"/>
          <w14:textFill>
            <w14:solidFill>
              <w14:schemeClr w14:val="tx1"/>
            </w14:solidFill>
          </w14:textFill>
        </w:rPr>
        <w:t>内的林地</w:t>
      </w:r>
      <w:r>
        <w:rPr>
          <w:rFonts w:eastAsia="仿宋_GB2312"/>
          <w:b w:val="0"/>
          <w:bCs w:val="0"/>
          <w:color w:val="000000" w:themeColor="text1"/>
          <w:sz w:val="24"/>
          <w14:textFill>
            <w14:solidFill>
              <w14:schemeClr w14:val="tx1"/>
            </w14:solidFill>
          </w14:textFill>
        </w:rPr>
        <w:t>进行</w:t>
      </w:r>
      <w:r>
        <w:rPr>
          <w:rFonts w:hint="eastAsia" w:eastAsia="仿宋_GB2312"/>
          <w:b w:val="0"/>
          <w:bCs w:val="0"/>
          <w:color w:val="000000" w:themeColor="text1"/>
          <w:sz w:val="24"/>
          <w:lang w:eastAsia="zh-CN"/>
          <w14:textFill>
            <w14:solidFill>
              <w14:schemeClr w14:val="tx1"/>
            </w14:solidFill>
          </w14:textFill>
        </w:rPr>
        <w:t>土地</w:t>
      </w:r>
      <w:r>
        <w:rPr>
          <w:rFonts w:eastAsia="仿宋_GB2312"/>
          <w:b w:val="0"/>
          <w:bCs w:val="0"/>
          <w:color w:val="000000" w:themeColor="text1"/>
          <w:sz w:val="24"/>
          <w14:textFill>
            <w14:solidFill>
              <w14:schemeClr w14:val="tx1"/>
            </w14:solidFill>
          </w14:textFill>
        </w:rPr>
        <w:t>翻耕</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土壤翻耕深度15-20cm</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5.3.2 </w:t>
      </w:r>
      <w:r>
        <w:rPr>
          <w:rFonts w:hint="eastAsia" w:ascii="黑体" w:hAnsi="黑体" w:eastAsia="黑体" w:cs="黑体"/>
          <w:color w:val="000000" w:themeColor="text1"/>
          <w:sz w:val="28"/>
          <w14:textFill>
            <w14:solidFill>
              <w14:schemeClr w14:val="tx1"/>
            </w14:solidFill>
          </w14:textFill>
        </w:rPr>
        <w:t>生物化学措施</w:t>
      </w:r>
      <w:bookmarkEnd w:id="131"/>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b w:val="0"/>
          <w:bCs w:val="0"/>
          <w:color w:val="000000" w:themeColor="text1"/>
          <w:sz w:val="24"/>
          <w14:textFill>
            <w14:solidFill>
              <w14:schemeClr w14:val="tx1"/>
            </w14:solidFill>
          </w14:textFill>
        </w:rPr>
      </w:pPr>
      <w:r>
        <w:rPr>
          <w:rFonts w:eastAsia="仿宋_GB2312"/>
          <w:b w:val="0"/>
          <w:bCs w:val="0"/>
          <w:color w:val="000000" w:themeColor="text1"/>
          <w:sz w:val="24"/>
          <w14:textFill>
            <w14:solidFill>
              <w14:schemeClr w14:val="tx1"/>
            </w14:solidFill>
          </w14:textFill>
        </w:rPr>
        <w:t>生物化学措施为工程复垦后续工作，依赖于工程技术复垦措施的基础条件，</w:t>
      </w:r>
      <w:r>
        <w:rPr>
          <w:rFonts w:hint="eastAsia" w:eastAsia="仿宋_GB2312"/>
          <w:b w:val="0"/>
          <w:bCs w:val="0"/>
          <w:color w:val="000000" w:themeColor="text1"/>
          <w:sz w:val="24"/>
          <w:lang w:eastAsia="zh-CN"/>
          <w14:textFill>
            <w14:solidFill>
              <w14:schemeClr w14:val="tx1"/>
            </w14:solidFill>
          </w14:textFill>
        </w:rPr>
        <w:t>本次复垦的</w:t>
      </w:r>
      <w:r>
        <w:rPr>
          <w:rFonts w:eastAsia="仿宋_GB2312"/>
          <w:b w:val="0"/>
          <w:bCs w:val="0"/>
          <w:color w:val="000000" w:themeColor="text1"/>
          <w:sz w:val="24"/>
          <w14:textFill>
            <w14:solidFill>
              <w14:schemeClr w14:val="tx1"/>
            </w14:solidFill>
          </w14:textFill>
        </w:rPr>
        <w:t>生物化学措施主要</w:t>
      </w:r>
      <w:r>
        <w:rPr>
          <w:rFonts w:hint="eastAsia" w:eastAsia="仿宋_GB2312"/>
          <w:b w:val="0"/>
          <w:bCs w:val="0"/>
          <w:color w:val="000000" w:themeColor="text1"/>
          <w:sz w:val="24"/>
          <w:lang w:eastAsia="zh-CN"/>
          <w14:textFill>
            <w14:solidFill>
              <w14:schemeClr w14:val="tx1"/>
            </w14:solidFill>
          </w14:textFill>
        </w:rPr>
        <w:t>是植被恢复及土壤培肥</w:t>
      </w:r>
      <w:r>
        <w:rPr>
          <w:rFonts w:eastAsia="仿宋_GB2312"/>
          <w:b w:val="0"/>
          <w:bCs w:val="0"/>
          <w:color w:val="000000" w:themeColor="text1"/>
          <w:sz w:val="24"/>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b w:val="0"/>
          <w:bCs/>
          <w:color w:val="000000" w:themeColor="text1"/>
          <w:sz w:val="24"/>
          <w:lang w:eastAsia="zh-CN"/>
          <w14:textFill>
            <w14:solidFill>
              <w14:schemeClr w14:val="tx1"/>
            </w14:solidFill>
          </w14:textFill>
        </w:rPr>
      </w:pPr>
      <w:r>
        <w:rPr>
          <w:rFonts w:hint="eastAsia" w:eastAsia="仿宋_GB2312"/>
          <w:b w:val="0"/>
          <w:bCs/>
          <w:color w:val="000000" w:themeColor="text1"/>
          <w:sz w:val="24"/>
          <w:lang w:val="en-US" w:eastAsia="zh-CN"/>
          <w14:textFill>
            <w14:solidFill>
              <w14:schemeClr w14:val="tx1"/>
            </w14:solidFill>
          </w14:textFill>
        </w:rPr>
        <w:t>a）</w:t>
      </w:r>
      <w:r>
        <w:rPr>
          <w:rFonts w:hint="eastAsia" w:eastAsia="仿宋_GB2312"/>
          <w:b w:val="0"/>
          <w:bCs/>
          <w:color w:val="000000" w:themeColor="text1"/>
          <w:sz w:val="24"/>
          <w:lang w:eastAsia="zh-CN"/>
          <w14:textFill>
            <w14:solidFill>
              <w14:schemeClr w14:val="tx1"/>
            </w14:solidFill>
          </w14:textFill>
        </w:rPr>
        <w:t>植被恢复</w:t>
      </w:r>
    </w:p>
    <w:p>
      <w:pPr>
        <w:pStyle w:val="25"/>
        <w:ind w:firstLine="480"/>
        <w:rPr>
          <w:rFonts w:ascii="仿宋_GB2312" w:eastAsia="仿宋_GB2312"/>
          <w:b w:val="0"/>
          <w:bCs/>
          <w:color w:val="000000" w:themeColor="text1"/>
          <w14:textFill>
            <w14:solidFill>
              <w14:schemeClr w14:val="tx1"/>
            </w14:solidFill>
          </w14:textFill>
        </w:rPr>
      </w:pPr>
      <w:r>
        <w:rPr>
          <w:rFonts w:ascii="仿宋_GB2312" w:eastAsia="仿宋_GB2312"/>
          <w:b w:val="0"/>
          <w:bCs/>
          <w:color w:val="000000" w:themeColor="text1"/>
          <w14:textFill>
            <w14:solidFill>
              <w14:schemeClr w14:val="tx1"/>
            </w14:solidFill>
          </w14:textFill>
        </w:rPr>
        <w:t>适宜的种植物种选择是生态重建的关键，根据该项目区的自然环境</w:t>
      </w:r>
      <w:r>
        <w:rPr>
          <w:rFonts w:hint="eastAsia" w:ascii="仿宋_GB2312" w:eastAsia="仿宋_GB2312"/>
          <w:b w:val="0"/>
          <w:bCs/>
          <w:color w:val="000000" w:themeColor="text1"/>
          <w:lang w:eastAsia="zh-CN"/>
          <w14:textFill>
            <w14:solidFill>
              <w14:schemeClr w14:val="tx1"/>
            </w14:solidFill>
          </w14:textFill>
        </w:rPr>
        <w:t>和土地</w:t>
      </w:r>
      <w:r>
        <w:rPr>
          <w:rFonts w:ascii="仿宋_GB2312" w:eastAsia="仿宋_GB2312"/>
          <w:b w:val="0"/>
          <w:bCs/>
          <w:color w:val="000000" w:themeColor="text1"/>
          <w14:textFill>
            <w14:solidFill>
              <w14:schemeClr w14:val="tx1"/>
            </w14:solidFill>
          </w14:textFill>
        </w:rPr>
        <w:t>条件，复垦区种植的</w:t>
      </w:r>
      <w:r>
        <w:rPr>
          <w:rFonts w:hint="eastAsia" w:ascii="仿宋_GB2312" w:eastAsia="仿宋_GB2312"/>
          <w:b w:val="0"/>
          <w:bCs/>
          <w:color w:val="000000" w:themeColor="text1"/>
          <w:lang w:eastAsia="zh-CN"/>
          <w14:textFill>
            <w14:solidFill>
              <w14:schemeClr w14:val="tx1"/>
            </w14:solidFill>
          </w14:textFill>
        </w:rPr>
        <w:t>苗木</w:t>
      </w:r>
      <w:r>
        <w:rPr>
          <w:rFonts w:ascii="仿宋_GB2312" w:eastAsia="仿宋_GB2312"/>
          <w:b w:val="0"/>
          <w:bCs/>
          <w:color w:val="000000" w:themeColor="text1"/>
          <w14:textFill>
            <w14:solidFill>
              <w14:schemeClr w14:val="tx1"/>
            </w14:solidFill>
          </w14:textFill>
        </w:rPr>
        <w:t>具有以下特征：</w:t>
      </w:r>
    </w:p>
    <w:p>
      <w:pPr>
        <w:pStyle w:val="25"/>
        <w:ind w:firstLine="480"/>
        <w:rPr>
          <w:rFonts w:hint="eastAsia" w:ascii="Times New Roman" w:hAnsi="Times New Roman" w:eastAsia="仿宋_GB2312" w:cs="Times New Roman"/>
          <w:b w:val="0"/>
          <w:bCs/>
          <w:color w:val="000000" w:themeColor="text1"/>
          <w:lang w:eastAsia="zh-CN"/>
          <w14:textFill>
            <w14:solidFill>
              <w14:schemeClr w14:val="tx1"/>
            </w14:solidFill>
          </w14:textFill>
        </w:rPr>
      </w:pPr>
      <w:r>
        <w:rPr>
          <w:rFonts w:hint="eastAsia" w:ascii="仿宋_GB2312" w:eastAsia="仿宋_GB2312"/>
          <w:b w:val="0"/>
          <w:bCs/>
          <w:color w:val="000000" w:themeColor="text1"/>
          <w14:textFill>
            <w14:solidFill>
              <w14:schemeClr w14:val="tx1"/>
            </w14:solidFill>
          </w14:textFill>
        </w:rPr>
        <w:t>适应土壤贫瘠的恶劣环境中生长，具有抗旱、抗病虫害等特性</w:t>
      </w:r>
      <w:r>
        <w:rPr>
          <w:rFonts w:hint="eastAsia" w:ascii="仿宋_GB2312" w:eastAsia="仿宋_GB2312"/>
          <w:b w:val="0"/>
          <w:bCs/>
          <w:color w:val="000000" w:themeColor="text1"/>
          <w:lang w:eastAsia="zh-CN"/>
          <w14:textFill>
            <w14:solidFill>
              <w14:schemeClr w14:val="tx1"/>
            </w14:solidFill>
          </w14:textFill>
        </w:rPr>
        <w:t>，</w:t>
      </w:r>
      <w:r>
        <w:rPr>
          <w:rFonts w:hint="eastAsia" w:ascii="仿宋_GB2312" w:eastAsia="仿宋_GB2312"/>
          <w:b w:val="0"/>
          <w:bCs/>
          <w:color w:val="000000" w:themeColor="text1"/>
          <w14:textFill>
            <w14:solidFill>
              <w14:schemeClr w14:val="tx1"/>
            </w14:solidFill>
          </w14:textFill>
        </w:rPr>
        <w:t>喜光、根系发达，能够有效地固结土壤，防止水土流失。这在复垦工程的早期阶段尤其重要。</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b w:val="0"/>
          <w:bCs/>
          <w:color w:val="000000" w:themeColor="text1"/>
          <w:lang w:val="en-US" w:eastAsia="zh-CN"/>
          <w14:textFill>
            <w14:solidFill>
              <w14:schemeClr w14:val="tx1"/>
            </w14:solidFill>
          </w14:textFill>
        </w:rPr>
      </w:pPr>
      <w:r>
        <w:rPr>
          <w:rFonts w:hint="eastAsia" w:ascii="Times New Roman" w:hAnsi="Times New Roman" w:eastAsia="仿宋_GB2312" w:cs="Times New Roman"/>
          <w:b w:val="0"/>
          <w:bCs/>
          <w:color w:val="000000" w:themeColor="text1"/>
          <w:vertAlign w:val="baseline"/>
          <w:lang w:val="en-US" w:eastAsia="zh-CN"/>
          <w14:textFill>
            <w14:solidFill>
              <w14:schemeClr w14:val="tx1"/>
            </w14:solidFill>
          </w14:textFill>
        </w:rPr>
        <w:t>骆驼刺</w:t>
      </w:r>
      <w:r>
        <w:rPr>
          <w:rFonts w:hint="eastAsia" w:ascii="仿宋_GB2312" w:hAnsi="Times New Roman" w:eastAsia="仿宋_GB2312" w:cs="Times New Roman"/>
          <w:b w:val="0"/>
          <w:bCs/>
          <w:color w:val="000000" w:themeColor="text1"/>
          <w:lang w:eastAsia="zh-CN"/>
          <w14:textFill>
            <w14:solidFill>
              <w14:schemeClr w14:val="tx1"/>
            </w14:solidFill>
          </w14:textFill>
        </w:rPr>
        <w:t>在临时用地林地区及其周边地区大面积生存，</w:t>
      </w:r>
      <w:r>
        <w:rPr>
          <w:rFonts w:hint="eastAsia" w:ascii="仿宋_GB2312" w:hAnsi="Times New Roman" w:eastAsia="仿宋_GB2312" w:cs="Times New Roman"/>
          <w:b w:val="0"/>
          <w:bCs/>
          <w:color w:val="000000" w:themeColor="text1"/>
          <w:lang w:val="en-US" w:eastAsia="zh-CN"/>
          <w14:textFill>
            <w14:solidFill>
              <w14:schemeClr w14:val="tx1"/>
            </w14:solidFill>
          </w14:textFill>
        </w:rPr>
        <w:t>结合</w:t>
      </w:r>
      <w:r>
        <w:rPr>
          <w:rFonts w:hint="eastAsia" w:ascii="仿宋_GB2312" w:eastAsia="仿宋_GB2312" w:cs="Times New Roman"/>
          <w:b w:val="0"/>
          <w:bCs/>
          <w:color w:val="000000" w:themeColor="text1"/>
          <w:lang w:val="en-US" w:eastAsia="zh-CN"/>
          <w14:textFill>
            <w14:solidFill>
              <w14:schemeClr w14:val="tx1"/>
            </w14:solidFill>
          </w14:textFill>
        </w:rPr>
        <w:t>当地</w:t>
      </w:r>
      <w:r>
        <w:rPr>
          <w:rFonts w:hint="eastAsia" w:ascii="仿宋_GB2312" w:hAnsi="Times New Roman" w:eastAsia="仿宋_GB2312" w:cs="Times New Roman"/>
          <w:b w:val="0"/>
          <w:bCs/>
          <w:color w:val="000000" w:themeColor="text1"/>
          <w:lang w:val="en-US" w:eastAsia="zh-CN"/>
          <w14:textFill>
            <w14:solidFill>
              <w14:schemeClr w14:val="tx1"/>
            </w14:solidFill>
          </w14:textFill>
        </w:rPr>
        <w:t>林草局工作人员意见，综合考虑在</w:t>
      </w:r>
      <w:r>
        <w:rPr>
          <w:rFonts w:hint="eastAsia" w:ascii="Times New Roman" w:hAnsi="Times New Roman" w:eastAsia="仿宋_GB2312" w:cs="Times New Roman"/>
          <w:b w:val="0"/>
          <w:bCs/>
          <w:color w:val="000000" w:themeColor="text1"/>
          <w:vertAlign w:val="baseline"/>
          <w:lang w:val="en-US" w:eastAsia="zh-CN"/>
          <w14:textFill>
            <w14:solidFill>
              <w14:schemeClr w14:val="tx1"/>
            </w14:solidFill>
          </w14:textFill>
        </w:rPr>
        <w:t>原灌木林地种植骆驼刺，按照规程标准依据每公顷2500株进行栽种，本次复垦栽植骆驼刺拟至新疆喀什地区疏勒县苗圃基地购买，选用苗木为地径2cm，胸径1.4cm规格，林木栽种的时间安排在202</w:t>
      </w:r>
      <w:r>
        <w:rPr>
          <w:rFonts w:hint="eastAsia" w:eastAsia="仿宋_GB2312" w:cs="Times New Roman"/>
          <w:b w:val="0"/>
          <w:bCs/>
          <w:color w:val="000000" w:themeColor="text1"/>
          <w:vertAlign w:val="baseline"/>
          <w:lang w:val="en-US" w:eastAsia="zh-CN"/>
          <w14:textFill>
            <w14:solidFill>
              <w14:schemeClr w14:val="tx1"/>
            </w14:solidFill>
          </w14:textFill>
        </w:rPr>
        <w:t>6</w:t>
      </w:r>
      <w:r>
        <w:rPr>
          <w:rFonts w:hint="eastAsia" w:ascii="Times New Roman" w:hAnsi="Times New Roman" w:eastAsia="仿宋_GB2312" w:cs="Times New Roman"/>
          <w:b w:val="0"/>
          <w:bCs/>
          <w:color w:val="000000" w:themeColor="text1"/>
          <w:vertAlign w:val="baseline"/>
          <w:lang w:val="en-US" w:eastAsia="zh-CN"/>
          <w14:textFill>
            <w14:solidFill>
              <w14:schemeClr w14:val="tx1"/>
            </w14:solidFill>
          </w14:textFill>
        </w:rPr>
        <w:t>年</w:t>
      </w:r>
      <w:r>
        <w:rPr>
          <w:rFonts w:hint="eastAsia" w:eastAsia="仿宋_GB2312" w:cs="Times New Roman"/>
          <w:b w:val="0"/>
          <w:bCs/>
          <w:color w:val="000000" w:themeColor="text1"/>
          <w:vertAlign w:val="baseline"/>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vertAlign w:val="baseline"/>
          <w:lang w:val="en-US" w:eastAsia="zh-CN"/>
          <w14:textFill>
            <w14:solidFill>
              <w14:schemeClr w14:val="tx1"/>
            </w14:solidFill>
          </w14:textFill>
        </w:rPr>
        <w:t>月下旬。</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lang w:eastAsia="zh-CN"/>
          <w14:textFill>
            <w14:solidFill>
              <w14:schemeClr w14:val="tx1"/>
            </w14:solidFill>
          </w14:textFill>
        </w:rPr>
      </w:pPr>
      <w:r>
        <w:rPr>
          <w:rFonts w:hint="eastAsia" w:ascii="仿宋_GB2312" w:eastAsia="仿宋_GB2312"/>
          <w:color w:val="000000" w:themeColor="text1"/>
          <w:lang w:val="en-US" w:eastAsia="zh-CN"/>
          <w14:textFill>
            <w14:solidFill>
              <w14:schemeClr w14:val="tx1"/>
            </w14:solidFill>
          </w14:textFill>
        </w:rPr>
        <w:t>b</w:t>
      </w:r>
      <w:r>
        <w:rPr>
          <w:rFonts w:hint="eastAsia" w:ascii="仿宋_GB2312" w:eastAsia="仿宋_GB2312"/>
          <w:color w:val="000000" w:themeColor="text1"/>
          <w:lang w:eastAsia="zh-CN"/>
          <w14:textFill>
            <w14:solidFill>
              <w14:schemeClr w14:val="tx1"/>
            </w14:solidFill>
          </w14:textFill>
        </w:rPr>
        <w:t>）土壤培肥</w:t>
      </w:r>
    </w:p>
    <w:p>
      <w:pPr>
        <w:pageBreakBefore w:val="0"/>
        <w:kinsoku/>
        <w:wordWrap/>
        <w:overflowPunct/>
        <w:topLinePunct w:val="0"/>
        <w:bidi w:val="0"/>
        <w:spacing w:line="360" w:lineRule="auto"/>
        <w:ind w:right="0" w:rightChars="0" w:firstLine="480" w:firstLineChars="200"/>
        <w:rPr>
          <w:rFonts w:eastAsia="仿宋_GB2312"/>
          <w:b w:val="0"/>
          <w:bCs w:val="0"/>
          <w:color w:val="000000" w:themeColor="text1"/>
          <w:sz w:val="24"/>
          <w14:textFill>
            <w14:solidFill>
              <w14:schemeClr w14:val="tx1"/>
            </w14:solidFill>
          </w14:textFill>
        </w:rPr>
      </w:pPr>
      <w:r>
        <w:rPr>
          <w:rFonts w:eastAsia="仿宋_GB2312"/>
          <w:b w:val="0"/>
          <w:bCs w:val="0"/>
          <w:color w:val="000000" w:themeColor="text1"/>
          <w:sz w:val="24"/>
          <w14:textFill>
            <w14:solidFill>
              <w14:schemeClr w14:val="tx1"/>
            </w14:solidFill>
          </w14:textFill>
        </w:rPr>
        <w:t>项目区土壤有机质含量低，根据当地的经验和建议，增施有机肥是提高有机质含量，改善土壤结构最有效、最经济、最快捷的措施。增施有机肥可提高土壤的有机质含量，改善土壤表层结构，由于能提供较多的有机质和土壤微生物，能提供较长时间的养分供应，还能起到地表覆盖和肥料的双重作用。</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仿宋_GB2312" w:eastAsia="仿宋_GB2312"/>
          <w:color w:val="000000" w:themeColor="text1"/>
          <w14:textFill>
            <w14:solidFill>
              <w14:schemeClr w14:val="tx1"/>
            </w14:solidFill>
          </w14:textFill>
        </w:rPr>
      </w:pPr>
      <w:bookmarkStart w:id="132" w:name="_Toc30161"/>
      <w:bookmarkStart w:id="133" w:name="_Toc25148"/>
      <w:r>
        <w:rPr>
          <w:rFonts w:hint="eastAsia" w:eastAsia="仿宋_GB2312"/>
          <w:b w:val="0"/>
          <w:bCs w:val="0"/>
          <w:color w:val="000000" w:themeColor="text1"/>
          <w:sz w:val="24"/>
          <w14:textFill>
            <w14:solidFill>
              <w14:schemeClr w14:val="tx1"/>
            </w14:solidFill>
          </w14:textFill>
        </w:rPr>
        <w:t>土壤培肥措施主</w:t>
      </w:r>
      <w:r>
        <w:rPr>
          <w:rFonts w:hint="eastAsia" w:ascii="Times New Roman" w:hAnsi="Times New Roman" w:eastAsia="仿宋_GB2312" w:cs="Times New Roman"/>
          <w:b w:val="0"/>
          <w:bCs w:val="0"/>
          <w:color w:val="000000" w:themeColor="text1"/>
          <w:sz w:val="24"/>
          <w14:textFill>
            <w14:solidFill>
              <w14:schemeClr w14:val="tx1"/>
            </w14:solidFill>
          </w14:textFill>
        </w:rPr>
        <w:t>要是增施有机肥，</w:t>
      </w:r>
      <w:r>
        <w:rPr>
          <w:rFonts w:hint="eastAsia" w:eastAsia="仿宋_GB2312" w:cs="Times New Roman"/>
          <w:b w:val="0"/>
          <w:bCs w:val="0"/>
          <w:color w:val="000000" w:themeColor="text1"/>
          <w:sz w:val="24"/>
          <w:lang w:val="en-US" w:eastAsia="zh-CN"/>
          <w14:textFill>
            <w14:solidFill>
              <w14:schemeClr w14:val="tx1"/>
            </w14:solidFill>
          </w14:textFill>
        </w:rPr>
        <w:t>耕地、种植园用地、</w:t>
      </w:r>
      <w:r>
        <w:rPr>
          <w:rFonts w:hint="eastAsia" w:eastAsia="仿宋_GB2312" w:cs="Times New Roman"/>
          <w:color w:val="000000" w:themeColor="text1"/>
          <w:sz w:val="24"/>
          <w:lang w:val="en-US" w:eastAsia="zh-CN"/>
          <w14:textFill>
            <w14:solidFill>
              <w14:schemeClr w14:val="tx1"/>
            </w14:solidFill>
          </w14:textFill>
        </w:rPr>
        <w:t>林地</w:t>
      </w:r>
      <w:r>
        <w:rPr>
          <w:rFonts w:hint="eastAsia" w:ascii="Times New Roman" w:hAnsi="Times New Roman" w:eastAsia="仿宋_GB2312" w:cs="Times New Roman"/>
          <w:b w:val="0"/>
          <w:bCs w:val="0"/>
          <w:color w:val="000000" w:themeColor="text1"/>
          <w:sz w:val="24"/>
          <w14:textFill>
            <w14:solidFill>
              <w14:schemeClr w14:val="tx1"/>
            </w14:solidFill>
          </w14:textFill>
        </w:rPr>
        <w:t>每亩地施用腐熟的农家肥1</w:t>
      </w:r>
      <w:r>
        <w:rPr>
          <w:rFonts w:hint="eastAsia" w:eastAsia="仿宋_GB2312"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val="0"/>
          <w:color w:val="000000" w:themeColor="text1"/>
          <w:sz w:val="24"/>
          <w14:textFill>
            <w14:solidFill>
              <w14:schemeClr w14:val="tx1"/>
            </w14:solidFill>
          </w14:textFill>
        </w:rPr>
        <w:t>00千克或有机-无机复混肥</w:t>
      </w:r>
      <w:r>
        <w:rPr>
          <w:rFonts w:hint="eastAsia" w:eastAsia="仿宋_GB2312" w:cs="Times New Roman"/>
          <w:b w:val="0"/>
          <w:bCs w:val="0"/>
          <w:color w:val="000000" w:themeColor="text1"/>
          <w:sz w:val="24"/>
          <w:lang w:val="en-US" w:eastAsia="zh-CN"/>
          <w14:textFill>
            <w14:solidFill>
              <w14:schemeClr w14:val="tx1"/>
            </w14:solidFill>
          </w14:textFill>
        </w:rPr>
        <w:t>80</w:t>
      </w:r>
      <w:r>
        <w:rPr>
          <w:rFonts w:hint="eastAsia" w:ascii="Times New Roman" w:hAnsi="Times New Roman" w:eastAsia="仿宋_GB2312" w:cs="Times New Roman"/>
          <w:b w:val="0"/>
          <w:bCs w:val="0"/>
          <w:color w:val="000000" w:themeColor="text1"/>
          <w:sz w:val="24"/>
          <w14:textFill>
            <w14:solidFill>
              <w14:schemeClr w14:val="tx1"/>
            </w14:solidFill>
          </w14:textFill>
        </w:rPr>
        <w:t>千克。</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b w:val="0"/>
          <w:bCs w:val="0"/>
          <w:color w:val="000000" w:themeColor="text1"/>
          <w:sz w:val="30"/>
          <w:szCs w:val="30"/>
          <w14:textFill>
            <w14:solidFill>
              <w14:schemeClr w14:val="tx1"/>
            </w14:solidFill>
          </w14:textFill>
        </w:rPr>
      </w:pPr>
      <w:r>
        <w:rPr>
          <w:rFonts w:ascii="Times New Roman" w:hAnsi="Times New Roman"/>
          <w:b w:val="0"/>
          <w:bCs w:val="0"/>
          <w:color w:val="000000" w:themeColor="text1"/>
          <w:sz w:val="30"/>
          <w:szCs w:val="30"/>
          <w14:textFill>
            <w14:solidFill>
              <w14:schemeClr w14:val="tx1"/>
            </w14:solidFill>
          </w14:textFill>
        </w:rPr>
        <w:t>5.4监测措施</w:t>
      </w:r>
      <w:bookmarkEnd w:id="132"/>
      <w:bookmarkEnd w:id="133"/>
    </w:p>
    <w:p>
      <w:pPr>
        <w:pStyle w:val="6"/>
        <w:pageBreakBefore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r>
        <w:rPr>
          <w:rFonts w:hint="eastAsia" w:eastAsia="仿宋_GB2312"/>
          <w:color w:val="000000" w:themeColor="text1"/>
          <w:sz w:val="28"/>
          <w14:textFill>
            <w14:solidFill>
              <w14:schemeClr w14:val="tx1"/>
            </w14:solidFill>
          </w14:textFill>
        </w:rPr>
        <w:t xml:space="preserve">5.4.1 </w:t>
      </w:r>
      <w:r>
        <w:rPr>
          <w:rFonts w:hint="eastAsia" w:ascii="黑体" w:hAnsi="黑体" w:eastAsia="黑体" w:cs="黑体"/>
          <w:color w:val="000000" w:themeColor="text1"/>
          <w:sz w:val="28"/>
          <w14:textFill>
            <w14:solidFill>
              <w14:schemeClr w14:val="tx1"/>
            </w14:solidFill>
          </w14:textFill>
        </w:rPr>
        <w:t>土地复垦监测的要求</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《土地复垦条例》第七条规定：“县级以上地方人民政府</w:t>
      </w:r>
      <w:r>
        <w:rPr>
          <w:rFonts w:hint="eastAsia" w:eastAsia="仿宋_GB2312"/>
          <w:color w:val="000000" w:themeColor="text1"/>
          <w:sz w:val="24"/>
          <w:lang w:eastAsia="zh-CN"/>
          <w14:textFill>
            <w14:solidFill>
              <w14:schemeClr w14:val="tx1"/>
            </w14:solidFill>
          </w14:textFill>
        </w:rPr>
        <w:t>自然资源主管部门</w:t>
      </w:r>
      <w:r>
        <w:rPr>
          <w:rFonts w:eastAsia="仿宋_GB2312"/>
          <w:color w:val="000000" w:themeColor="text1"/>
          <w:sz w:val="24"/>
          <w14:textFill>
            <w14:solidFill>
              <w14:schemeClr w14:val="tx1"/>
            </w14:solidFill>
          </w14:textFill>
        </w:rPr>
        <w:t>应当建立土地复垦监测制度，及时掌握本行政区域土地资源损毁和土地复垦效果等情况。”《土地复垦条例》第三十一条规定：“复垦为农用地的，负责组织验收的</w:t>
      </w:r>
      <w:r>
        <w:rPr>
          <w:rFonts w:hint="eastAsia" w:eastAsia="仿宋_GB2312"/>
          <w:color w:val="000000" w:themeColor="text1"/>
          <w:sz w:val="24"/>
          <w:lang w:eastAsia="zh-CN"/>
          <w14:textFill>
            <w14:solidFill>
              <w14:schemeClr w14:val="tx1"/>
            </w14:solidFill>
          </w14:textFill>
        </w:rPr>
        <w:t>自然资源主管部门</w:t>
      </w:r>
      <w:r>
        <w:rPr>
          <w:rFonts w:eastAsia="仿宋_GB2312"/>
          <w:color w:val="000000" w:themeColor="text1"/>
          <w:sz w:val="24"/>
          <w14:textFill>
            <w14:solidFill>
              <w14:schemeClr w14:val="tx1"/>
            </w14:solidFill>
          </w14:textFill>
        </w:rPr>
        <w:t>应当会同有关部门在验收合格后的5年内对土地复垦效果进行跟踪评价，并提出改善土地质量的建议和措施。”土地复垦监测应满足以下具体要求：</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a</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监测工作应系统全面。土地复垦涉及的学科多面广。因此，对复垦区的监测内容不仅包括各项复垦工程实施范围质量进度等，还应包括土地损毁和生态环境恢复等方面的监测，确保复垦区土地能够达到可利用状态。</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b</w:t>
      </w:r>
      <w:r>
        <w:rPr>
          <w:rFonts w:eastAsia="黑体"/>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监测方案应分类，切实可行。我国区域自然环境呈现地带性特征，土地复垦工程措施具有类比性，因此应根据自然环境和生产建设项目自身特点，分类制定土地复垦监测方案。</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c）监测设置应优化。复垦监测点、监测内容以及监测频率等布置或是设置，采取科学的技术方法，合理优化，减少生产建设单位不必要的开支。</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d）监测标准应依据所设计的国家各类技术标准。主要技术标准为《土壤环境监测技术标准》（HJ/T166</w:t>
      </w:r>
      <w:r>
        <w:rPr>
          <w:rFonts w:hint="eastAsia" w:eastAsia="仿宋_GB2312"/>
          <w:color w:val="000000" w:themeColor="text1"/>
          <w:sz w:val="24"/>
          <w:lang w:eastAsia="zh-CN"/>
          <w14:textFill>
            <w14:solidFill>
              <w14:schemeClr w14:val="tx1"/>
            </w14:solidFill>
          </w14:textFill>
        </w:rPr>
        <w:t>-</w:t>
      </w:r>
      <w:r>
        <w:rPr>
          <w:rFonts w:eastAsia="仿宋_GB2312"/>
          <w:color w:val="000000" w:themeColor="text1"/>
          <w:sz w:val="24"/>
          <w14:textFill>
            <w14:solidFill>
              <w14:schemeClr w14:val="tx1"/>
            </w14:solidFill>
          </w14:textFill>
        </w:rPr>
        <w:t>2004）、《地表水和污水监测技术标准》（HJ/T91</w:t>
      </w:r>
      <w:r>
        <w:rPr>
          <w:rFonts w:hint="eastAsia" w:eastAsia="仿宋_GB2312"/>
          <w:color w:val="000000" w:themeColor="text1"/>
          <w:sz w:val="24"/>
          <w:lang w:eastAsia="zh-CN"/>
          <w14:textFill>
            <w14:solidFill>
              <w14:schemeClr w14:val="tx1"/>
            </w14:solidFill>
          </w14:textFill>
        </w:rPr>
        <w:t>-</w:t>
      </w:r>
      <w:r>
        <w:rPr>
          <w:rFonts w:eastAsia="仿宋_GB2312"/>
          <w:color w:val="000000" w:themeColor="text1"/>
          <w:sz w:val="24"/>
          <w14:textFill>
            <w14:solidFill>
              <w14:schemeClr w14:val="tx1"/>
            </w14:solidFill>
          </w14:textFill>
        </w:rPr>
        <w:t>2002）</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草原资源与生态监测技术规程（NY/T 1233-2006）</w:t>
      </w:r>
      <w:r>
        <w:rPr>
          <w:rFonts w:eastAsia="仿宋_GB2312"/>
          <w:color w:val="000000" w:themeColor="text1"/>
          <w:sz w:val="24"/>
          <w14:textFill>
            <w14:solidFill>
              <w14:schemeClr w14:val="tx1"/>
            </w14:solidFill>
          </w14:textFill>
        </w:rPr>
        <w:t>等。</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e</w:t>
      </w:r>
      <w:r>
        <w:rPr>
          <w:rFonts w:hint="eastAsia" w:eastAsia="仿宋_GB2312"/>
          <w:color w:val="000000" w:themeColor="text1"/>
          <w:sz w:val="24"/>
          <w:lang w:eastAsia="zh-CN"/>
          <w14:textFill>
            <w14:solidFill>
              <w14:schemeClr w14:val="tx1"/>
            </w14:solidFill>
          </w14:textFill>
        </w:rPr>
        <w:t>）本次土地复垦工程</w:t>
      </w:r>
      <w:r>
        <w:rPr>
          <w:rFonts w:hint="eastAsia" w:ascii="仿宋_GB2312" w:hAnsi="仿宋_GB2312" w:eastAsia="仿宋_GB2312" w:cs="仿宋_GB2312"/>
          <w:color w:val="000000" w:themeColor="text1"/>
          <w:sz w:val="24"/>
          <w:szCs w:val="24"/>
          <w:lang w:eastAsia="zh-CN"/>
          <w14:textFill>
            <w14:solidFill>
              <w14:schemeClr w14:val="tx1"/>
            </w14:solidFill>
          </w14:textFill>
        </w:rPr>
        <w:t>的责任主体为</w:t>
      </w:r>
      <w:r>
        <w:rPr>
          <w:rFonts w:hint="eastAsia" w:eastAsia="仿宋_GB2312"/>
          <w:color w:val="000000" w:themeColor="text1"/>
          <w:sz w:val="24"/>
          <w:lang w:eastAsia="zh-CN"/>
          <w14:textFill>
            <w14:solidFill>
              <w14:schemeClr w14:val="tx1"/>
            </w14:solidFill>
          </w14:textFill>
        </w:rPr>
        <w:t>喀什地区盖孜库山河流域管理处，监测期内需由喀什市自然资源局、疏附县自然资源局、疏勒县自然资源局监督，喀什地区盖孜库山河流域管理处全程负责监测工程的实施工作。</w:t>
      </w:r>
    </w:p>
    <w:p>
      <w:pPr>
        <w:pStyle w:val="6"/>
        <w:pageBreakBefore w:val="0"/>
        <w:tabs>
          <w:tab w:val="left" w:pos="0"/>
        </w:tabs>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rPr>
          <w:rFonts w:hint="eastAsia" w:ascii="黑体" w:hAnsi="黑体" w:eastAsia="黑体" w:cs="黑体"/>
          <w:color w:val="000000" w:themeColor="text1"/>
          <w:sz w:val="28"/>
          <w14:textFill>
            <w14:solidFill>
              <w14:schemeClr w14:val="tx1"/>
            </w14:solidFill>
          </w14:textFill>
        </w:rPr>
      </w:pPr>
      <w:r>
        <w:rPr>
          <w:rFonts w:hint="eastAsia" w:eastAsia="仿宋_GB2312"/>
          <w:color w:val="000000" w:themeColor="text1"/>
          <w:sz w:val="28"/>
          <w14:textFill>
            <w14:solidFill>
              <w14:schemeClr w14:val="tx1"/>
            </w14:solidFill>
          </w14:textFill>
        </w:rPr>
        <w:t xml:space="preserve">5.4.2 </w:t>
      </w:r>
      <w:r>
        <w:rPr>
          <w:rFonts w:hint="eastAsia" w:ascii="黑体" w:hAnsi="黑体" w:eastAsia="黑体" w:cs="黑体"/>
          <w:color w:val="000000" w:themeColor="text1"/>
          <w:sz w:val="28"/>
          <w14:textFill>
            <w14:solidFill>
              <w14:schemeClr w14:val="tx1"/>
            </w14:solidFill>
          </w14:textFill>
        </w:rPr>
        <w:t>土地复垦监测的主要内容</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复垦的目的，是恢复或改善生产建设项目土地损毁区的生态环境和合理利用土地资源，因地制宜地将损毁土地复垦为农、林、牧、渔业用地。损毁土地的复垦具体目标，是复垦后的土地稳定且不再释放污染，实现其再生利用，以及区内生态系统得到恢复。基于这一目的，结合目前</w:t>
      </w:r>
      <w:r>
        <w:rPr>
          <w:rFonts w:hint="eastAsia" w:eastAsia="仿宋_GB2312"/>
          <w:color w:val="000000" w:themeColor="text1"/>
          <w:sz w:val="24"/>
          <w:lang w:eastAsia="zh-CN"/>
          <w14:textFill>
            <w14:solidFill>
              <w14:schemeClr w14:val="tx1"/>
            </w14:solidFill>
          </w14:textFill>
        </w:rPr>
        <w:t>新疆土</w:t>
      </w:r>
      <w:r>
        <w:rPr>
          <w:rFonts w:eastAsia="仿宋_GB2312"/>
          <w:color w:val="000000" w:themeColor="text1"/>
          <w:sz w:val="24"/>
          <w14:textFill>
            <w14:solidFill>
              <w14:schemeClr w14:val="tx1"/>
            </w14:solidFill>
          </w14:textFill>
        </w:rPr>
        <w:t>地复垦开展状况，复垦监测包括以下几个方面的内容。</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eastAsia="仿宋_GB2312"/>
          <w:b w:val="0"/>
          <w:bCs/>
          <w:color w:val="000000" w:themeColor="text1"/>
          <w:sz w:val="24"/>
          <w14:textFill>
            <w14:solidFill>
              <w14:schemeClr w14:val="tx1"/>
            </w14:solidFill>
          </w14:textFill>
        </w:rPr>
        <w:t>a）</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土地损毁监测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）监测内容:土地损毁监测主要针对各设施</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损毁土地面积、类型、程度、土地压占情况、项目区周边植被影响情况进行监测，通过对比分析，判断临</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时用地对土地资源的损毁情况。</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）监测方法:</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主要通过</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现场</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测量</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GPS、航测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来确定各设施在面积</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类型</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及损毁程度、</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土地压占情况、项目区周边植被影响情况</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上损毁</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资源的动态变化</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监测布点：</w:t>
      </w:r>
      <w:r>
        <w:rPr>
          <w:rFonts w:hint="eastAsia" w:eastAsia="仿宋_GB2312" w:cs="Times New Roman"/>
          <w:b w:val="0"/>
          <w:bCs/>
          <w:color w:val="000000" w:themeColor="text1"/>
          <w:sz w:val="24"/>
          <w:lang w:val="en-US" w:eastAsia="zh-CN"/>
          <w14:textFill>
            <w14:solidFill>
              <w14:schemeClr w14:val="tx1"/>
            </w14:solidFill>
          </w14:textFill>
        </w:rPr>
        <w:t>项目设置材料堆场、制梁厂、施工驻地9宗，</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每个</w:t>
      </w:r>
      <w:r>
        <w:rPr>
          <w:rFonts w:hint="eastAsia" w:eastAsia="仿宋_GB2312" w:cs="Times New Roman"/>
          <w:b w:val="0"/>
          <w:bCs/>
          <w:color w:val="000000" w:themeColor="text1"/>
          <w:sz w:val="24"/>
          <w:lang w:val="en-US" w:eastAsia="zh-CN"/>
          <w14:textFill>
            <w14:solidFill>
              <w14:schemeClr w14:val="tx1"/>
            </w14:solidFill>
          </w14:textFill>
        </w:rPr>
        <w:t>宗地</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设置一个监测点</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，监测布</w:t>
      </w:r>
      <w:r>
        <w:rPr>
          <w:rFonts w:hint="eastAsia" w:eastAsia="仿宋_GB2312" w:cs="Times New Roman"/>
          <w:b w:val="0"/>
          <w:bCs/>
          <w:color w:val="000000" w:themeColor="text1"/>
          <w:sz w:val="24"/>
          <w:lang w:eastAsia="zh-CN"/>
          <w14:textFill>
            <w14:solidFill>
              <w14:schemeClr w14:val="tx1"/>
            </w14:solidFill>
          </w14:textFill>
        </w:rPr>
        <w:t>点</w:t>
      </w:r>
      <w:r>
        <w:rPr>
          <w:rFonts w:hint="eastAsia" w:eastAsia="仿宋_GB2312" w:cs="Times New Roman"/>
          <w:b w:val="0"/>
          <w:bCs/>
          <w:color w:val="000000" w:themeColor="text1"/>
          <w:sz w:val="24"/>
          <w:lang w:val="en-US" w:eastAsia="zh-CN"/>
          <w14:textFill>
            <w14:solidFill>
              <w14:schemeClr w14:val="tx1"/>
            </w14:solidFill>
          </w14:textFill>
        </w:rPr>
        <w:t>9</w:t>
      </w:r>
      <w:r>
        <w:rPr>
          <w:rFonts w:hint="eastAsia" w:eastAsia="仿宋_GB2312" w:cs="Times New Roman"/>
          <w:b w:val="0"/>
          <w:bCs/>
          <w:color w:val="000000" w:themeColor="text1"/>
          <w:sz w:val="24"/>
          <w:lang w:eastAsia="zh-CN"/>
          <w14:textFill>
            <w14:solidFill>
              <w14:schemeClr w14:val="tx1"/>
            </w14:solidFill>
          </w14:textFill>
        </w:rPr>
        <w:t>个</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施工期（共计2年）每年监测2</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次</w:t>
      </w:r>
      <w:r>
        <w:rPr>
          <w:rFonts w:hint="eastAsia" w:eastAsia="仿宋_GB2312"/>
          <w:b w:val="0"/>
          <w:bCs/>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b）土地复垦效果监测</w:t>
      </w:r>
    </w:p>
    <w:p>
      <w:pPr>
        <w:pageBreakBefore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14:textFill>
            <w14:solidFill>
              <w14:schemeClr w14:val="tx1"/>
            </w14:solidFill>
          </w14:textFill>
        </w:rPr>
        <w:t>监测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内容</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eastAsia="zh-CN"/>
          <w14:textFill>
            <w14:solidFill>
              <w14:schemeClr w14:val="tx1"/>
            </w14:solidFill>
          </w14:textFill>
        </w:rPr>
        <w:t>项目土地复垦效果监测主要包括复垦区</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植被恢复监测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、土壤质量监测。</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①</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植被恢复监测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植被恢复监测</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采用样方监测法，对复垦区</w:t>
      </w:r>
      <w:r>
        <w:rPr>
          <w:rFonts w:hint="eastAsia" w:eastAsia="仿宋_GB2312" w:cs="Times New Roman"/>
          <w:b w:val="0"/>
          <w:bCs/>
          <w:color w:val="000000" w:themeColor="text1"/>
          <w:sz w:val="24"/>
          <w:lang w:eastAsia="zh-CN"/>
          <w14:textFill>
            <w14:solidFill>
              <w14:schemeClr w14:val="tx1"/>
            </w14:solidFill>
          </w14:textFill>
        </w:rPr>
        <w:t>植被种类</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、覆盖度、</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郁闭度</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群落分布结构和植物生长状况等进行抽样监测。</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eastAsia="zh-CN"/>
          <w14:textFill>
            <w14:solidFill>
              <w14:schemeClr w14:val="tx1"/>
            </w14:solidFill>
          </w14:textFill>
        </w:rPr>
        <w:t>监测范围：复垦区</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林地</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eastAsia="zh-CN"/>
          <w14:textFill>
            <w14:solidFill>
              <w14:schemeClr w14:val="tx1"/>
            </w14:solidFill>
          </w14:textFill>
        </w:rPr>
        <w:t>监测数据：</w:t>
      </w:r>
      <w:r>
        <w:rPr>
          <w:rFonts w:hint="eastAsia" w:eastAsia="仿宋_GB2312" w:cs="Times New Roman"/>
          <w:b w:val="0"/>
          <w:bCs/>
          <w:color w:val="000000" w:themeColor="text1"/>
          <w:sz w:val="24"/>
          <w:lang w:eastAsia="zh-CN"/>
          <w14:textFill>
            <w14:solidFill>
              <w14:schemeClr w14:val="tx1"/>
            </w14:solidFill>
          </w14:textFill>
        </w:rPr>
        <w:t>植被种类</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、覆盖度、植物群落分布和植物生长状况；</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植被恢复监测</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指标：</w:t>
      </w:r>
      <w:r>
        <w:rPr>
          <w:rFonts w:hint="eastAsia" w:eastAsia="仿宋_GB2312" w:cs="Times New Roman"/>
          <w:b w:val="0"/>
          <w:bCs/>
          <w:color w:val="000000" w:themeColor="text1"/>
          <w:sz w:val="24"/>
          <w:lang w:val="en-US" w:eastAsia="zh-CN"/>
          <w14:textFill>
            <w14:solidFill>
              <w14:schemeClr w14:val="tx1"/>
            </w14:solidFill>
          </w14:textFill>
        </w:rPr>
        <w:t>植被种类</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林地</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为</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骆驼刺</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植物群落以</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白杨</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及</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主要原生植物为主，</w:t>
      </w:r>
      <w:r>
        <w:rPr>
          <w:rFonts w:hint="eastAsia" w:eastAsia="仿宋_GB2312" w:cs="Times New Roman"/>
          <w:b w:val="0"/>
          <w:bCs/>
          <w:color w:val="000000" w:themeColor="text1"/>
          <w:sz w:val="24"/>
          <w:lang w:val="en-US" w:eastAsia="zh-CN"/>
          <w14:textFill>
            <w14:solidFill>
              <w14:schemeClr w14:val="tx1"/>
            </w14:solidFill>
          </w14:textFill>
        </w:rPr>
        <w:t>依据</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依据现状</w:t>
      </w:r>
      <w:r>
        <w:rPr>
          <w:rFonts w:hint="eastAsia" w:eastAsia="仿宋_GB2312" w:cs="Times New Roman"/>
          <w:b w:val="0"/>
          <w:bCs/>
          <w:color w:val="000000" w:themeColor="text1"/>
          <w:sz w:val="24"/>
          <w:lang w:val="en-US" w:eastAsia="zh-CN"/>
          <w14:textFill>
            <w14:solidFill>
              <w14:schemeClr w14:val="tx1"/>
            </w14:solidFill>
          </w14:textFill>
        </w:rPr>
        <w:t>植被覆盖度20-30%</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，需确定三年后应</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达到</w:t>
      </w:r>
      <w:r>
        <w:rPr>
          <w:rFonts w:hint="eastAsia" w:eastAsia="仿宋_GB2312" w:cs="Times New Roman"/>
          <w:b w:val="0"/>
          <w:bCs/>
          <w:color w:val="000000" w:themeColor="text1"/>
          <w:sz w:val="24"/>
          <w:lang w:val="en-US" w:eastAsia="zh-CN"/>
          <w14:textFill>
            <w14:solidFill>
              <w14:schemeClr w14:val="tx1"/>
            </w14:solidFill>
          </w14:textFill>
        </w:rPr>
        <w:t>植被覆盖度20-30%</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监测频率：</w:t>
      </w:r>
      <w:r>
        <w:rPr>
          <w:rFonts w:hint="eastAsia" w:eastAsia="仿宋_GB2312" w:cs="Times New Roman"/>
          <w:b w:val="0"/>
          <w:bCs/>
          <w:color w:val="000000" w:themeColor="text1"/>
          <w:sz w:val="24"/>
          <w:lang w:val="en-US" w:eastAsia="zh-CN"/>
          <w14:textFill>
            <w14:solidFill>
              <w14:schemeClr w14:val="tx1"/>
            </w14:solidFill>
          </w14:textFill>
        </w:rPr>
        <w:t>1</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个监测点</w:t>
      </w:r>
      <w:r>
        <w:rPr>
          <w:rFonts w:hint="eastAsia" w:eastAsia="仿宋_GB2312" w:cs="Times New Roman"/>
          <w:b w:val="0"/>
          <w:bCs/>
          <w:color w:val="000000" w:themeColor="text1"/>
          <w:sz w:val="24"/>
          <w:lang w:val="en-US" w:eastAsia="zh-CN"/>
          <w14:textFill>
            <w14:solidFill>
              <w14:schemeClr w14:val="tx1"/>
            </w14:solidFill>
          </w14:textFill>
        </w:rPr>
        <w:t>（仅1宗地含灌木林地）</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监测2次/年，在5月、9月各监测一次，监测期3年内</w:t>
      </w: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t>②</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土壤质量监测：</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bookmarkStart w:id="134" w:name="_Toc29903"/>
      <w:bookmarkStart w:id="135" w:name="_Toc9556"/>
      <w:bookmarkStart w:id="136" w:name="_Toc309127542"/>
      <w:bookmarkStart w:id="137" w:name="_Toc19211"/>
      <w:r>
        <w:rPr>
          <w:rFonts w:hint="default" w:ascii="Times New Roman" w:hAnsi="Times New Roman" w:eastAsia="仿宋_GB2312" w:cs="Times New Roman"/>
          <w:b w:val="0"/>
          <w:bCs/>
          <w:color w:val="000000" w:themeColor="text1"/>
          <w:sz w:val="24"/>
          <w:lang w:eastAsia="zh-CN"/>
          <w14:textFill>
            <w14:solidFill>
              <w14:schemeClr w14:val="tx1"/>
            </w14:solidFill>
          </w14:textFill>
        </w:rPr>
        <w:t>土壤监测主要调查复垦区土壤背景值，通过对比土壤中有机质含量的比值判断，对复垦区土壤肥力及土壤质量的影响。</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eastAsia="zh-CN"/>
          <w14:textFill>
            <w14:solidFill>
              <w14:schemeClr w14:val="tx1"/>
            </w14:solidFill>
          </w14:textFill>
        </w:rPr>
        <w:t>监测布点：</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监测布点</w:t>
      </w:r>
      <w:r>
        <w:rPr>
          <w:rFonts w:hint="eastAsia"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个</w:t>
      </w:r>
      <w:r>
        <w:rPr>
          <w:rFonts w:hint="eastAsia" w:eastAsia="仿宋_GB2312" w:cs="Times New Roman"/>
          <w:b w:val="0"/>
          <w:bCs/>
          <w:color w:val="000000" w:themeColor="text1"/>
          <w:sz w:val="24"/>
          <w:lang w:val="en-US" w:eastAsia="zh-CN"/>
          <w14:textFill>
            <w14:solidFill>
              <w14:schemeClr w14:val="tx1"/>
            </w14:solidFill>
          </w14:textFill>
        </w:rPr>
        <w:t>（5宗地含水浇地、果园或灌木林地）</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共</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r>
        <w:rPr>
          <w:rFonts w:hint="eastAsia"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损毁前监测1次，复垦结束后监测1次</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b w:val="0"/>
          <w:bCs/>
          <w:color w:val="000000" w:themeColor="text1"/>
          <w:sz w:val="24"/>
          <w:lang w:eastAsia="zh-CN"/>
          <w14:textFill>
            <w14:solidFill>
              <w14:schemeClr w14:val="tx1"/>
            </w14:solidFill>
          </w14:textFill>
        </w:rPr>
      </w:pPr>
      <w:r>
        <w:rPr>
          <w:rFonts w:hint="default" w:ascii="Times New Roman" w:hAnsi="Times New Roman" w:eastAsia="仿宋_GB2312" w:cs="Times New Roman"/>
          <w:b w:val="0"/>
          <w:bCs/>
          <w:color w:val="000000" w:themeColor="text1"/>
          <w:sz w:val="24"/>
          <w:lang w:eastAsia="zh-CN"/>
          <w14:textFill>
            <w14:solidFill>
              <w14:schemeClr w14:val="tx1"/>
            </w14:solidFill>
          </w14:textFill>
        </w:rPr>
        <w:t>监测因子：PH、有效土层厚度、土壤砾石含量、土壤容重、有机质；</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c</w:t>
      </w:r>
      <w:r>
        <w:rPr>
          <w:rFonts w:hint="default"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监测方法</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本方案采用定期监测方法，植被</w:t>
      </w:r>
      <w:r>
        <w:rPr>
          <w:rFonts w:hint="eastAsia" w:eastAsia="仿宋_GB2312" w:cs="Times New Roman"/>
          <w:b w:val="0"/>
          <w:bCs/>
          <w:color w:val="000000" w:themeColor="text1"/>
          <w:sz w:val="24"/>
          <w:lang w:val="en-US" w:eastAsia="zh-CN"/>
          <w14:textFill>
            <w14:solidFill>
              <w14:schemeClr w14:val="tx1"/>
            </w14:solidFill>
          </w14:textFill>
        </w:rPr>
        <w:t>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持续监测3年，植被每年监测2次（监测年5、9月各定期监测一次），土壤</w:t>
      </w:r>
      <w:r>
        <w:rPr>
          <w:rFonts w:hint="eastAsia" w:eastAsia="仿宋_GB2312" w:cs="Times New Roman"/>
          <w:b w:val="0"/>
          <w:bCs/>
          <w:color w:val="000000" w:themeColor="text1"/>
          <w:sz w:val="24"/>
          <w:lang w:val="en-US" w:eastAsia="zh-CN"/>
          <w14:textFill>
            <w14:solidFill>
              <w14:schemeClr w14:val="tx1"/>
            </w14:solidFill>
          </w14:textFill>
        </w:rPr>
        <w:t>监测共监测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2次，</w:t>
      </w:r>
      <w:r>
        <w:rPr>
          <w:rFonts w:hint="eastAsia" w:eastAsia="仿宋_GB2312" w:cs="Times New Roman"/>
          <w:b w:val="0"/>
          <w:bCs/>
          <w:color w:val="000000" w:themeColor="text1"/>
          <w:sz w:val="24"/>
          <w:lang w:val="en-US" w:eastAsia="zh-CN"/>
          <w14:textFill>
            <w14:solidFill>
              <w14:schemeClr w14:val="tx1"/>
            </w14:solidFill>
          </w14:textFill>
        </w:rPr>
        <w:t>施工前和复垦后各一次。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定期监测结合复垦进度和措施，定时定点实地察看复垦植被生长情况，发现有植被死亡状况及时进行补种工作，监测复垦土地质量情况。</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d）</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监测指标</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本次复垦工作所需要监测的土地地类为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复垦质量要求进行。</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14:textFill>
            <w14:solidFill>
              <w14:schemeClr w14:val="tx1"/>
            </w14:solidFill>
          </w14:textFill>
        </w:rPr>
        <w:t>5.5 管护措施</w:t>
      </w:r>
      <w:bookmarkEnd w:id="134"/>
      <w:bookmarkEnd w:id="135"/>
      <w:bookmarkEnd w:id="136"/>
      <w:bookmarkEnd w:id="13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该项目</w:t>
      </w:r>
      <w:r>
        <w:rPr>
          <w:rFonts w:hint="eastAsia" w:ascii="仿宋_GB2312" w:hAnsi="仿宋_GB2312" w:eastAsia="仿宋_GB2312" w:cs="仿宋_GB2312"/>
          <w:color w:val="000000" w:themeColor="text1"/>
          <w:sz w:val="24"/>
          <w:szCs w:val="24"/>
          <w14:textFill>
            <w14:solidFill>
              <w14:schemeClr w14:val="tx1"/>
            </w14:solidFill>
          </w14:textFill>
        </w:rPr>
        <w:t>复垦土地的管护主要是针对</w:t>
      </w:r>
      <w:r>
        <w:rPr>
          <w:rFonts w:hint="eastAsia" w:ascii="仿宋_GB2312" w:hAnsi="仿宋_GB2312" w:eastAsia="仿宋_GB2312" w:cs="仿宋_GB2312"/>
          <w:color w:val="000000" w:themeColor="text1"/>
          <w:sz w:val="24"/>
          <w:szCs w:val="24"/>
          <w:lang w:eastAsia="zh-CN"/>
          <w14:textFill>
            <w14:solidFill>
              <w14:schemeClr w14:val="tx1"/>
            </w14:solidFill>
          </w14:textFill>
        </w:rPr>
        <w:t>重建植被</w:t>
      </w:r>
      <w:r>
        <w:rPr>
          <w:rFonts w:hint="eastAsia" w:ascii="仿宋_GB2312" w:hAnsi="仿宋_GB2312" w:eastAsia="仿宋_GB2312" w:cs="仿宋_GB2312"/>
          <w:color w:val="000000" w:themeColor="text1"/>
          <w:sz w:val="24"/>
          <w:szCs w:val="24"/>
          <w14:textFill>
            <w14:solidFill>
              <w14:schemeClr w14:val="tx1"/>
            </w14:solidFill>
          </w14:textFill>
        </w:rPr>
        <w:t>的管护</w:t>
      </w:r>
      <w:r>
        <w:rPr>
          <w:rFonts w:hint="eastAsia" w:ascii="仿宋_GB2312" w:hAnsi="仿宋_GB2312" w:eastAsia="仿宋_GB2312" w:cs="仿宋_GB2312"/>
          <w:color w:val="000000" w:themeColor="text1"/>
          <w:sz w:val="24"/>
          <w:szCs w:val="24"/>
          <w:lang w:eastAsia="zh-CN"/>
          <w14:textFill>
            <w14:solidFill>
              <w14:schemeClr w14:val="tx1"/>
            </w14:solidFill>
          </w14:textFill>
        </w:rPr>
        <w:t>，管护工程的责任主体为</w:t>
      </w: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ascii="仿宋_GB2312" w:hAnsi="仿宋_GB2312" w:eastAsia="仿宋_GB2312" w:cs="仿宋_GB2312"/>
          <w:color w:val="000000" w:themeColor="text1"/>
          <w:sz w:val="24"/>
          <w:szCs w:val="24"/>
          <w14:textFill>
            <w14:solidFill>
              <w14:schemeClr w14:val="tx1"/>
            </w14:solidFill>
          </w14:textFill>
        </w:rPr>
        <w:t>。土地复垦设施的保护管理工作是复垦工程的最后程序，其重要性不亚于规划和植被培育阶段，与土地再利用程度和集约程度有着密切相关关系，本项目的管护主要为</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林地</w:t>
      </w:r>
      <w:r>
        <w:rPr>
          <w:rFonts w:hint="eastAsia" w:ascii="仿宋_GB2312" w:hAnsi="仿宋_GB2312" w:eastAsia="仿宋_GB2312" w:cs="仿宋_GB2312"/>
          <w:color w:val="000000" w:themeColor="text1"/>
          <w:sz w:val="24"/>
          <w:szCs w:val="24"/>
          <w14:textFill>
            <w14:solidFill>
              <w14:schemeClr w14:val="tx1"/>
            </w14:solidFill>
          </w14:textFill>
        </w:rPr>
        <w:t>的管护，</w:t>
      </w:r>
      <w:r>
        <w:rPr>
          <w:rFonts w:hint="eastAsia" w:ascii="仿宋_GB2312" w:hAnsi="仿宋_GB2312" w:eastAsia="仿宋_GB2312" w:cs="仿宋_GB2312"/>
          <w:color w:val="000000" w:themeColor="text1"/>
          <w:sz w:val="24"/>
          <w:szCs w:val="24"/>
          <w:lang w:eastAsia="zh-CN"/>
          <w14:textFill>
            <w14:solidFill>
              <w14:schemeClr w14:val="tx1"/>
            </w14:solidFill>
          </w14:textFill>
        </w:rPr>
        <w:t>管护内容主要包括</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灌溉措施、</w:t>
      </w:r>
      <w:r>
        <w:rPr>
          <w:rFonts w:hint="eastAsia" w:ascii="仿宋_GB2312" w:hAnsi="仿宋_GB2312" w:eastAsia="仿宋_GB2312" w:cs="仿宋_GB2312"/>
          <w:color w:val="000000" w:themeColor="text1"/>
          <w:sz w:val="24"/>
          <w:szCs w:val="24"/>
          <w:lang w:eastAsia="zh-CN"/>
          <w14:textFill>
            <w14:solidFill>
              <w14:schemeClr w14:val="tx1"/>
            </w14:solidFill>
          </w14:textFill>
        </w:rPr>
        <w:t>补植补种措施：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a）灌溉措施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eastAsia="仿宋_GB2312"/>
          <w:color w:val="000000" w:themeColor="text1"/>
          <w:kern w:val="0"/>
          <w:sz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项目区域范围内降水量能满足种植植物生长的需要，但由于种植第一年植被根系未完全发育，故需对种植作物进行人工灌溉。适时需自</w:t>
      </w:r>
      <w:r>
        <w:rPr>
          <w:rFonts w:hint="eastAsia" w:ascii="仿宋_GB2312" w:eastAsia="仿宋_GB2312"/>
          <w:color w:val="000000" w:themeColor="text1"/>
          <w:kern w:val="0"/>
          <w:sz w:val="24"/>
          <w:szCs w:val="24"/>
          <w:lang w:val="en-US" w:eastAsia="zh-CN"/>
          <w14:textFill>
            <w14:solidFill>
              <w14:schemeClr w14:val="tx1"/>
            </w14:solidFill>
          </w14:textFill>
        </w:rPr>
        <w:t>民生渠和草龙水库引水渠拉运水</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直接进行灌溉，</w:t>
      </w:r>
      <w:r>
        <w:rPr>
          <w:rFonts w:hint="eastAsia" w:ascii="仿宋_GB2312" w:eastAsia="仿宋_GB2312"/>
          <w:color w:val="000000" w:themeColor="text1"/>
          <w:kern w:val="0"/>
          <w:sz w:val="24"/>
          <w:lang w:val="en-US" w:eastAsia="zh-CN"/>
          <w14:textFill>
            <w14:solidFill>
              <w14:schemeClr w14:val="tx1"/>
            </w14:solidFill>
          </w14:textFill>
        </w:rPr>
        <w:t>根据当地植物的生长周期及项目区春秋季节降水量较少，同时夏季蒸发量较大等因素，确定管护期内每年浇水4次，即每年5月、6月、7月、8月各浇水一次</w:t>
      </w:r>
      <w:r>
        <w:rPr>
          <w:rFonts w:hint="eastAsia" w:ascii="仿宋_GB2312" w:eastAsia="仿宋_GB2312"/>
          <w:color w:val="000000" w:themeColor="text1"/>
          <w:kern w:val="0"/>
          <w:sz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hAnsi="Times New Roman" w:eastAsia="仿宋_GB2312" w:cs="Times New Roman"/>
          <w:b w:val="0"/>
          <w:bCs/>
          <w:color w:val="000000" w:themeColor="text1"/>
          <w:kern w:val="0"/>
          <w:sz w:val="24"/>
          <w14:textFill>
            <w14:solidFill>
              <w14:schemeClr w14:val="tx1"/>
            </w14:solidFill>
          </w14:textFill>
        </w:rPr>
      </w:pPr>
      <w:r>
        <w:rPr>
          <w:rFonts w:hint="eastAsia" w:ascii="仿宋_GB2312" w:hAnsi="Times New Roman" w:eastAsia="仿宋_GB2312" w:cs="Times New Roman"/>
          <w:b w:val="0"/>
          <w:bCs/>
          <w:color w:val="000000" w:themeColor="text1"/>
          <w:kern w:val="0"/>
          <w:sz w:val="24"/>
          <w14:textFill>
            <w14:solidFill>
              <w14:schemeClr w14:val="tx1"/>
            </w14:solidFill>
          </w14:textFill>
        </w:rPr>
        <w:t>林地区域由于植物生长初期根系未发育完全，需在撒播后一年内对其人工灌溉，根据当地植物的生长周期及项目区春秋季节降水量较少，确定管护期种植第</w:t>
      </w:r>
      <w:r>
        <w:rPr>
          <w:rFonts w:hint="eastAsia" w:ascii="仿宋_GB2312" w:eastAsia="仿宋_GB2312" w:cs="Times New Roman"/>
          <w:b w:val="0"/>
          <w:bCs/>
          <w:color w:val="000000" w:themeColor="text1"/>
          <w:kern w:val="0"/>
          <w:sz w:val="24"/>
          <w:lang w:val="en-US" w:eastAsia="zh-CN"/>
          <w14:textFill>
            <w14:solidFill>
              <w14:schemeClr w14:val="tx1"/>
            </w14:solidFill>
          </w14:textFill>
        </w:rPr>
        <w:t>三年内每年</w:t>
      </w:r>
      <w:r>
        <w:rPr>
          <w:rFonts w:hint="eastAsia" w:ascii="仿宋_GB2312" w:hAnsi="Times New Roman" w:eastAsia="仿宋_GB2312" w:cs="Times New Roman"/>
          <w:b w:val="0"/>
          <w:bCs/>
          <w:color w:val="000000" w:themeColor="text1"/>
          <w:kern w:val="0"/>
          <w:sz w:val="24"/>
          <w14:textFill>
            <w14:solidFill>
              <w14:schemeClr w14:val="tx1"/>
            </w14:solidFill>
          </w14:textFill>
        </w:rPr>
        <w:t>浇水4次，即每年5月、6月、7月、8月各浇水一次。本项目复垦林地（灌木林地）</w:t>
      </w:r>
      <w:r>
        <w:rPr>
          <w:rFonts w:hint="eastAsia" w:ascii="仿宋_GB2312" w:hAnsi="Times New Roman" w:eastAsia="仿宋_GB2312" w:cs="Times New Roman"/>
          <w:b w:val="0"/>
          <w:bCs/>
          <w:color w:val="000000" w:themeColor="text1"/>
          <w:kern w:val="0"/>
          <w:sz w:val="24"/>
          <w:lang w:eastAsia="zh-CN"/>
          <w14:textFill>
            <w14:solidFill>
              <w14:schemeClr w14:val="tx1"/>
            </w14:solidFill>
          </w14:textFill>
        </w:rPr>
        <w:t>0.</w:t>
      </w:r>
      <w:r>
        <w:rPr>
          <w:rFonts w:hint="eastAsia" w:ascii="仿宋_GB2312" w:eastAsia="仿宋_GB2312" w:cs="Times New Roman"/>
          <w:b w:val="0"/>
          <w:bCs/>
          <w:color w:val="000000" w:themeColor="text1"/>
          <w:kern w:val="0"/>
          <w:sz w:val="24"/>
          <w:lang w:val="en-US" w:eastAsia="zh-CN"/>
          <w14:textFill>
            <w14:solidFill>
              <w14:schemeClr w14:val="tx1"/>
            </w14:solidFill>
          </w14:textFill>
        </w:rPr>
        <w:t>0601</w:t>
      </w:r>
      <w:r>
        <w:rPr>
          <w:rFonts w:hint="eastAsia" w:ascii="仿宋_GB2312" w:hAnsi="Times New Roman" w:eastAsia="仿宋_GB2312" w:cs="Times New Roman"/>
          <w:b w:val="0"/>
          <w:bCs/>
          <w:color w:val="000000" w:themeColor="text1"/>
          <w:kern w:val="0"/>
          <w:sz w:val="24"/>
          <w14:textFill>
            <w14:solidFill>
              <w14:schemeClr w14:val="tx1"/>
            </w14:solidFill>
          </w14:textFill>
        </w:rPr>
        <w:t>公顷，经查询可参照《新疆农业用水灌溉定额》的其他类灌水定额，确定管护期第一年人工灌溉，林地总灌溉水量2400立方米/公顷，林地复垦区灌溉需水量2400立方米/公顷*</w:t>
      </w:r>
      <w:r>
        <w:rPr>
          <w:rFonts w:hint="eastAsia" w:ascii="仿宋_GB2312" w:hAnsi="Times New Roman" w:eastAsia="仿宋_GB2312" w:cs="Times New Roman"/>
          <w:b w:val="0"/>
          <w:bCs/>
          <w:color w:val="000000" w:themeColor="text1"/>
          <w:kern w:val="0"/>
          <w:sz w:val="24"/>
          <w:lang w:eastAsia="zh-CN"/>
          <w14:textFill>
            <w14:solidFill>
              <w14:schemeClr w14:val="tx1"/>
            </w14:solidFill>
          </w14:textFill>
        </w:rPr>
        <w:t>0.</w:t>
      </w:r>
      <w:r>
        <w:rPr>
          <w:rFonts w:hint="eastAsia" w:ascii="仿宋_GB2312" w:eastAsia="仿宋_GB2312" w:cs="Times New Roman"/>
          <w:b w:val="0"/>
          <w:bCs/>
          <w:color w:val="000000" w:themeColor="text1"/>
          <w:kern w:val="0"/>
          <w:sz w:val="24"/>
          <w:lang w:val="en-US" w:eastAsia="zh-CN"/>
          <w14:textFill>
            <w14:solidFill>
              <w14:schemeClr w14:val="tx1"/>
            </w14:solidFill>
          </w14:textFill>
        </w:rPr>
        <w:t>0601</w:t>
      </w:r>
      <w:r>
        <w:rPr>
          <w:rFonts w:hint="eastAsia" w:ascii="仿宋_GB2312" w:hAnsi="Times New Roman" w:eastAsia="仿宋_GB2312" w:cs="Times New Roman"/>
          <w:b w:val="0"/>
          <w:bCs/>
          <w:color w:val="000000" w:themeColor="text1"/>
          <w:kern w:val="0"/>
          <w:sz w:val="24"/>
          <w14:textFill>
            <w14:solidFill>
              <w14:schemeClr w14:val="tx1"/>
            </w14:solidFill>
          </w14:textFill>
        </w:rPr>
        <w:t>公顷</w:t>
      </w:r>
      <w:r>
        <w:rPr>
          <w:rFonts w:hint="eastAsia" w:ascii="仿宋_GB2312" w:eastAsia="仿宋_GB2312" w:cs="Times New Roman"/>
          <w:b w:val="0"/>
          <w:bCs/>
          <w:color w:val="000000" w:themeColor="text1"/>
          <w:kern w:val="0"/>
          <w:sz w:val="24"/>
          <w:lang w:val="en-US" w:eastAsia="zh-CN"/>
          <w14:textFill>
            <w14:solidFill>
              <w14:schemeClr w14:val="tx1"/>
            </w14:solidFill>
          </w14:textFill>
        </w:rPr>
        <w:t>*3</w:t>
      </w:r>
      <w:r>
        <w:rPr>
          <w:rFonts w:hint="eastAsia" w:ascii="仿宋_GB2312" w:hAnsi="Times New Roman" w:eastAsia="仿宋_GB2312" w:cs="Times New Roman"/>
          <w:b w:val="0"/>
          <w:bCs/>
          <w:color w:val="000000" w:themeColor="text1"/>
          <w:kern w:val="0"/>
          <w:sz w:val="24"/>
          <w14:textFill>
            <w14:solidFill>
              <w14:schemeClr w14:val="tx1"/>
            </w14:solidFill>
          </w14:textFill>
        </w:rPr>
        <w:t>=</w:t>
      </w:r>
      <w:r>
        <w:rPr>
          <w:rFonts w:hint="eastAsia" w:ascii="仿宋_GB2312" w:eastAsia="仿宋_GB2312" w:cs="Times New Roman"/>
          <w:b w:val="0"/>
          <w:bCs/>
          <w:color w:val="000000" w:themeColor="text1"/>
          <w:kern w:val="0"/>
          <w:sz w:val="24"/>
          <w:lang w:val="en-US" w:eastAsia="zh-CN"/>
          <w14:textFill>
            <w14:solidFill>
              <w14:schemeClr w14:val="tx1"/>
            </w14:solidFill>
          </w14:textFill>
        </w:rPr>
        <w:t>433</w:t>
      </w:r>
      <w:r>
        <w:rPr>
          <w:rFonts w:hint="eastAsia" w:ascii="仿宋_GB2312" w:hAnsi="Times New Roman" w:eastAsia="仿宋_GB2312" w:cs="Times New Roman"/>
          <w:b w:val="0"/>
          <w:bCs/>
          <w:color w:val="000000" w:themeColor="text1"/>
          <w:kern w:val="0"/>
          <w:sz w:val="24"/>
          <w14:textFill>
            <w14:solidFill>
              <w14:schemeClr w14:val="tx1"/>
            </w14:solidFill>
          </w14:textFill>
        </w:rPr>
        <w:t>立方米。</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仿宋_GB2312" w:hAnsi="Times New Roman" w:eastAsia="仿宋_GB2312" w:cs="Times New Roman"/>
          <w:b w:val="0"/>
          <w:bCs/>
          <w:color w:val="000000" w:themeColor="text1"/>
          <w:kern w:val="0"/>
          <w:sz w:val="24"/>
          <w14:textFill>
            <w14:solidFill>
              <w14:schemeClr w14:val="tx1"/>
            </w14:solidFill>
          </w14:textFill>
        </w:rPr>
      </w:pPr>
      <w:r>
        <w:rPr>
          <w:rFonts w:hint="eastAsia" w:ascii="仿宋_GB2312" w:hAnsi="Times New Roman" w:eastAsia="仿宋_GB2312" w:cs="Times New Roman"/>
          <w:b w:val="0"/>
          <w:bCs/>
          <w:color w:val="000000" w:themeColor="text1"/>
          <w:kern w:val="0"/>
          <w:sz w:val="24"/>
          <w14:textFill>
            <w14:solidFill>
              <w14:schemeClr w14:val="tx1"/>
            </w14:solidFill>
          </w14:textFill>
        </w:rPr>
        <w:t>项目区灌溉需水总量</w:t>
      </w:r>
      <w:r>
        <w:rPr>
          <w:rFonts w:hint="eastAsia" w:ascii="仿宋_GB2312" w:eastAsia="仿宋_GB2312" w:cs="Times New Roman"/>
          <w:b w:val="0"/>
          <w:bCs/>
          <w:color w:val="000000" w:themeColor="text1"/>
          <w:kern w:val="0"/>
          <w:sz w:val="24"/>
          <w:lang w:val="en-US" w:eastAsia="zh-CN"/>
          <w14:textFill>
            <w14:solidFill>
              <w14:schemeClr w14:val="tx1"/>
            </w14:solidFill>
          </w14:textFill>
        </w:rPr>
        <w:t>433</w:t>
      </w:r>
      <w:r>
        <w:rPr>
          <w:rFonts w:hint="eastAsia" w:ascii="仿宋_GB2312" w:hAnsi="Times New Roman" w:eastAsia="仿宋_GB2312" w:cs="Times New Roman"/>
          <w:b w:val="0"/>
          <w:bCs/>
          <w:color w:val="000000" w:themeColor="text1"/>
          <w:kern w:val="0"/>
          <w:sz w:val="24"/>
          <w14:textFill>
            <w14:solidFill>
              <w14:schemeClr w14:val="tx1"/>
            </w14:solidFill>
          </w14:textFill>
        </w:rPr>
        <w:t>立方米。</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仿宋_GB2312" w:hAnsi="Times New Roman" w:eastAsia="仿宋_GB2312" w:cs="Times New Roman"/>
          <w:b w:val="0"/>
          <w:bCs/>
          <w:color w:val="000000" w:themeColor="text1"/>
          <w:kern w:val="0"/>
          <w:sz w:val="24"/>
          <w:lang w:val="en-US"/>
          <w14:textFill>
            <w14:solidFill>
              <w14:schemeClr w14:val="tx1"/>
            </w14:solidFill>
          </w14:textFill>
        </w:rPr>
      </w:pPr>
      <w:r>
        <w:rPr>
          <w:rFonts w:hint="eastAsia" w:ascii="仿宋_GB2312" w:hAnsi="Times New Roman" w:eastAsia="仿宋_GB2312" w:cs="Times New Roman"/>
          <w:b w:val="0"/>
          <w:bCs/>
          <w:color w:val="000000" w:themeColor="text1"/>
          <w:kern w:val="0"/>
          <w:sz w:val="24"/>
          <w:lang w:val="en-US" w:eastAsia="zh-CN"/>
          <w14:textFill>
            <w14:solidFill>
              <w14:schemeClr w14:val="tx1"/>
            </w14:solidFill>
          </w14:textFill>
        </w:rPr>
        <w:t>项目区紧邻的盖孜河多年平均年径流量可满足灌溉需求，灌溉取水口位于跃进干渠与乡道交汇处。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b）补植补种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pPr>
      <w:bookmarkStart w:id="138" w:name="_Toc12973"/>
      <w:bookmarkStart w:id="139" w:name="_Toc27284"/>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复垦</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林地</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需要</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年的管护期，由于</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撒播</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草籽的发芽率不能不保证100%的发芽，逐次对复垦区发芽率不高的</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林地</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区域进行补播、补种。依据项目区的自然环境特征和以往复垦植被的经验，使</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林地</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补种的区域逐年减少，</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根据以往管护工程施工经验，</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在管护</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期</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因栽植林木成活率、保存率未达到合格造林标准要求，必须进行相应的补植补造林木工作，同时，每年</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需</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根据情况</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补</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植苗木</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，复垦区内重建植被的覆盖率应达到复垦复垦质量要求。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eastAsia="仿宋_GB2312"/>
          <w:b w:val="0"/>
          <w:bCs/>
          <w:color w:val="000000" w:themeColor="text1"/>
          <w:sz w:val="24"/>
          <w:lang w:eastAsia="zh-CN"/>
          <w14:textFill>
            <w14:solidFill>
              <w14:schemeClr w14:val="tx1"/>
            </w14:solidFill>
          </w14:textFill>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r>
        <w:rPr>
          <w:rFonts w:hint="eastAsia" w:eastAsia="仿宋_GB2312"/>
          <w:b w:val="0"/>
          <w:bCs w:val="0"/>
          <w:color w:val="000000" w:themeColor="text1"/>
          <w:sz w:val="32"/>
          <w:szCs w:val="32"/>
          <w14:textFill>
            <w14:solidFill>
              <w14:schemeClr w14:val="tx1"/>
            </w14:solidFill>
          </w14:textFill>
        </w:rPr>
        <w:t>6</w:t>
      </w:r>
      <w:r>
        <w:rPr>
          <w:rFonts w:hint="eastAsia" w:ascii="黑体" w:hAnsi="黑体" w:eastAsia="黑体" w:cs="黑体"/>
          <w:b w:val="0"/>
          <w:bCs w:val="0"/>
          <w:color w:val="000000" w:themeColor="text1"/>
          <w:sz w:val="32"/>
          <w:szCs w:val="32"/>
          <w14:textFill>
            <w14:solidFill>
              <w14:schemeClr w14:val="tx1"/>
            </w14:solidFill>
          </w14:textFill>
        </w:rPr>
        <w:t xml:space="preserve"> 土地复垦工程设计及工程量测算</w:t>
      </w:r>
      <w:bookmarkEnd w:id="138"/>
      <w:bookmarkEnd w:id="139"/>
    </w:p>
    <w:p>
      <w:pPr>
        <w:pStyle w:val="5"/>
        <w:pageBreakBefore w:val="0"/>
        <w:kinsoku/>
        <w:wordWrap/>
        <w:topLinePunct w:val="0"/>
        <w:bidi w:val="0"/>
        <w:adjustRightInd w:val="0"/>
        <w:snapToGrid w:val="0"/>
        <w:spacing w:before="0" w:after="0" w:line="360" w:lineRule="auto"/>
        <w:rPr>
          <w:rFonts w:hint="eastAsia" w:ascii="黑体" w:hAnsi="黑体" w:cs="黑体"/>
          <w:b w:val="0"/>
          <w:color w:val="000000" w:themeColor="text1"/>
          <w:sz w:val="30"/>
          <w:szCs w:val="30"/>
          <w14:textFill>
            <w14:solidFill>
              <w14:schemeClr w14:val="tx1"/>
            </w14:solidFill>
          </w14:textFill>
        </w:rPr>
      </w:pPr>
      <w:bookmarkStart w:id="140" w:name="_Toc18187"/>
      <w:bookmarkStart w:id="141" w:name="_Toc23278"/>
      <w:r>
        <w:rPr>
          <w:rFonts w:hint="eastAsia" w:ascii="Times New Roman" w:hAnsi="Times New Roman" w:eastAsia="仿宋_GB2312"/>
          <w:b w:val="0"/>
          <w:color w:val="000000" w:themeColor="text1"/>
          <w:sz w:val="30"/>
          <w:szCs w:val="30"/>
          <w14:textFill>
            <w14:solidFill>
              <w14:schemeClr w14:val="tx1"/>
            </w14:solidFill>
          </w14:textFill>
        </w:rPr>
        <w:t>6</w:t>
      </w:r>
      <w:r>
        <w:rPr>
          <w:rFonts w:ascii="Times New Roman" w:hAnsi="Times New Roman" w:eastAsia="仿宋_GB2312"/>
          <w:b w:val="0"/>
          <w:color w:val="000000" w:themeColor="text1"/>
          <w:sz w:val="30"/>
          <w:szCs w:val="30"/>
          <w14:textFill>
            <w14:solidFill>
              <w14:schemeClr w14:val="tx1"/>
            </w14:solidFill>
          </w14:textFill>
        </w:rPr>
        <w:t xml:space="preserve">.1 </w:t>
      </w:r>
      <w:r>
        <w:rPr>
          <w:rFonts w:hint="eastAsia" w:ascii="黑体" w:hAnsi="黑体" w:cs="黑体"/>
          <w:b w:val="0"/>
          <w:color w:val="000000" w:themeColor="text1"/>
          <w:sz w:val="30"/>
          <w:szCs w:val="30"/>
          <w14:textFill>
            <w14:solidFill>
              <w14:schemeClr w14:val="tx1"/>
            </w14:solidFill>
          </w14:textFill>
        </w:rPr>
        <w:t>工程设计依据、原则</w:t>
      </w:r>
      <w:bookmarkEnd w:id="140"/>
      <w:bookmarkEnd w:id="141"/>
    </w:p>
    <w:p>
      <w:pPr>
        <w:pStyle w:val="6"/>
        <w:pageBreakBefore w:val="0"/>
        <w:kinsoku/>
        <w:wordWrap/>
        <w:topLinePunct w:val="0"/>
        <w:bidi w:val="0"/>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6</w:t>
      </w:r>
      <w:r>
        <w:rPr>
          <w:rFonts w:eastAsia="仿宋_GB2312"/>
          <w:bCs w:val="0"/>
          <w:color w:val="000000" w:themeColor="text1"/>
          <w:sz w:val="28"/>
          <w14:textFill>
            <w14:solidFill>
              <w14:schemeClr w14:val="tx1"/>
            </w14:solidFill>
          </w14:textFill>
        </w:rPr>
        <w:t xml:space="preserve">.1.1 </w:t>
      </w:r>
      <w:r>
        <w:rPr>
          <w:rFonts w:hint="eastAsia" w:ascii="黑体" w:hAnsi="黑体" w:eastAsia="黑体" w:cs="黑体"/>
          <w:bCs w:val="0"/>
          <w:color w:val="000000" w:themeColor="text1"/>
          <w:sz w:val="28"/>
          <w14:textFill>
            <w14:solidFill>
              <w14:schemeClr w14:val="tx1"/>
            </w14:solidFill>
          </w14:textFill>
        </w:rPr>
        <w:t>工程设计依据</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《生产项目土地复垦验收规程》（</w:t>
      </w:r>
      <w:r>
        <w:rPr>
          <w:rFonts w:hint="default" w:ascii="Times New Roman" w:hAnsi="Times New Roman" w:eastAsia="仿宋_GB2312" w:cs="Times New Roman"/>
          <w:color w:val="000000" w:themeColor="text1"/>
          <w:kern w:val="2"/>
          <w:sz w:val="24"/>
          <w:lang w:val="en-US" w:eastAsia="zh-CN" w:bidi="ar-SA"/>
          <w14:textFill>
            <w14:solidFill>
              <w14:schemeClr w14:val="tx1"/>
            </w14:solidFill>
          </w14:textFill>
        </w:rPr>
        <w:t>TD/T1044-2014</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w:t>
      </w:r>
      <w:r>
        <w:rPr>
          <w:rFonts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w:t>
      </w:r>
      <w:r>
        <w:rPr>
          <w:rFonts w:eastAsia="仿宋_GB2312"/>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《土地复垦方案编制规程第</w:t>
      </w:r>
      <w:r>
        <w:rPr>
          <w:rFonts w:hint="default" w:ascii="Times New Roman" w:hAnsi="Times New Roman" w:eastAsia="仿宋_GB2312" w:cs="Times New Roman"/>
          <w:color w:val="000000" w:themeColor="text1"/>
          <w:kern w:val="2"/>
          <w:sz w:val="24"/>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部分：通则》（</w:t>
      </w:r>
      <w:r>
        <w:rPr>
          <w:rFonts w:hint="default" w:ascii="Times New Roman" w:hAnsi="Times New Roman" w:eastAsia="仿宋_GB2312" w:cs="Times New Roman"/>
          <w:color w:val="000000" w:themeColor="text1"/>
          <w:kern w:val="2"/>
          <w:sz w:val="24"/>
          <w:lang w:val="en-US" w:eastAsia="zh-CN" w:bidi="ar-SA"/>
          <w14:textFill>
            <w14:solidFill>
              <w14:schemeClr w14:val="tx1"/>
            </w14:solidFill>
          </w14:textFill>
        </w:rPr>
        <w:t>TD/T1031.1-2011</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w:t>
      </w:r>
      <w:r>
        <w:rPr>
          <w:rFonts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c</w:t>
      </w:r>
      <w:r>
        <w:rPr>
          <w:rFonts w:eastAsia="仿宋_GB2312"/>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《土地复垦方案编制规程第</w:t>
      </w:r>
      <w:r>
        <w:rPr>
          <w:rFonts w:hint="default" w:ascii="Times New Roman" w:hAnsi="Times New Roman" w:eastAsia="仿宋_GB2312" w:cs="Times New Roman"/>
          <w:color w:val="000000" w:themeColor="text1"/>
          <w:kern w:val="2"/>
          <w:sz w:val="24"/>
          <w:lang w:val="en-US" w:eastAsia="zh-CN" w:bidi="ar-SA"/>
          <w14:textFill>
            <w14:solidFill>
              <w14:schemeClr w14:val="tx1"/>
            </w14:solidFill>
          </w14:textFill>
        </w:rPr>
        <w:t>6</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部分：建设项目》（</w:t>
      </w:r>
      <w:r>
        <w:rPr>
          <w:rFonts w:hint="default" w:ascii="Times New Roman" w:hAnsi="Times New Roman" w:eastAsia="仿宋_GB2312" w:cs="Times New Roman"/>
          <w:color w:val="000000" w:themeColor="text1"/>
          <w:kern w:val="2"/>
          <w:sz w:val="24"/>
          <w:lang w:val="en-US" w:eastAsia="zh-CN" w:bidi="ar-SA"/>
          <w14:textFill>
            <w14:solidFill>
              <w14:schemeClr w14:val="tx1"/>
            </w14:solidFill>
          </w14:textFill>
        </w:rPr>
        <w:t>TD/T1031.6-2011</w:t>
      </w:r>
      <w:r>
        <w:rPr>
          <w:rFonts w:hint="eastAsia" w:ascii="Times New Roman" w:hAnsi="Times New Roman" w:eastAsia="仿宋_GB2312" w:cs="Times New Roman"/>
          <w:color w:val="000000" w:themeColor="text1"/>
          <w:kern w:val="2"/>
          <w:sz w:val="24"/>
          <w:lang w:val="en-US" w:eastAsia="zh-CN" w:bidi="ar-SA"/>
          <w14:textFill>
            <w14:solidFill>
              <w14:schemeClr w14:val="tx1"/>
            </w14:solidFill>
          </w14:textFill>
        </w:rPr>
        <w:t>）</w:t>
      </w:r>
      <w:r>
        <w:rPr>
          <w:rFonts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d</w:t>
      </w:r>
      <w:r>
        <w:rPr>
          <w:rFonts w:eastAsia="仿宋_GB2312"/>
          <w:color w:val="000000" w:themeColor="text1"/>
          <w:sz w:val="24"/>
          <w14:textFill>
            <w14:solidFill>
              <w14:schemeClr w14:val="tx1"/>
            </w14:solidFill>
          </w14:textFill>
        </w:rPr>
        <w:t>）《水土保持综合治理技术规范》GB/T16453-16453-1996；</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e</w:t>
      </w:r>
      <w:r>
        <w:rPr>
          <w:rFonts w:eastAsia="仿宋_GB2312"/>
          <w:color w:val="000000" w:themeColor="text1"/>
          <w:sz w:val="24"/>
          <w14:textFill>
            <w14:solidFill>
              <w14:schemeClr w14:val="tx1"/>
            </w14:solidFill>
          </w14:textFill>
        </w:rPr>
        <w:t>）《土地复垦质量控制标准》（TD/T1036-2013)</w:t>
      </w:r>
    </w:p>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f）《新疆维吾尔自治区环境保护条例》（</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2018</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年</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9</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月</w:t>
      </w:r>
      <w:r>
        <w:rPr>
          <w:rFonts w:hint="default" w:ascii="Times New Roman" w:hAnsi="Times New Roman" w:eastAsia="仿宋_GB2312" w:cs="Times New Roman"/>
          <w:b w:val="0"/>
          <w:bCs/>
          <w:color w:val="000000" w:themeColor="text1"/>
          <w:kern w:val="2"/>
          <w:sz w:val="24"/>
          <w:lang w:val="en-US" w:eastAsia="zh-CN" w:bidi="ar-SA"/>
          <w14:textFill>
            <w14:solidFill>
              <w14:schemeClr w14:val="tx1"/>
            </w14:solidFill>
          </w14:textFill>
        </w:rPr>
        <w:t>21</w:t>
      </w: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日新疆维吾尔自治区第十三届人民代表大会常务委员会第六次会议修正）；</w:t>
      </w:r>
    </w:p>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4"/>
          <w:lang w:val="en-US" w:eastAsia="zh-CN" w:bidi="ar-SA"/>
          <w14:textFill>
            <w14:solidFill>
              <w14:schemeClr w14:val="tx1"/>
            </w14:solidFill>
          </w14:textFill>
        </w:rPr>
        <w:t>g）《新疆维吾尔自治区实施（土地复垦规定）办法》（2010年12月13日新疆维吾尔自治区人民政府令第165号修正）；</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h</w:t>
      </w:r>
      <w:r>
        <w:rPr>
          <w:rFonts w:eastAsia="仿宋_GB2312"/>
          <w:color w:val="000000" w:themeColor="text1"/>
          <w:sz w:val="24"/>
          <w14:textFill>
            <w14:solidFill>
              <w14:schemeClr w14:val="tx1"/>
            </w14:solidFill>
          </w14:textFill>
        </w:rPr>
        <w:t>）新疆维吾尔自治区其它土地复垦相关法规。</w:t>
      </w:r>
    </w:p>
    <w:p>
      <w:pPr>
        <w:pStyle w:val="6"/>
        <w:pageBreakBefore w:val="0"/>
        <w:kinsoku/>
        <w:wordWrap/>
        <w:topLinePunct w:val="0"/>
        <w:bidi w:val="0"/>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6</w:t>
      </w:r>
      <w:r>
        <w:rPr>
          <w:rFonts w:eastAsia="仿宋_GB2312"/>
          <w:bCs w:val="0"/>
          <w:color w:val="000000" w:themeColor="text1"/>
          <w:sz w:val="28"/>
          <w14:textFill>
            <w14:solidFill>
              <w14:schemeClr w14:val="tx1"/>
            </w14:solidFill>
          </w14:textFill>
        </w:rPr>
        <w:t>.1.2</w:t>
      </w:r>
      <w:r>
        <w:rPr>
          <w:rFonts w:hint="eastAsia" w:ascii="黑体" w:hAnsi="黑体" w:eastAsia="黑体" w:cs="黑体"/>
          <w:bCs w:val="0"/>
          <w:color w:val="000000" w:themeColor="text1"/>
          <w:sz w:val="28"/>
          <w14:textFill>
            <w14:solidFill>
              <w14:schemeClr w14:val="tx1"/>
            </w14:solidFill>
          </w14:textFill>
        </w:rPr>
        <w:t xml:space="preserve"> 工程设计原则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）以生态效益为主，综合考虑社会、经济效益的原则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用地区所处地貌类型主要为</w:t>
      </w:r>
      <w:r>
        <w:rPr>
          <w:rFonts w:hint="eastAsia" w:eastAsia="仿宋_GB2312"/>
          <w:color w:val="000000" w:themeColor="text1"/>
          <w:sz w:val="24"/>
          <w:lang w:eastAsia="zh-CN"/>
          <w14:textFill>
            <w14:solidFill>
              <w14:schemeClr w14:val="tx1"/>
            </w14:solidFill>
          </w14:textFill>
        </w:rPr>
        <w:t>冲积平原</w:t>
      </w:r>
      <w:r>
        <w:rPr>
          <w:rFonts w:eastAsia="仿宋_GB2312"/>
          <w:color w:val="000000" w:themeColor="text1"/>
          <w:sz w:val="24"/>
          <w14:textFill>
            <w14:solidFill>
              <w14:schemeClr w14:val="tx1"/>
            </w14:solidFill>
          </w14:textFill>
        </w:rPr>
        <w:t>地貌，整体区内生态环境较好。通过护坡、植树、种草，减少对周边地区的扬尘污染。</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w:t>
      </w:r>
      <w:r>
        <w:rPr>
          <w:rFonts w:eastAsia="仿宋_GB2312"/>
          <w:color w:val="000000" w:themeColor="text1"/>
          <w:sz w:val="24"/>
          <w14:textFill>
            <w14:solidFill>
              <w14:schemeClr w14:val="tx1"/>
            </w14:solidFill>
          </w14:textFill>
        </w:rPr>
        <w:t>）近期效益和长远利益相结合的原则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复垦工程设计一方面要考虑土地复垦的近期效益，如保证生态恢复效果的快速显现，尽可能较少地表裸露时间，及时进行绿化，从而防止水土流失；另一方面，要结合用地区所在区域的自然、社会经济条件以及当地居民的生活方式，在复垦设计中综合考虑土地的最终利用方向，根据用地区实际情况，因地制宜，合理规划，实现用地区的长远利益。</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c</w:t>
      </w:r>
      <w:r>
        <w:rPr>
          <w:rFonts w:eastAsia="仿宋_GB2312"/>
          <w:color w:val="000000" w:themeColor="text1"/>
          <w:sz w:val="24"/>
          <w14:textFill>
            <w14:solidFill>
              <w14:schemeClr w14:val="tx1"/>
            </w14:solidFill>
          </w14:textFill>
        </w:rPr>
        <w:t>）遵循占补平衡的原则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本项目属</w:t>
      </w:r>
      <w:r>
        <w:rPr>
          <w:rFonts w:hint="eastAsia" w:eastAsia="仿宋_GB2312"/>
          <w:color w:val="000000" w:themeColor="text1"/>
          <w:sz w:val="24"/>
          <w:lang w:eastAsia="zh-CN"/>
          <w14:textFill>
            <w14:solidFill>
              <w14:schemeClr w14:val="tx1"/>
            </w14:solidFill>
          </w14:textFill>
        </w:rPr>
        <w:t>加固水利设施类项目</w:t>
      </w:r>
      <w:r>
        <w:rPr>
          <w:rFonts w:eastAsia="仿宋_GB2312"/>
          <w:color w:val="000000" w:themeColor="text1"/>
          <w:sz w:val="24"/>
          <w14:textFill>
            <w14:solidFill>
              <w14:schemeClr w14:val="tx1"/>
            </w14:solidFill>
          </w14:textFill>
        </w:rPr>
        <w:t>，对土地的破坏主要</w:t>
      </w:r>
      <w:r>
        <w:rPr>
          <w:rFonts w:hint="eastAsia" w:eastAsia="仿宋_GB2312"/>
          <w:color w:val="000000" w:themeColor="text1"/>
          <w:sz w:val="24"/>
          <w14:textFill>
            <w14:solidFill>
              <w14:schemeClr w14:val="tx1"/>
            </w14:solidFill>
          </w14:textFill>
        </w:rPr>
        <w:t>表现</w:t>
      </w:r>
      <w:r>
        <w:rPr>
          <w:rFonts w:eastAsia="仿宋_GB2312"/>
          <w:color w:val="000000" w:themeColor="text1"/>
          <w:sz w:val="24"/>
          <w14:textFill>
            <w14:solidFill>
              <w14:schemeClr w14:val="tx1"/>
            </w14:solidFill>
          </w14:textFill>
        </w:rPr>
        <w:t>为</w:t>
      </w:r>
      <w:r>
        <w:rPr>
          <w:rFonts w:hint="eastAsia" w:eastAsia="仿宋_GB2312"/>
          <w:color w:val="000000" w:themeColor="text1"/>
          <w:sz w:val="24"/>
          <w:lang w:eastAsia="zh-CN"/>
          <w14:textFill>
            <w14:solidFill>
              <w14:schemeClr w14:val="tx1"/>
            </w14:solidFill>
          </w14:textFill>
        </w:rPr>
        <w:t>压占</w:t>
      </w:r>
      <w:r>
        <w:rPr>
          <w:rFonts w:eastAsia="仿宋_GB2312"/>
          <w:color w:val="000000" w:themeColor="text1"/>
          <w:sz w:val="24"/>
          <w14:textFill>
            <w14:solidFill>
              <w14:schemeClr w14:val="tx1"/>
            </w14:solidFill>
          </w14:textFill>
        </w:rPr>
        <w:t>。通过分析，临时用地服务期满后，复垦率达到100%，建设单位有义务保证</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占补平衡。</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d</w:t>
      </w:r>
      <w:r>
        <w:rPr>
          <w:rFonts w:eastAsia="仿宋_GB2312"/>
          <w:color w:val="000000" w:themeColor="text1"/>
          <w:sz w:val="24"/>
          <w14:textFill>
            <w14:solidFill>
              <w14:schemeClr w14:val="tx1"/>
            </w14:solidFill>
          </w14:textFill>
        </w:rPr>
        <w:t>）遵循生态恢复的原则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本</w:t>
      </w:r>
      <w:r>
        <w:rPr>
          <w:rFonts w:hint="eastAsia" w:eastAsia="仿宋_GB2312"/>
          <w:color w:val="000000" w:themeColor="text1"/>
          <w:sz w:val="24"/>
          <w14:textFill>
            <w14:solidFill>
              <w14:schemeClr w14:val="tx1"/>
            </w14:solidFill>
          </w14:textFill>
        </w:rPr>
        <w:t>项目</w:t>
      </w:r>
      <w:r>
        <w:rPr>
          <w:rFonts w:eastAsia="仿宋_GB2312"/>
          <w:color w:val="000000" w:themeColor="text1"/>
          <w:sz w:val="24"/>
          <w14:textFill>
            <w14:solidFill>
              <w14:schemeClr w14:val="tx1"/>
            </w14:solidFill>
          </w14:textFill>
        </w:rPr>
        <w:t>影响最大的区域是占地区，土地利用现状的改变影响了原有自然体系的功能，因此应进行合理的设计，尽量使其恢复原有生态功能或使这种功能的损失降到最低。</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e</w:t>
      </w:r>
      <w:r>
        <w:rPr>
          <w:rFonts w:eastAsia="仿宋_GB2312"/>
          <w:color w:val="000000" w:themeColor="text1"/>
          <w:sz w:val="24"/>
          <w14:textFill>
            <w14:solidFill>
              <w14:schemeClr w14:val="tx1"/>
            </w14:solidFill>
          </w14:textFill>
        </w:rPr>
        <w:t>）人类需求与生态保护相协调的原则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pPr>
        <w:pStyle w:val="6"/>
        <w:pageBreakBefore w:val="0"/>
        <w:kinsoku/>
        <w:wordWrap/>
        <w:topLinePunct w:val="0"/>
        <w:bidi w:val="0"/>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6</w:t>
      </w:r>
      <w:r>
        <w:rPr>
          <w:rFonts w:eastAsia="仿宋_GB2312"/>
          <w:bCs w:val="0"/>
          <w:color w:val="000000" w:themeColor="text1"/>
          <w:sz w:val="28"/>
          <w14:textFill>
            <w14:solidFill>
              <w14:schemeClr w14:val="tx1"/>
            </w14:solidFill>
          </w14:textFill>
        </w:rPr>
        <w:t>.1.</w:t>
      </w:r>
      <w:r>
        <w:rPr>
          <w:rFonts w:hint="eastAsia" w:eastAsia="仿宋_GB2312"/>
          <w:bCs w:val="0"/>
          <w:color w:val="000000" w:themeColor="text1"/>
          <w:sz w:val="28"/>
          <w:lang w:val="en-US" w:eastAsia="zh-CN"/>
          <w14:textFill>
            <w14:solidFill>
              <w14:schemeClr w14:val="tx1"/>
            </w14:solidFill>
          </w14:textFill>
        </w:rPr>
        <w:t>3</w:t>
      </w:r>
      <w:r>
        <w:rPr>
          <w:rFonts w:hint="eastAsia" w:ascii="黑体" w:hAnsi="黑体" w:eastAsia="黑体" w:cs="黑体"/>
          <w:bCs w:val="0"/>
          <w:color w:val="000000" w:themeColor="text1"/>
          <w:sz w:val="28"/>
          <w14:textFill>
            <w14:solidFill>
              <w14:schemeClr w14:val="tx1"/>
            </w14:solidFill>
          </w14:textFill>
        </w:rPr>
        <w:t xml:space="preserve"> </w:t>
      </w:r>
      <w:r>
        <w:rPr>
          <w:rFonts w:hint="eastAsia" w:ascii="黑体" w:hAnsi="黑体" w:eastAsia="黑体" w:cs="黑体"/>
          <w:bCs w:val="0"/>
          <w:color w:val="000000" w:themeColor="text1"/>
          <w:sz w:val="28"/>
          <w:lang w:eastAsia="zh-CN"/>
          <w14:textFill>
            <w14:solidFill>
              <w14:schemeClr w14:val="tx1"/>
            </w14:solidFill>
          </w14:textFill>
        </w:rPr>
        <w:t>土地复垦</w:t>
      </w:r>
      <w:r>
        <w:rPr>
          <w:rFonts w:hint="eastAsia" w:ascii="黑体" w:hAnsi="黑体" w:eastAsia="黑体" w:cs="黑体"/>
          <w:bCs w:val="0"/>
          <w:color w:val="000000" w:themeColor="text1"/>
          <w:sz w:val="28"/>
          <w14:textFill>
            <w14:solidFill>
              <w14:schemeClr w14:val="tx1"/>
            </w14:solidFill>
          </w14:textFill>
        </w:rPr>
        <w:t>工程设计</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结合</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ascii="仿宋_GB2312" w:eastAsia="仿宋_GB2312"/>
          <w:color w:val="000000" w:themeColor="text1"/>
          <w:sz w:val="24"/>
          <w14:textFill>
            <w14:solidFill>
              <w14:schemeClr w14:val="tx1"/>
            </w14:solidFill>
          </w14:textFill>
        </w:rPr>
        <w:t>土地复垦适宜性评价及土地复垦质量要求，本工程主要采取</w:t>
      </w:r>
      <w:r>
        <w:rPr>
          <w:rFonts w:hint="eastAsia" w:ascii="仿宋_GB2312" w:eastAsia="仿宋_GB2312"/>
          <w:color w:val="000000" w:themeColor="text1"/>
          <w:sz w:val="24"/>
          <w:lang w:eastAsia="zh-CN"/>
          <w14:textFill>
            <w14:solidFill>
              <w14:schemeClr w14:val="tx1"/>
            </w14:solidFill>
          </w14:textFill>
        </w:rPr>
        <w:t>表土剥离及堆放（由建设单位完成，不计入复垦工程量）、</w:t>
      </w:r>
      <w:r>
        <w:rPr>
          <w:rFonts w:hint="eastAsia" w:ascii="仿宋_GB2312" w:eastAsia="仿宋_GB2312"/>
          <w:color w:val="000000" w:themeColor="text1"/>
          <w:sz w:val="24"/>
          <w:lang w:val="en-US" w:eastAsia="zh-CN"/>
          <w14:textFill>
            <w14:solidFill>
              <w14:schemeClr w14:val="tx1"/>
            </w14:solidFill>
          </w14:textFill>
        </w:rPr>
        <w:t>机械拆除场地硬化区及外运、</w:t>
      </w:r>
      <w:r>
        <w:rPr>
          <w:rFonts w:hint="eastAsia" w:ascii="仿宋_GB2312" w:eastAsia="仿宋_GB2312"/>
          <w:color w:val="000000" w:themeColor="text1"/>
          <w:sz w:val="24"/>
          <w14:textFill>
            <w14:solidFill>
              <w14:schemeClr w14:val="tx1"/>
            </w14:solidFill>
          </w14:textFill>
        </w:rPr>
        <w:t>土地平整</w:t>
      </w:r>
      <w:r>
        <w:rPr>
          <w:rFonts w:hint="eastAsia" w:eastAsia="仿宋_GB2312"/>
          <w:b w:val="0"/>
          <w:bCs/>
          <w:color w:val="000000" w:themeColor="text1"/>
          <w:sz w:val="24"/>
          <w:szCs w:val="24"/>
          <w:lang w:eastAsia="zh-CN"/>
          <w14:textFill>
            <w14:solidFill>
              <w14:schemeClr w14:val="tx1"/>
            </w14:solidFill>
          </w14:textFill>
        </w:rPr>
        <w:t>、</w:t>
      </w:r>
      <w:r>
        <w:rPr>
          <w:rFonts w:hint="eastAsia" w:ascii="仿宋_GB2312" w:eastAsia="仿宋_GB2312"/>
          <w:color w:val="000000" w:themeColor="text1"/>
          <w:sz w:val="24"/>
          <w14:textFill>
            <w14:solidFill>
              <w14:schemeClr w14:val="tx1"/>
            </w14:solidFill>
          </w14:textFill>
        </w:rPr>
        <w:t>覆土措施</w:t>
      </w:r>
      <w:r>
        <w:rPr>
          <w:rFonts w:hint="eastAsia" w:ascii="仿宋_GB2312" w:eastAsia="仿宋_GB2312"/>
          <w:color w:val="000000" w:themeColor="text1"/>
          <w:sz w:val="24"/>
          <w:lang w:eastAsia="zh-CN"/>
          <w14:textFill>
            <w14:solidFill>
              <w14:schemeClr w14:val="tx1"/>
            </w14:solidFill>
          </w14:textFill>
        </w:rPr>
        <w:t>、</w:t>
      </w:r>
      <w:r>
        <w:rPr>
          <w:rFonts w:hint="eastAsia" w:ascii="仿宋_GB2312" w:eastAsia="仿宋_GB2312"/>
          <w:color w:val="000000" w:themeColor="text1"/>
          <w:sz w:val="24"/>
          <w:lang w:val="en-US" w:eastAsia="zh-CN"/>
          <w14:textFill>
            <w14:solidFill>
              <w14:schemeClr w14:val="tx1"/>
            </w14:solidFill>
          </w14:textFill>
        </w:rPr>
        <w:t>土地翻耕</w:t>
      </w:r>
      <w:r>
        <w:rPr>
          <w:rFonts w:hint="eastAsia" w:ascii="仿宋_GB2312" w:eastAsia="仿宋_GB2312"/>
          <w:color w:val="000000" w:themeColor="text1"/>
          <w:sz w:val="24"/>
          <w14:textFill>
            <w14:solidFill>
              <w14:schemeClr w14:val="tx1"/>
            </w14:solidFill>
          </w14:textFill>
        </w:rPr>
        <w:t>等工程技术措施</w:t>
      </w:r>
      <w:r>
        <w:rPr>
          <w:rFonts w:hint="eastAsia" w:ascii="仿宋_GB2312" w:eastAsia="仿宋_GB2312"/>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表土剥离及堆放（由建设单位完成，不计入复垦工程量）</w:t>
      </w:r>
      <w:r>
        <w:rPr>
          <w:rFonts w:hint="eastAsia" w:ascii="Times New Roman" w:hAnsi="Times New Roman" w:eastAsia="仿宋_GB2312" w:cs="Times New Roman"/>
          <w:color w:val="000000" w:themeColor="text1"/>
          <w:sz w:val="24"/>
          <w:lang w:eastAsia="zh-CN"/>
          <w14:textFill>
            <w14:solidFill>
              <w14:schemeClr w14:val="tx1"/>
            </w14:solidFill>
          </w14:textFill>
        </w:rPr>
        <w:t>工程设计</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表土剥离工序采取推土机铲运土方式剥离，剥离土方采取集中堆放至场区办公生活区一角，在不影响正常施工的前提下，在表土堆放坡脚采用编织袋堆砌挡护，以避免二次搬运。表土剥离单独堆放在一边，妥善保存，防止岩石混入使土质恶化，尽可能做到恢复后保持原有的土壤结构，以利种植。为减少表层松散土体堆放过程中产生的水土流失、堆放形势采用梯形，边坡比为1：1.75，平均堆高3.0米，在</w:t>
      </w:r>
      <w:r>
        <w:rPr>
          <w:rFonts w:hint="eastAsia" w:ascii="Times New Roman" w:hAnsi="Times New Roman" w:eastAsia="仿宋_GB2312" w:cs="Times New Roman"/>
          <w:color w:val="000000" w:themeColor="text1"/>
          <w:sz w:val="24"/>
          <w:lang w:val="en-US" w:eastAsia="zh-CN"/>
          <w14:textFill>
            <w14:solidFill>
              <w14:schemeClr w14:val="tx1"/>
            </w14:solidFill>
          </w14:textFill>
        </w:rPr>
        <w:t>上层表土采取苫盖措施</w:t>
      </w:r>
      <w:r>
        <w:rPr>
          <w:rFonts w:hint="eastAsia" w:ascii="Times New Roman" w:hAnsi="Times New Roman" w:eastAsia="仿宋_GB2312" w:cs="Times New Roman"/>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施工方法：表土</w:t>
      </w:r>
      <w:r>
        <w:rPr>
          <w:rFonts w:hint="eastAsia" w:ascii="Times New Roman" w:hAnsi="Times New Roman" w:eastAsia="仿宋_GB2312" w:cs="Times New Roman"/>
          <w:color w:val="000000" w:themeColor="text1"/>
          <w:sz w:val="24"/>
          <w:lang w:val="en-US" w:eastAsia="zh-CN"/>
          <w14:textFill>
            <w14:solidFill>
              <w14:schemeClr w14:val="tx1"/>
            </w14:solidFill>
          </w14:textFill>
        </w:rPr>
        <w:t>剥离</w:t>
      </w:r>
      <w:r>
        <w:rPr>
          <w:rFonts w:hint="eastAsia" w:ascii="Times New Roman" w:hAnsi="Times New Roman" w:eastAsia="仿宋_GB2312" w:cs="Times New Roman"/>
          <w:color w:val="000000" w:themeColor="text1"/>
          <w:sz w:val="24"/>
          <w:lang w:eastAsia="zh-CN"/>
          <w14:textFill>
            <w14:solidFill>
              <w14:schemeClr w14:val="tx1"/>
            </w14:solidFill>
          </w14:textFill>
        </w:rPr>
        <w:t>工序即采用拖式铲运机及</w:t>
      </w:r>
      <w:r>
        <w:rPr>
          <w:rFonts w:hint="eastAsia" w:ascii="Times New Roman" w:hAnsi="Times New Roman" w:eastAsia="仿宋_GB2312" w:cs="Times New Roman"/>
          <w:color w:val="000000" w:themeColor="text1"/>
          <w:sz w:val="24"/>
          <w:lang w:val="en-US" w:eastAsia="zh-CN"/>
          <w14:textFill>
            <w14:solidFill>
              <w14:schemeClr w14:val="tx1"/>
            </w14:solidFill>
          </w14:textFill>
        </w:rPr>
        <w:t>74kw</w:t>
      </w:r>
      <w:r>
        <w:rPr>
          <w:rFonts w:hint="eastAsia" w:ascii="Times New Roman" w:hAnsi="Times New Roman" w:eastAsia="仿宋_GB2312" w:cs="Times New Roman"/>
          <w:color w:val="000000" w:themeColor="text1"/>
          <w:sz w:val="24"/>
          <w:lang w:eastAsia="zh-CN"/>
          <w14:textFill>
            <w14:solidFill>
              <w14:schemeClr w14:val="tx1"/>
            </w14:solidFill>
          </w14:textFill>
        </w:rPr>
        <w:t>推土机推土方式进行</w:t>
      </w:r>
      <w:r>
        <w:rPr>
          <w:rFonts w:hint="eastAsia" w:ascii="Times New Roman" w:hAnsi="Times New Roman" w:eastAsia="仿宋_GB2312" w:cs="Times New Roman"/>
          <w:color w:val="000000" w:themeColor="text1"/>
          <w:sz w:val="24"/>
          <w:lang w:val="en-US" w:eastAsia="zh-CN"/>
          <w14:textFill>
            <w14:solidFill>
              <w14:schemeClr w14:val="tx1"/>
            </w14:solidFill>
          </w14:textFill>
        </w:rPr>
        <w:t>剥离</w:t>
      </w:r>
      <w:r>
        <w:rPr>
          <w:rFonts w:hint="eastAsia" w:ascii="Times New Roman" w:hAnsi="Times New Roman" w:eastAsia="仿宋_GB2312" w:cs="Times New Roman"/>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b）机械拆除场地硬化区及外运</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该措施主要是针对硬化区域，需进行拆除处理，制梁厂前期硬化方量509立方米，砌筑方量100立方米，施工驻地前期硬化方量161立方米，需在清理后将废</w:t>
      </w:r>
      <w:r>
        <w:rPr>
          <w:rFonts w:hint="eastAsia" w:eastAsia="仿宋_GB2312" w:cs="Times New Roman"/>
          <w:color w:val="000000" w:themeColor="text1"/>
          <w:sz w:val="24"/>
          <w:lang w:val="en-US" w:eastAsia="zh-CN"/>
          <w14:textFill>
            <w14:solidFill>
              <w14:schemeClr w14:val="tx1"/>
            </w14:solidFill>
          </w14:textFill>
        </w:rPr>
        <w:t>碴</w:t>
      </w:r>
      <w:r>
        <w:rPr>
          <w:rFonts w:hint="eastAsia" w:ascii="Times New Roman" w:hAnsi="Times New Roman" w:eastAsia="仿宋_GB2312" w:cs="Times New Roman"/>
          <w:color w:val="000000" w:themeColor="text1"/>
          <w:sz w:val="24"/>
          <w:lang w:val="en-US" w:eastAsia="zh-CN"/>
          <w14:textFill>
            <w14:solidFill>
              <w14:schemeClr w14:val="tx1"/>
            </w14:solidFill>
          </w14:textFill>
        </w:rPr>
        <w:t>运至喀什市建筑垃圾填埋场回填。施工方法：采用1立方米挖掘机进行破体拆除，</w:t>
      </w:r>
      <w:r>
        <w:rPr>
          <w:rFonts w:hint="eastAsia" w:eastAsia="仿宋_GB2312" w:cs="Times New Roman"/>
          <w:color w:val="000000" w:themeColor="text1"/>
          <w:sz w:val="24"/>
          <w:lang w:val="en-US" w:eastAsia="zh-CN"/>
          <w14:textFill>
            <w14:solidFill>
              <w14:schemeClr w14:val="tx1"/>
            </w14:solidFill>
          </w14:textFill>
        </w:rPr>
        <w:t>采用</w:t>
      </w:r>
      <w:r>
        <w:rPr>
          <w:rFonts w:hint="eastAsia" w:ascii="Times New Roman" w:hAnsi="Times New Roman" w:eastAsia="仿宋_GB2312" w:cs="Times New Roman"/>
          <w:color w:val="000000" w:themeColor="text1"/>
          <w:sz w:val="24"/>
          <w:lang w:val="en-US" w:eastAsia="zh-CN"/>
          <w14:textFill>
            <w14:solidFill>
              <w14:schemeClr w14:val="tx1"/>
            </w14:solidFill>
          </w14:textFill>
        </w:rPr>
        <w:t>1立方米</w:t>
      </w:r>
      <w:r>
        <w:rPr>
          <w:rFonts w:hint="eastAsia" w:eastAsia="仿宋_GB2312" w:cs="Times New Roman"/>
          <w:color w:val="000000" w:themeColor="text1"/>
          <w:sz w:val="24"/>
          <w:lang w:val="en-US" w:eastAsia="zh-CN"/>
          <w14:textFill>
            <w14:solidFill>
              <w14:schemeClr w14:val="tx1"/>
            </w14:solidFill>
          </w14:textFill>
        </w:rPr>
        <w:t>装载机装载，</w:t>
      </w:r>
      <w:r>
        <w:rPr>
          <w:rFonts w:hint="eastAsia" w:ascii="Times New Roman" w:hAnsi="Times New Roman" w:eastAsia="仿宋_GB2312" w:cs="Times New Roman"/>
          <w:color w:val="000000" w:themeColor="text1"/>
          <w:sz w:val="24"/>
          <w:lang w:val="en-US" w:eastAsia="zh-CN"/>
          <w14:textFill>
            <w14:solidFill>
              <w14:schemeClr w14:val="tx1"/>
            </w14:solidFill>
          </w14:textFill>
        </w:rPr>
        <w:t>采用10t自卸汽车外运。</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color w:val="000000" w:themeColor="text1"/>
          <w:sz w:val="24"/>
          <w:lang w:eastAsia="zh-CN"/>
          <w14:textFill>
            <w14:solidFill>
              <w14:schemeClr w14:val="tx1"/>
            </w14:solidFill>
          </w14:textFill>
        </w:rPr>
        <w:t>）土地平整措施工程设计</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施工方法：根据复垦标准及实地情况，采用人工或机械（如74kw的推土机）进行平整，平整时匀速行驶，场地平整后进行标高抽检复核，标</w:t>
      </w:r>
      <w:r>
        <w:rPr>
          <w:rFonts w:hint="eastAsia" w:eastAsia="仿宋_GB2312"/>
          <w:color w:val="000000" w:themeColor="text1"/>
          <w:kern w:val="0"/>
          <w:sz w:val="24"/>
          <w:szCs w:val="24"/>
          <w:vertAlign w:val="baseline"/>
          <w:lang w:val="en-US" w:eastAsia="zh-CN"/>
          <w14:textFill>
            <w14:solidFill>
              <w14:schemeClr w14:val="tx1"/>
            </w14:solidFill>
          </w14:textFill>
        </w:rPr>
        <w:t>高应控制在</w:t>
      </w:r>
      <w:r>
        <w:rPr>
          <w:rFonts w:hint="eastAsia" w:eastAsia="仿宋_GB2312"/>
          <w:color w:val="000000" w:themeColor="text1"/>
          <w:kern w:val="0"/>
          <w:sz w:val="24"/>
          <w:szCs w:val="24"/>
          <w:vertAlign w:val="baseline"/>
          <w:lang w:val="sq-AL" w:eastAsia="zh-CN"/>
          <w14:textFill>
            <w14:solidFill>
              <w14:schemeClr w14:val="tx1"/>
            </w14:solidFill>
          </w14:textFill>
        </w:rPr>
        <w:t>±</w:t>
      </w:r>
      <w:r>
        <w:rPr>
          <w:rFonts w:hint="eastAsia" w:eastAsia="仿宋_GB2312"/>
          <w:color w:val="000000" w:themeColor="text1"/>
          <w:kern w:val="0"/>
          <w:sz w:val="24"/>
          <w:szCs w:val="24"/>
          <w:vertAlign w:val="baseline"/>
          <w:lang w:val="en-US" w:eastAsia="zh-CN"/>
          <w14:textFill>
            <w14:solidFill>
              <w14:schemeClr w14:val="tx1"/>
            </w14:solidFill>
          </w14:textFill>
        </w:rPr>
        <w:t>1</w:t>
      </w:r>
      <w:r>
        <w:rPr>
          <w:rFonts w:hint="eastAsia" w:eastAsia="仿宋_GB2312"/>
          <w:color w:val="000000" w:themeColor="text1"/>
          <w:kern w:val="0"/>
          <w:sz w:val="24"/>
          <w:szCs w:val="24"/>
          <w:vertAlign w:val="baseline"/>
          <w:lang w:val="sq-AL" w:eastAsia="zh-CN"/>
          <w14:textFill>
            <w14:solidFill>
              <w14:schemeClr w14:val="tx1"/>
            </w14:solidFill>
          </w14:textFill>
        </w:rPr>
        <w:t>0厘米以</w:t>
      </w:r>
      <w:r>
        <w:rPr>
          <w:rFonts w:hint="eastAsia" w:eastAsia="仿宋_GB2312"/>
          <w:color w:val="000000" w:themeColor="text1"/>
          <w:kern w:val="0"/>
          <w:sz w:val="24"/>
          <w:szCs w:val="24"/>
          <w:vertAlign w:val="baseline"/>
          <w:lang w:val="en-US" w:eastAsia="zh-CN"/>
          <w14:textFill>
            <w14:solidFill>
              <w14:schemeClr w14:val="tx1"/>
            </w14:solidFill>
          </w14:textFill>
        </w:rPr>
        <w:t>内。场地平整后采用人工对复垦区周边衔接部位进行边坡整饰，以满足与周边地形地貌相协调的视觉感官要求。</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b w:val="0"/>
          <w:bCs/>
          <w:color w:val="000000" w:themeColor="text1"/>
          <w:sz w:val="24"/>
          <w:szCs w:val="24"/>
          <w14:textFill>
            <w14:solidFill>
              <w14:schemeClr w14:val="tx1"/>
            </w14:solidFill>
          </w14:textFill>
        </w:rPr>
      </w:pPr>
      <w:r>
        <w:rPr>
          <w:rFonts w:hint="eastAsia" w:eastAsia="仿宋_GB2312"/>
          <w:color w:val="000000" w:themeColor="text1"/>
          <w:sz w:val="24"/>
          <w:szCs w:val="24"/>
          <w:lang w:val="en-US" w:eastAsia="zh-CN"/>
          <w14:textFill>
            <w14:solidFill>
              <w14:schemeClr w14:val="tx1"/>
            </w14:solidFill>
          </w14:textFill>
        </w:rPr>
        <w:t>d</w:t>
      </w:r>
      <w:r>
        <w:rPr>
          <w:rFonts w:eastAsia="仿宋_GB2312"/>
          <w:color w:val="000000" w:themeColor="text1"/>
          <w:sz w:val="24"/>
          <w:szCs w:val="24"/>
          <w14:textFill>
            <w14:solidFill>
              <w14:schemeClr w14:val="tx1"/>
            </w14:solidFill>
          </w14:textFill>
        </w:rPr>
        <w:t>）</w:t>
      </w:r>
      <w:r>
        <w:rPr>
          <w:rFonts w:eastAsia="仿宋_GB2312"/>
          <w:b w:val="0"/>
          <w:bCs/>
          <w:color w:val="000000" w:themeColor="text1"/>
          <w:sz w:val="24"/>
          <w:szCs w:val="24"/>
          <w14:textFill>
            <w14:solidFill>
              <w14:schemeClr w14:val="tx1"/>
            </w14:solidFill>
          </w14:textFill>
        </w:rPr>
        <w:t>表土回覆</w:t>
      </w:r>
      <w:r>
        <w:rPr>
          <w:rFonts w:hint="eastAsia" w:eastAsia="仿宋_GB2312"/>
          <w:color w:val="000000" w:themeColor="text1"/>
          <w:sz w:val="24"/>
          <w:lang w:eastAsia="zh-CN"/>
          <w14:textFill>
            <w14:solidFill>
              <w14:schemeClr w14:val="tx1"/>
            </w14:solidFill>
          </w14:textFill>
        </w:rPr>
        <w:t>工程设计</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土地平整后，要对平整后的土地进行覆土，覆土来源是施工前表层土的剥离，覆土厚度根据复垦后土地的利用方向具体确定。鉴于该临时占用场地本身具有一定厚度土层，该部分表土仅进行平铺即可，表土回填最终满足：复垦为</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覆土厚度为0.</w:t>
      </w:r>
      <w:r>
        <w:rPr>
          <w:rFonts w:hint="eastAsia" w:eastAsia="仿宋_GB2312"/>
          <w:color w:val="000000" w:themeColor="text1"/>
          <w:sz w:val="24"/>
          <w:lang w:val="en-US" w:eastAsia="zh-CN"/>
          <w14:textFill>
            <w14:solidFill>
              <w14:schemeClr w14:val="tx1"/>
            </w14:solidFill>
          </w14:textFill>
        </w:rPr>
        <w:t>30</w:t>
      </w:r>
      <w:r>
        <w:rPr>
          <w:rFonts w:eastAsia="仿宋_GB2312"/>
          <w:color w:val="000000" w:themeColor="text1"/>
          <w:sz w:val="24"/>
          <w14:textFill>
            <w14:solidFill>
              <w14:schemeClr w14:val="tx1"/>
            </w14:solidFill>
          </w14:textFill>
        </w:rPr>
        <w:t>m。</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eastAsia="仿宋_GB2312"/>
          <w:color w:val="000000" w:themeColor="text1"/>
          <w:sz w:val="24"/>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施工方法：</w:t>
      </w:r>
      <w:r>
        <w:rPr>
          <w:rFonts w:hint="eastAsia" w:eastAsia="仿宋_GB2312"/>
          <w:color w:val="000000" w:themeColor="text1"/>
          <w:sz w:val="24"/>
          <w:szCs w:val="24"/>
          <w:lang w:eastAsia="zh-CN"/>
          <w14:textFill>
            <w14:solidFill>
              <w14:schemeClr w14:val="tx1"/>
            </w14:solidFill>
          </w14:textFill>
        </w:rPr>
        <w:t>表土回覆工序</w:t>
      </w:r>
      <w:r>
        <w:rPr>
          <w:rFonts w:hint="eastAsia" w:ascii="Times New Roman" w:hAnsi="Times New Roman" w:eastAsia="仿宋_GB2312" w:cs="Times New Roman"/>
          <w:color w:val="000000" w:themeColor="text1"/>
          <w:sz w:val="24"/>
          <w:szCs w:val="24"/>
          <w:vertAlign w:val="baseline"/>
          <w:lang w:eastAsia="zh-CN"/>
          <w14:textFill>
            <w14:solidFill>
              <w14:schemeClr w14:val="tx1"/>
            </w14:solidFill>
          </w14:textFill>
        </w:rPr>
        <w:t>即采用拖式铲运机及</w:t>
      </w:r>
      <w:r>
        <w:rPr>
          <w:rFonts w:hint="eastAsia" w:ascii="Times New Roman" w:hAnsi="Times New Roman" w:eastAsia="仿宋_GB2312" w:cs="Times New Roman"/>
          <w:color w:val="000000" w:themeColor="text1"/>
          <w:sz w:val="24"/>
          <w:szCs w:val="24"/>
          <w:vertAlign w:val="baseline"/>
          <w:lang w:val="en-US" w:eastAsia="zh-CN"/>
          <w14:textFill>
            <w14:solidFill>
              <w14:schemeClr w14:val="tx1"/>
            </w14:solidFill>
          </w14:textFill>
        </w:rPr>
        <w:t>74kw</w:t>
      </w:r>
      <w:r>
        <w:rPr>
          <w:rFonts w:hint="eastAsia" w:eastAsia="仿宋_GB2312"/>
          <w:color w:val="000000" w:themeColor="text1"/>
          <w:sz w:val="24"/>
          <w:lang w:eastAsia="zh-CN"/>
          <w14:textFill>
            <w14:solidFill>
              <w14:schemeClr w14:val="tx1"/>
            </w14:solidFill>
          </w14:textFill>
        </w:rPr>
        <w:t>推土机推土方式进行平铺</w:t>
      </w:r>
      <w:r>
        <w:rPr>
          <w:rFonts w:eastAsia="仿宋_GB2312"/>
          <w:color w:val="000000" w:themeColor="text1"/>
          <w:sz w:val="24"/>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d</w:t>
      </w:r>
      <w:r>
        <w:rPr>
          <w:rFonts w:hint="eastAsia" w:ascii="Times New Roman" w:hAnsi="Times New Roman" w:eastAsia="仿宋_GB2312" w:cs="Times New Roman"/>
          <w:color w:val="000000" w:themeColor="text1"/>
          <w:sz w:val="24"/>
          <w:lang w:eastAsia="zh-CN"/>
          <w14:textFill>
            <w14:solidFill>
              <w14:schemeClr w14:val="tx1"/>
            </w14:solidFill>
          </w14:textFill>
        </w:rPr>
        <w:t>）土地翻耕措施</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由于临时占地土地损毁类型为压占，重型机械的压实，造成地表板结，直接在此基础上进行耕种，不利于水分渗透和通风，</w:t>
      </w:r>
      <w:r>
        <w:rPr>
          <w:rFonts w:hint="eastAsia" w:ascii="Times New Roman" w:hAnsi="Times New Roman" w:eastAsia="仿宋_GB2312" w:cs="Times New Roman"/>
          <w:color w:val="000000" w:themeColor="text1"/>
          <w:sz w:val="24"/>
          <w:lang w:eastAsia="zh-CN"/>
          <w14:textFill>
            <w14:solidFill>
              <w14:schemeClr w14:val="tx1"/>
            </w14:solidFill>
          </w14:textFill>
        </w:rPr>
        <w:t>妨碍植被生长</w:t>
      </w:r>
      <w:r>
        <w:rPr>
          <w:rFonts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故</w:t>
      </w:r>
      <w:r>
        <w:rPr>
          <w:rFonts w:ascii="Times New Roman" w:hAnsi="Times New Roman" w:eastAsia="仿宋_GB2312" w:cs="Times New Roman"/>
          <w:color w:val="000000" w:themeColor="text1"/>
          <w:sz w:val="24"/>
          <w14:textFill>
            <w14:solidFill>
              <w14:schemeClr w14:val="tx1"/>
            </w14:solidFill>
          </w14:textFill>
        </w:rPr>
        <w:t>需要对复垦责任范围区域</w:t>
      </w:r>
      <w:r>
        <w:rPr>
          <w:rFonts w:hint="eastAsia" w:ascii="Times New Roman" w:hAnsi="Times New Roman" w:eastAsia="仿宋_GB2312" w:cs="Times New Roman"/>
          <w:color w:val="000000" w:themeColor="text1"/>
          <w:sz w:val="24"/>
          <w:lang w:eastAsia="zh-CN"/>
          <w14:textFill>
            <w14:solidFill>
              <w14:schemeClr w14:val="tx1"/>
            </w14:solidFill>
          </w14:textFill>
        </w:rPr>
        <w:t>内</w:t>
      </w:r>
      <w:r>
        <w:rPr>
          <w:rFonts w:hint="eastAsia" w:eastAsia="仿宋_GB2312" w:cs="Times New Roman"/>
          <w:color w:val="000000" w:themeColor="text1"/>
          <w:sz w:val="24"/>
          <w:lang w:eastAsia="zh-CN"/>
          <w14:textFill>
            <w14:solidFill>
              <w14:schemeClr w14:val="tx1"/>
            </w14:solidFill>
          </w14:textFill>
        </w:rPr>
        <w:t>的</w:t>
      </w:r>
      <w:r>
        <w:rPr>
          <w:rFonts w:hint="eastAsia" w:eastAsia="仿宋_GB2312"/>
          <w:color w:val="000000" w:themeColor="text1"/>
          <w:sz w:val="24"/>
          <w:lang w:val="en-US" w:eastAsia="zh-CN"/>
          <w14:textFill>
            <w14:solidFill>
              <w14:schemeClr w14:val="tx1"/>
            </w14:solidFill>
          </w14:textFill>
        </w:rPr>
        <w:t>林地</w:t>
      </w:r>
      <w:r>
        <w:rPr>
          <w:rFonts w:ascii="Times New Roman" w:hAnsi="Times New Roman" w:eastAsia="仿宋_GB2312" w:cs="Times New Roman"/>
          <w:color w:val="000000" w:themeColor="text1"/>
          <w:sz w:val="24"/>
          <w14:textFill>
            <w14:solidFill>
              <w14:schemeClr w14:val="tx1"/>
            </w14:solidFill>
          </w14:textFill>
        </w:rPr>
        <w:t>进行</w:t>
      </w:r>
      <w:r>
        <w:rPr>
          <w:rFonts w:hint="eastAsia" w:ascii="Times New Roman" w:hAnsi="Times New Roman" w:eastAsia="仿宋_GB2312" w:cs="Times New Roman"/>
          <w:color w:val="000000" w:themeColor="text1"/>
          <w:sz w:val="24"/>
          <w:lang w:eastAsia="zh-CN"/>
          <w14:textFill>
            <w14:solidFill>
              <w14:schemeClr w14:val="tx1"/>
            </w14:solidFill>
          </w14:textFill>
        </w:rPr>
        <w:t>土地</w:t>
      </w:r>
      <w:r>
        <w:rPr>
          <w:rFonts w:ascii="Times New Roman" w:hAnsi="Times New Roman" w:eastAsia="仿宋_GB2312" w:cs="Times New Roman"/>
          <w:color w:val="000000" w:themeColor="text1"/>
          <w:sz w:val="24"/>
          <w14:textFill>
            <w14:solidFill>
              <w14:schemeClr w14:val="tx1"/>
            </w14:solidFill>
          </w14:textFill>
        </w:rPr>
        <w:t>翻耕</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土壤翻耕深度</w:t>
      </w:r>
      <w:r>
        <w:rPr>
          <w:rFonts w:hint="eastAsia" w:eastAsia="仿宋_GB2312" w:cs="Times New Roman"/>
          <w:color w:val="000000" w:themeColor="text1"/>
          <w:sz w:val="24"/>
          <w:lang w:val="en-US" w:eastAsia="zh-CN"/>
          <w14:textFill>
            <w14:solidFill>
              <w14:schemeClr w14:val="tx1"/>
            </w14:solidFill>
          </w14:textFill>
        </w:rPr>
        <w:t>30-50</w:t>
      </w:r>
      <w:r>
        <w:rPr>
          <w:rFonts w:hint="eastAsia" w:ascii="Times New Roman" w:hAnsi="Times New Roman" w:eastAsia="仿宋_GB2312" w:cs="Times New Roman"/>
          <w:color w:val="000000" w:themeColor="text1"/>
          <w:sz w:val="24"/>
          <w:lang w:val="en-US" w:eastAsia="zh-CN"/>
          <w14:textFill>
            <w14:solidFill>
              <w14:schemeClr w14:val="tx1"/>
            </w14:solidFill>
          </w14:textFill>
        </w:rPr>
        <w:t>cm</w:t>
      </w:r>
      <w:r>
        <w:rPr>
          <w:rFonts w:hint="eastAsia" w:ascii="Times New Roman" w:hAnsi="Times New Roman" w:eastAsia="仿宋_GB2312" w:cs="Times New Roman"/>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仿宋_GB2312" w:eastAsia="仿宋_GB2312"/>
          <w:color w:val="000000" w:themeColor="text1"/>
          <w:sz w:val="24"/>
          <w:szCs w:val="24"/>
          <w:lang w:eastAsia="zh-CN"/>
          <w14:textFill>
            <w14:solidFill>
              <w14:schemeClr w14:val="tx1"/>
            </w14:solidFill>
          </w14:textFill>
        </w:rPr>
        <w:t>施工方法：</w:t>
      </w:r>
      <w:r>
        <w:rPr>
          <w:rFonts w:hint="eastAsia" w:ascii="Times New Roman" w:hAnsi="Times New Roman" w:eastAsia="仿宋_GB2312" w:cs="Times New Roman"/>
          <w:color w:val="000000" w:themeColor="text1"/>
          <w:sz w:val="24"/>
          <w:lang w:eastAsia="zh-CN"/>
          <w14:textFill>
            <w14:solidFill>
              <w14:schemeClr w14:val="tx1"/>
            </w14:solidFill>
          </w14:textFill>
        </w:rPr>
        <w:t>土地翻耕</w:t>
      </w:r>
      <w:r>
        <w:rPr>
          <w:rFonts w:hint="eastAsia" w:eastAsia="仿宋_GB2312"/>
          <w:color w:val="000000" w:themeColor="text1"/>
          <w:sz w:val="24"/>
          <w:szCs w:val="24"/>
          <w:lang w:eastAsia="zh-CN"/>
          <w14:textFill>
            <w14:solidFill>
              <w14:schemeClr w14:val="tx1"/>
            </w14:solidFill>
          </w14:textFill>
        </w:rPr>
        <w:t>工序</w:t>
      </w:r>
      <w:r>
        <w:rPr>
          <w:rFonts w:hint="eastAsia" w:ascii="Times New Roman" w:hAnsi="Times New Roman" w:eastAsia="仿宋_GB2312" w:cs="Times New Roman"/>
          <w:color w:val="000000" w:themeColor="text1"/>
          <w:sz w:val="24"/>
          <w:szCs w:val="24"/>
          <w:vertAlign w:val="baseline"/>
          <w:lang w:eastAsia="zh-CN"/>
          <w14:textFill>
            <w14:solidFill>
              <w14:schemeClr w14:val="tx1"/>
            </w14:solidFill>
          </w14:textFill>
        </w:rPr>
        <w:t>即采用</w:t>
      </w:r>
      <w:r>
        <w:rPr>
          <w:rFonts w:hint="eastAsia" w:ascii="Times New Roman" w:hAnsi="Times New Roman" w:eastAsia="仿宋_GB2312" w:cs="Times New Roman"/>
          <w:color w:val="000000" w:themeColor="text1"/>
          <w:sz w:val="24"/>
          <w:lang w:eastAsia="zh-CN"/>
          <w14:textFill>
            <w14:solidFill>
              <w14:schemeClr w14:val="tx1"/>
            </w14:solidFill>
          </w14:textFill>
        </w:rPr>
        <w:t>履带式拖拉机</w:t>
      </w:r>
      <w:r>
        <w:rPr>
          <w:rFonts w:hint="eastAsia" w:ascii="Times New Roman" w:hAnsi="Times New Roman" w:eastAsia="仿宋_GB2312" w:cs="Times New Roman"/>
          <w:color w:val="000000" w:themeColor="text1"/>
          <w:sz w:val="24"/>
          <w:lang w:val="en-US" w:eastAsia="zh-CN"/>
          <w14:textFill>
            <w14:solidFill>
              <w14:schemeClr w14:val="tx1"/>
            </w14:solidFill>
          </w14:textFill>
        </w:rPr>
        <w:t>配合三铧犁</w:t>
      </w:r>
      <w:r>
        <w:rPr>
          <w:rFonts w:hint="eastAsia" w:eastAsia="仿宋_GB2312"/>
          <w:color w:val="000000" w:themeColor="text1"/>
          <w:sz w:val="24"/>
          <w:lang w:eastAsia="zh-CN"/>
          <w14:textFill>
            <w14:solidFill>
              <w14:schemeClr w14:val="tx1"/>
            </w14:solidFill>
          </w14:textFill>
        </w:rPr>
        <w:t>方式进行平铺</w:t>
      </w:r>
      <w:r>
        <w:rPr>
          <w:rFonts w:eastAsia="仿宋_GB2312"/>
          <w:color w:val="000000" w:themeColor="text1"/>
          <w:sz w:val="24"/>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eastAsia="仿宋_GB2312"/>
          <w:color w:val="000000" w:themeColor="text1"/>
          <w:sz w:val="24"/>
          <w:lang w:val="sq-AL"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e</w:t>
      </w:r>
      <w:r>
        <w:rPr>
          <w:rFonts w:hint="eastAsia" w:eastAsia="仿宋_GB2312"/>
          <w:color w:val="000000" w:themeColor="text1"/>
          <w:sz w:val="24"/>
          <w:lang w:val="sq-AL" w:eastAsia="zh-CN"/>
          <w14:textFill>
            <w14:solidFill>
              <w14:schemeClr w14:val="tx1"/>
            </w14:solidFill>
          </w14:textFill>
        </w:rPr>
        <w:t>）施工机械配备情况</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eastAsia="仿宋_GB2312"/>
          <w:color w:val="000000" w:themeColor="text1"/>
          <w:sz w:val="24"/>
          <w:lang w:val="sq-AL"/>
          <w14:textFill>
            <w14:solidFill>
              <w14:schemeClr w14:val="tx1"/>
            </w14:solidFill>
          </w14:textFill>
        </w:rPr>
      </w:pPr>
      <w:r>
        <w:rPr>
          <w:rFonts w:hint="eastAsia" w:eastAsia="仿宋_GB2312"/>
          <w:color w:val="000000" w:themeColor="text1"/>
          <w:sz w:val="24"/>
          <w:lang w:val="sq-AL"/>
          <w14:textFill>
            <w14:solidFill>
              <w14:schemeClr w14:val="tx1"/>
            </w14:solidFill>
          </w14:textFill>
        </w:rPr>
        <w:t>根据施工经验估算，</w:t>
      </w:r>
      <w:r>
        <w:rPr>
          <w:rFonts w:hint="eastAsia" w:eastAsia="仿宋_GB2312"/>
          <w:color w:val="000000" w:themeColor="text1"/>
          <w:sz w:val="24"/>
          <w:lang w:val="en-US" w:eastAsia="zh-CN"/>
          <w14:textFill>
            <w14:solidFill>
              <w14:schemeClr w14:val="tx1"/>
            </w14:solidFill>
          </w14:textFill>
        </w:rPr>
        <w:t>配备一下机械，</w:t>
      </w:r>
      <w:r>
        <w:rPr>
          <w:rFonts w:hint="eastAsia" w:eastAsia="仿宋_GB2312"/>
          <w:color w:val="000000" w:themeColor="text1"/>
          <w:sz w:val="24"/>
          <w:lang w:val="sq-AL"/>
          <w14:textFill>
            <w14:solidFill>
              <w14:schemeClr w14:val="tx1"/>
            </w14:solidFill>
          </w14:textFill>
        </w:rPr>
        <w:t>以</w:t>
      </w:r>
      <w:r>
        <w:rPr>
          <w:rFonts w:hint="eastAsia" w:eastAsia="仿宋_GB2312"/>
          <w:color w:val="000000" w:themeColor="text1"/>
          <w:sz w:val="24"/>
          <w:lang w:val="en-US" w:eastAsia="zh-CN"/>
          <w14:textFill>
            <w14:solidFill>
              <w14:schemeClr w14:val="tx1"/>
            </w14:solidFill>
          </w14:textFill>
        </w:rPr>
        <w:t>下</w:t>
      </w:r>
      <w:r>
        <w:rPr>
          <w:rFonts w:hint="eastAsia" w:eastAsia="仿宋_GB2312"/>
          <w:color w:val="000000" w:themeColor="text1"/>
          <w:sz w:val="24"/>
          <w:lang w:val="sq-AL"/>
          <w14:textFill>
            <w14:solidFill>
              <w14:schemeClr w14:val="tx1"/>
            </w14:solidFill>
          </w14:textFill>
        </w:rPr>
        <w:t>机械可用于</w:t>
      </w:r>
      <w:r>
        <w:rPr>
          <w:rFonts w:hint="eastAsia" w:eastAsia="仿宋_GB2312"/>
          <w:color w:val="000000" w:themeColor="text1"/>
          <w:sz w:val="24"/>
          <w:lang w:val="sq-AL" w:eastAsia="zh-CN"/>
          <w14:textFill>
            <w14:solidFill>
              <w14:schemeClr w14:val="tx1"/>
            </w14:solidFill>
          </w14:textFill>
        </w:rPr>
        <w:t>表土回覆</w:t>
      </w:r>
      <w:r>
        <w:rPr>
          <w:rFonts w:hint="eastAsia" w:eastAsia="仿宋_GB2312"/>
          <w:color w:val="000000" w:themeColor="text1"/>
          <w:sz w:val="24"/>
          <w:lang w:val="sq-AL"/>
          <w14:textFill>
            <w14:solidFill>
              <w14:schemeClr w14:val="tx1"/>
            </w14:solidFill>
          </w14:textFill>
        </w:rPr>
        <w:t>、建筑垃圾推运回填</w:t>
      </w:r>
      <w:r>
        <w:rPr>
          <w:rFonts w:hint="eastAsia" w:eastAsia="仿宋_GB2312"/>
          <w:color w:val="000000" w:themeColor="text1"/>
          <w:sz w:val="24"/>
          <w:lang w:val="sq-AL" w:eastAsia="zh-CN"/>
          <w14:textFill>
            <w14:solidFill>
              <w14:schemeClr w14:val="tx1"/>
            </w14:solidFill>
          </w14:textFill>
        </w:rPr>
        <w:t>，</w:t>
      </w:r>
      <w:r>
        <w:rPr>
          <w:rFonts w:hint="eastAsia" w:eastAsia="仿宋_GB2312"/>
          <w:color w:val="000000" w:themeColor="text1"/>
          <w:sz w:val="24"/>
          <w14:textFill>
            <w14:solidFill>
              <w14:schemeClr w14:val="tx1"/>
            </w14:solidFill>
          </w14:textFill>
        </w:rPr>
        <w:t>根据工程需要，配置</w:t>
      </w:r>
      <w:r>
        <w:rPr>
          <w:rFonts w:hint="eastAsia" w:eastAsia="仿宋_GB2312"/>
          <w:color w:val="000000" w:themeColor="text1"/>
          <w:sz w:val="24"/>
          <w:lang w:eastAsia="zh-CN"/>
          <w14:textFill>
            <w14:solidFill>
              <w14:schemeClr w14:val="tx1"/>
            </w14:solidFill>
          </w14:textFill>
        </w:rPr>
        <w:t>联络车辆一部</w:t>
      </w:r>
      <w:r>
        <w:rPr>
          <w:rFonts w:hint="eastAsia" w:eastAsia="仿宋_GB2312"/>
          <w:color w:val="000000" w:themeColor="text1"/>
          <w:sz w:val="24"/>
          <w14:textFill>
            <w14:solidFill>
              <w14:schemeClr w14:val="tx1"/>
            </w14:solidFill>
          </w14:textFill>
        </w:rPr>
        <w:t>、数码照相机、数码摄像机</w:t>
      </w:r>
      <w:r>
        <w:rPr>
          <w:rFonts w:hint="eastAsia" w:eastAsia="仿宋_GB2312"/>
          <w:color w:val="000000" w:themeColor="text1"/>
          <w:sz w:val="24"/>
          <w:lang w:val="sq-AL"/>
          <w14:textFill>
            <w14:solidFill>
              <w14:schemeClr w14:val="tx1"/>
            </w14:solidFill>
          </w14:textFill>
        </w:rPr>
        <w:t>，具体配备情况见表</w:t>
      </w:r>
      <w:r>
        <w:rPr>
          <w:rFonts w:hint="eastAsia" w:eastAsia="仿宋_GB2312"/>
          <w:color w:val="000000" w:themeColor="text1"/>
          <w:sz w:val="24"/>
          <w:lang w:val="en-US" w:eastAsia="zh-CN"/>
          <w14:textFill>
            <w14:solidFill>
              <w14:schemeClr w14:val="tx1"/>
            </w14:solidFill>
          </w14:textFill>
        </w:rPr>
        <w:t>6-1</w:t>
      </w:r>
      <w:r>
        <w:rPr>
          <w:rFonts w:hint="eastAsia" w:eastAsia="仿宋_GB2312"/>
          <w:color w:val="000000" w:themeColor="text1"/>
          <w:sz w:val="24"/>
          <w:lang w:val="sq-AL"/>
          <w14:textFill>
            <w14:solidFill>
              <w14:schemeClr w14:val="tx1"/>
            </w14:solidFill>
          </w14:textFill>
        </w:rPr>
        <w:t>。</w:t>
      </w:r>
    </w:p>
    <w:p>
      <w:pPr>
        <w:jc w:val="center"/>
        <w:rPr>
          <w:rFonts w:hint="eastAsia" w:ascii="黑体" w:hAnsi="黑体" w:eastAsia="黑体"/>
          <w:color w:val="000000" w:themeColor="text1"/>
          <w:szCs w:val="21"/>
          <w:lang w:eastAsia="zh-CN"/>
          <w14:textFill>
            <w14:solidFill>
              <w14:schemeClr w14:val="tx1"/>
            </w14:solidFill>
          </w14:textFill>
        </w:rPr>
      </w:pPr>
      <w:r>
        <w:rPr>
          <w:rFonts w:hint="eastAsia" w:ascii="黑体" w:hAnsi="黑体" w:eastAsia="黑体"/>
          <w:color w:val="000000" w:themeColor="text1"/>
          <w:szCs w:val="21"/>
          <w:lang w:eastAsia="zh-CN"/>
          <w14:textFill>
            <w14:solidFill>
              <w14:schemeClr w14:val="tx1"/>
            </w14:solidFill>
          </w14:textFill>
        </w:rPr>
        <w:t>表</w:t>
      </w:r>
      <w:r>
        <w:rPr>
          <w:rFonts w:hint="eastAsia" w:ascii="黑体" w:hAnsi="黑体" w:eastAsia="黑体"/>
          <w:color w:val="000000" w:themeColor="text1"/>
          <w:szCs w:val="21"/>
          <w:lang w:val="en-US" w:eastAsia="zh-CN"/>
          <w14:textFill>
            <w14:solidFill>
              <w14:schemeClr w14:val="tx1"/>
            </w14:solidFill>
          </w14:textFill>
        </w:rPr>
        <w:t>6</w:t>
      </w:r>
      <w:r>
        <w:rPr>
          <w:rFonts w:hint="eastAsia" w:ascii="黑体" w:hAnsi="黑体" w:eastAsia="黑体"/>
          <w:color w:val="000000" w:themeColor="text1"/>
          <w:szCs w:val="21"/>
          <w:lang w:eastAsia="zh-CN"/>
          <w14:textFill>
            <w14:solidFill>
              <w14:schemeClr w14:val="tx1"/>
            </w14:solidFill>
          </w14:textFill>
        </w:rPr>
        <w:t>-</w:t>
      </w:r>
      <w:r>
        <w:rPr>
          <w:rFonts w:hint="eastAsia" w:ascii="黑体" w:hAnsi="黑体" w:eastAsia="黑体"/>
          <w:color w:val="000000" w:themeColor="text1"/>
          <w:szCs w:val="21"/>
          <w:lang w:val="en-US" w:eastAsia="zh-CN"/>
          <w14:textFill>
            <w14:solidFill>
              <w14:schemeClr w14:val="tx1"/>
            </w14:solidFill>
          </w14:textFill>
        </w:rPr>
        <w:t>1</w:t>
      </w:r>
      <w:r>
        <w:rPr>
          <w:rFonts w:hint="eastAsia" w:ascii="黑体" w:hAnsi="黑体" w:eastAsia="黑体"/>
          <w:color w:val="000000" w:themeColor="text1"/>
          <w:szCs w:val="21"/>
          <w:lang w:eastAsia="zh-CN"/>
          <w14:textFill>
            <w14:solidFill>
              <w14:schemeClr w14:val="tx1"/>
            </w14:solidFill>
          </w14:textFill>
        </w:rPr>
        <w:t xml:space="preserve"> 施工区主要机械配置计划一览表</w:t>
      </w:r>
    </w:p>
    <w:tbl>
      <w:tblPr>
        <w:tblStyle w:val="20"/>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1734"/>
        <w:gridCol w:w="1578"/>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设备名称</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单位</w:t>
            </w:r>
          </w:p>
        </w:tc>
        <w:tc>
          <w:tcPr>
            <w:tcW w:w="1578"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数量</w:t>
            </w:r>
          </w:p>
        </w:tc>
        <w:tc>
          <w:tcPr>
            <w:tcW w:w="2762"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推土机</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台</w:t>
            </w:r>
          </w:p>
        </w:tc>
        <w:tc>
          <w:tcPr>
            <w:tcW w:w="1578" w:type="dxa"/>
            <w:noWrap w:val="0"/>
            <w:vAlign w:val="center"/>
          </w:tcPr>
          <w:p>
            <w:pPr>
              <w:tabs>
                <w:tab w:val="left" w:pos="6300"/>
              </w:tabs>
              <w:autoSpaceDE w:val="0"/>
              <w:autoSpaceDN w:val="0"/>
              <w:adjustRightInd w:val="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59</w:t>
            </w:r>
            <w:r>
              <w:rPr>
                <w:rFonts w:hint="default" w:ascii="Times New Roman" w:hAnsi="Times New Roman" w:eastAsia="仿宋" w:cs="Times New Roman"/>
                <w:color w:val="000000" w:themeColor="text1"/>
                <w:kern w:val="0"/>
                <w:sz w:val="21"/>
                <w:szCs w:val="21"/>
                <w14:textFill>
                  <w14:solidFill>
                    <w14:schemeClr w14:val="tx1"/>
                  </w14:solidFill>
                </w14:textFill>
              </w:rPr>
              <w:t>k</w:t>
            </w:r>
            <w:r>
              <w:rPr>
                <w:rFonts w:hint="default" w:ascii="Times New Roman" w:hAnsi="Times New Roman" w:eastAsia="仿宋" w:cs="Times New Roman"/>
                <w:color w:val="000000" w:themeColor="text1"/>
                <w:sz w:val="21"/>
                <w:szCs w:val="21"/>
                <w14:textFill>
                  <w14:solidFill>
                    <w14:schemeClr w14:val="tx1"/>
                  </w14:solidFill>
                </w14:textFill>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推土机</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台</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74k</w:t>
            </w:r>
            <w:r>
              <w:rPr>
                <w:rFonts w:hint="default" w:ascii="Times New Roman" w:hAnsi="Times New Roman" w:eastAsia="仿宋" w:cs="Times New Roman"/>
                <w:color w:val="000000" w:themeColor="text1"/>
                <w:sz w:val="21"/>
                <w:szCs w:val="21"/>
                <w14:textFill>
                  <w14:solidFill>
                    <w14:schemeClr w14:val="tx1"/>
                  </w14:solidFill>
                </w14:textFill>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挖掘机</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台</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1m</w:t>
            </w:r>
            <w:r>
              <w:rPr>
                <w:rFonts w:hint="default" w:ascii="Times New Roman" w:hAnsi="Times New Roman" w:eastAsia="仿宋" w:cs="Times New Roman"/>
                <w:color w:val="000000" w:themeColor="text1"/>
                <w:kern w:val="0"/>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自卸车</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辆</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仿宋" w:cs="Times New Roman"/>
                <w:color w:val="000000" w:themeColor="text1"/>
                <w:kern w:val="0"/>
                <w:sz w:val="21"/>
                <w:szCs w:val="21"/>
                <w14:textFill>
                  <w14:solidFill>
                    <w14:schemeClr w14:val="tx1"/>
                  </w14:solidFill>
                </w14:textFill>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xml:space="preserve">电动空气压缩机 </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台</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center"/>
          </w:tcPr>
          <w:p>
            <w:pPr>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移动式3m</w:t>
            </w:r>
            <w:r>
              <w:rPr>
                <w:rFonts w:hint="default" w:ascii="Times New Roman" w:hAnsi="Times New Roman" w:eastAsia="仿宋"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仿宋" w:cs="Times New Roman"/>
                <w:color w:val="000000" w:themeColor="text1"/>
                <w:kern w:val="0"/>
                <w:sz w:val="21"/>
                <w:szCs w:val="21"/>
                <w14:textFill>
                  <w14:solidFill>
                    <w14:schemeClr w14:val="tx1"/>
                  </w14:solidFill>
                </w14:textFill>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eastAsia="zh-CN"/>
                <w14:textFill>
                  <w14:solidFill>
                    <w14:schemeClr w14:val="tx1"/>
                  </w14:solidFill>
                </w14:textFill>
              </w:rPr>
              <w:t>三铧犁</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台</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top"/>
          </w:tcPr>
          <w:p>
            <w:pPr>
              <w:jc w:val="center"/>
              <w:rPr>
                <w:rFonts w:hint="default" w:ascii="Times New Roman" w:hAnsi="Times New Roman" w:eastAsia="仿宋"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越野车辆</w:t>
            </w:r>
          </w:p>
        </w:tc>
        <w:tc>
          <w:tcPr>
            <w:tcW w:w="1734" w:type="dxa"/>
            <w:noWrap w:val="0"/>
            <w:vAlign w:val="center"/>
          </w:tcPr>
          <w:p>
            <w:pPr>
              <w:tabs>
                <w:tab w:val="left" w:pos="6300"/>
              </w:tabs>
              <w:autoSpaceDE w:val="0"/>
              <w:autoSpaceDN w:val="0"/>
              <w:adjustRightInd w:val="0"/>
              <w:snapToGrid w:val="0"/>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辆</w:t>
            </w:r>
          </w:p>
        </w:tc>
        <w:tc>
          <w:tcPr>
            <w:tcW w:w="1578" w:type="dxa"/>
            <w:noWrap w:val="0"/>
            <w:vAlign w:val="center"/>
          </w:tcPr>
          <w:p>
            <w:pPr>
              <w:autoSpaceDE w:val="0"/>
              <w:autoSpaceDN w:val="0"/>
              <w:adjustRightInd w:val="0"/>
              <w:jc w:val="cente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top"/>
          </w:tcPr>
          <w:p>
            <w:pPr>
              <w:jc w:val="center"/>
              <w:rPr>
                <w:rFonts w:hint="default" w:ascii="Times New Roman" w:hAnsi="Times New Roman" w:eastAsia="仿宋" w:cs="Times New Roman"/>
                <w:color w:val="000000" w:themeColor="text1"/>
                <w:sz w:val="21"/>
                <w:szCs w:val="21"/>
                <w:lang w:eastAsia="zh-CN"/>
                <w14:textFill>
                  <w14:solidFill>
                    <w14:schemeClr w14:val="tx1"/>
                  </w14:solidFill>
                </w14:textFill>
              </w:rPr>
            </w:pPr>
            <w:r>
              <w:rPr>
                <w:rFonts w:hint="default" w:ascii="Times New Roman" w:hAnsi="Times New Roman" w:eastAsia="仿宋" w:cs="Times New Roman"/>
                <w:color w:val="000000" w:themeColor="text1"/>
                <w:sz w:val="21"/>
                <w:szCs w:val="21"/>
                <w:lang w:eastAsia="zh-CN"/>
                <w14:textFill>
                  <w14:solidFill>
                    <w14:schemeClr w14:val="tx1"/>
                  </w14:solidFill>
                </w14:textFill>
              </w:rPr>
              <w:t>三菱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exact"/>
          <w:jc w:val="center"/>
        </w:trPr>
        <w:tc>
          <w:tcPr>
            <w:tcW w:w="2997"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履带式拖拉机</w:t>
            </w:r>
          </w:p>
        </w:tc>
        <w:tc>
          <w:tcPr>
            <w:tcW w:w="1734"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仿宋" w:cs="Times New Roman"/>
                <w:color w:val="000000" w:themeColor="text1"/>
                <w:kern w:val="0"/>
                <w:sz w:val="21"/>
                <w:szCs w:val="21"/>
                <w:lang w:val="en-US" w:eastAsia="zh-CN"/>
                <w14:textFill>
                  <w14:solidFill>
                    <w14:schemeClr w14:val="tx1"/>
                  </w14:solidFill>
                </w14:textFill>
              </w:rPr>
              <w:t>辆</w:t>
            </w:r>
          </w:p>
        </w:tc>
        <w:tc>
          <w:tcPr>
            <w:tcW w:w="157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1</w:t>
            </w:r>
          </w:p>
        </w:tc>
        <w:tc>
          <w:tcPr>
            <w:tcW w:w="2762" w:type="dxa"/>
            <w:noWrap w:val="0"/>
            <w:vAlign w:val="top"/>
          </w:tcPr>
          <w:p>
            <w:pPr>
              <w:pageBreakBefore w:val="0"/>
              <w:widowControl/>
              <w:kinsoku/>
              <w:wordWrap/>
              <w:topLinePunct w:val="0"/>
              <w:bidi w:val="0"/>
              <w:adjustRightInd w:val="0"/>
              <w:snapToGrid w:val="0"/>
              <w:jc w:val="center"/>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1"/>
                <w:szCs w:val="21"/>
                <w:lang w:val="en-US" w:eastAsia="zh-CN"/>
                <w14:textFill>
                  <w14:solidFill>
                    <w14:schemeClr w14:val="tx1"/>
                  </w14:solidFill>
                </w14:textFill>
              </w:rPr>
              <w:t>59kw</w:t>
            </w:r>
          </w:p>
        </w:tc>
      </w:tr>
    </w:tbl>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53735" cy="2061210"/>
            <wp:effectExtent l="0" t="0" r="18415" b="1524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14"/>
                    <a:stretch>
                      <a:fillRect/>
                    </a:stretch>
                  </pic:blipFill>
                  <pic:spPr>
                    <a:xfrm>
                      <a:off x="0" y="0"/>
                      <a:ext cx="5753735" cy="2061210"/>
                    </a:xfrm>
                    <a:prstGeom prst="rect">
                      <a:avLst/>
                    </a:prstGeom>
                    <a:noFill/>
                    <a:ln>
                      <a:noFill/>
                    </a:ln>
                  </pic:spPr>
                </pic:pic>
              </a:graphicData>
            </a:graphic>
          </wp:inline>
        </w:drawing>
      </w:r>
    </w:p>
    <w:p>
      <w:pPr>
        <w:pStyle w:val="8"/>
        <w:jc w:val="center"/>
        <w:rPr>
          <w:rFonts w:hint="default" w:ascii="黑体" w:hAnsi="黑体" w:eastAsia="黑体" w:cs="黑体"/>
          <w:color w:val="000000" w:themeColor="text1"/>
          <w:kern w:val="0"/>
          <w:sz w:val="21"/>
          <w:szCs w:val="21"/>
          <w:lang w:val="en-US" w:eastAsia="zh-CN" w:bidi="ar"/>
          <w14:textFill>
            <w14:solidFill>
              <w14:schemeClr w14:val="tx1"/>
            </w14:solidFill>
          </w14:textFill>
        </w:rPr>
      </w:pPr>
      <w:r>
        <w:rPr>
          <w:rFonts w:hint="eastAsia" w:ascii="黑体" w:hAnsi="黑体" w:eastAsia="黑体" w:cs="黑体"/>
          <w:color w:val="000000" w:themeColor="text1"/>
          <w:kern w:val="0"/>
          <w:sz w:val="21"/>
          <w:szCs w:val="21"/>
          <w:lang w:val="en-US" w:eastAsia="zh-CN" w:bidi="ar"/>
          <w14:textFill>
            <w14:solidFill>
              <w14:schemeClr w14:val="tx1"/>
            </w14:solidFill>
          </w14:textFill>
        </w:rPr>
        <w:t>图6-1 林地区复垦典型设计图</w:t>
      </w:r>
    </w:p>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ascii="黑体" w:hAnsi="黑体" w:eastAsia="黑体" w:cs="黑体"/>
          <w:color w:val="000000" w:themeColor="text1"/>
          <w:kern w:val="0"/>
          <w:sz w:val="21"/>
          <w:szCs w:val="21"/>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5750560" cy="2012315"/>
            <wp:effectExtent l="0" t="0" r="2540" b="6985"/>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5"/>
                    <a:stretch>
                      <a:fillRect/>
                    </a:stretch>
                  </pic:blipFill>
                  <pic:spPr>
                    <a:xfrm>
                      <a:off x="0" y="0"/>
                      <a:ext cx="5750560" cy="2012315"/>
                    </a:xfrm>
                    <a:prstGeom prst="rect">
                      <a:avLst/>
                    </a:prstGeom>
                    <a:noFill/>
                    <a:ln>
                      <a:noFill/>
                    </a:ln>
                  </pic:spPr>
                </pic:pic>
              </a:graphicData>
            </a:graphic>
          </wp:inline>
        </w:drawing>
      </w:r>
      <w:r>
        <w:rPr>
          <w:rFonts w:hint="eastAsia" w:ascii="黑体" w:hAnsi="黑体" w:eastAsia="黑体" w:cs="黑体"/>
          <w:color w:val="000000" w:themeColor="text1"/>
          <w:kern w:val="0"/>
          <w:sz w:val="21"/>
          <w:szCs w:val="21"/>
          <w:lang w:val="en-US" w:eastAsia="zh-CN" w:bidi="ar"/>
          <w14:textFill>
            <w14:solidFill>
              <w14:schemeClr w14:val="tx1"/>
            </w14:solidFill>
          </w14:textFill>
        </w:rPr>
        <w:t>图6-2 耕地、园地复垦典型设计图</w:t>
      </w:r>
    </w:p>
    <w:p>
      <w:pPr>
        <w:pStyle w:val="15"/>
        <w:keepNext w:val="0"/>
        <w:keepLines w:val="0"/>
        <w:pageBreakBefore w:val="0"/>
        <w:widowControl w:val="0"/>
        <w:kinsoku/>
        <w:wordWrap/>
        <w:overflowPunct/>
        <w:topLinePunct w:val="0"/>
        <w:autoSpaceDE/>
        <w:autoSpaceDN/>
        <w:bidi w:val="0"/>
        <w:adjustRightInd/>
        <w:snapToGrid/>
        <w:spacing w:after="0"/>
        <w:ind w:left="0" w:firstLine="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53100" cy="2043430"/>
            <wp:effectExtent l="0" t="0" r="0" b="1397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16"/>
                    <a:stretch>
                      <a:fillRect/>
                    </a:stretch>
                  </pic:blipFill>
                  <pic:spPr>
                    <a:xfrm>
                      <a:off x="0" y="0"/>
                      <a:ext cx="5753100" cy="2043430"/>
                    </a:xfrm>
                    <a:prstGeom prst="rect">
                      <a:avLst/>
                    </a:prstGeom>
                    <a:noFill/>
                    <a:ln>
                      <a:noFill/>
                    </a:ln>
                  </pic:spPr>
                </pic:pic>
              </a:graphicData>
            </a:graphic>
          </wp:inline>
        </w:drawing>
      </w:r>
    </w:p>
    <w:p>
      <w:pPr>
        <w:pStyle w:val="8"/>
        <w:jc w:val="center"/>
        <w:rPr>
          <w:rFonts w:hint="default" w:ascii="黑体" w:hAnsi="黑体" w:eastAsia="黑体" w:cs="黑体"/>
          <w:color w:val="000000" w:themeColor="text1"/>
          <w:kern w:val="0"/>
          <w:sz w:val="21"/>
          <w:szCs w:val="21"/>
          <w:lang w:val="en-US" w:eastAsia="zh-CN" w:bidi="ar"/>
          <w14:textFill>
            <w14:solidFill>
              <w14:schemeClr w14:val="tx1"/>
            </w14:solidFill>
          </w14:textFill>
        </w:rPr>
      </w:pPr>
      <w:r>
        <w:rPr>
          <w:rFonts w:hint="eastAsia" w:ascii="黑体" w:hAnsi="黑体" w:eastAsia="黑体" w:cs="黑体"/>
          <w:color w:val="000000" w:themeColor="text1"/>
          <w:kern w:val="0"/>
          <w:sz w:val="21"/>
          <w:szCs w:val="21"/>
          <w:lang w:val="en-US" w:eastAsia="zh-CN" w:bidi="ar"/>
          <w14:textFill>
            <w14:solidFill>
              <w14:schemeClr w14:val="tx1"/>
            </w14:solidFill>
          </w14:textFill>
        </w:rPr>
        <w:t>图6-3 其他土地区域复垦典型设计图</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color w:val="000000" w:themeColor="text1"/>
          <w14:textFill>
            <w14:solidFill>
              <w14:schemeClr w14:val="tx1"/>
            </w14:solidFill>
          </w14:textFill>
        </w:rPr>
      </w:pPr>
    </w:p>
    <w:p>
      <w:pPr>
        <w:pStyle w:val="5"/>
        <w:pageBreakBefore w:val="0"/>
        <w:kinsoku/>
        <w:wordWrap/>
        <w:topLinePunct w:val="0"/>
        <w:bidi w:val="0"/>
        <w:adjustRightInd w:val="0"/>
        <w:snapToGrid w:val="0"/>
        <w:spacing w:before="0" w:after="0" w:line="360" w:lineRule="auto"/>
        <w:rPr>
          <w:rFonts w:hint="eastAsia" w:ascii="黑体" w:hAnsi="黑体" w:cs="黑体"/>
          <w:b w:val="0"/>
          <w:color w:val="000000" w:themeColor="text1"/>
          <w:sz w:val="30"/>
          <w:szCs w:val="30"/>
          <w14:textFill>
            <w14:solidFill>
              <w14:schemeClr w14:val="tx1"/>
            </w14:solidFill>
          </w14:textFill>
        </w:rPr>
      </w:pPr>
      <w:bookmarkStart w:id="142" w:name="_Toc25746"/>
      <w:bookmarkStart w:id="143" w:name="_Toc18047"/>
      <w:r>
        <w:rPr>
          <w:rFonts w:hint="eastAsia" w:ascii="Times New Roman" w:hAnsi="Times New Roman" w:eastAsia="仿宋_GB2312"/>
          <w:b w:val="0"/>
          <w:color w:val="000000" w:themeColor="text1"/>
          <w:sz w:val="30"/>
          <w:szCs w:val="30"/>
          <w14:textFill>
            <w14:solidFill>
              <w14:schemeClr w14:val="tx1"/>
            </w14:solidFill>
          </w14:textFill>
        </w:rPr>
        <w:t>6</w:t>
      </w:r>
      <w:r>
        <w:rPr>
          <w:rFonts w:ascii="Times New Roman" w:hAnsi="Times New Roman" w:eastAsia="仿宋_GB2312"/>
          <w:b w:val="0"/>
          <w:color w:val="000000" w:themeColor="text1"/>
          <w:sz w:val="30"/>
          <w:szCs w:val="30"/>
          <w14:textFill>
            <w14:solidFill>
              <w14:schemeClr w14:val="tx1"/>
            </w14:solidFill>
          </w14:textFill>
        </w:rPr>
        <w:t xml:space="preserve">.2 </w:t>
      </w:r>
      <w:bookmarkEnd w:id="142"/>
      <w:r>
        <w:rPr>
          <w:rFonts w:hint="eastAsia" w:ascii="黑体" w:hAnsi="黑体" w:cs="黑体"/>
          <w:b w:val="0"/>
          <w:color w:val="000000" w:themeColor="text1"/>
          <w:sz w:val="30"/>
          <w:szCs w:val="30"/>
          <w14:textFill>
            <w14:solidFill>
              <w14:schemeClr w14:val="tx1"/>
            </w14:solidFill>
          </w14:textFill>
        </w:rPr>
        <w:t>土地复垦</w:t>
      </w:r>
      <w:r>
        <w:rPr>
          <w:rFonts w:hint="eastAsia" w:ascii="黑体" w:hAnsi="黑体" w:cs="黑体"/>
          <w:b w:val="0"/>
          <w:color w:val="000000" w:themeColor="text1"/>
          <w:sz w:val="30"/>
          <w:szCs w:val="30"/>
          <w:lang w:eastAsia="zh-CN"/>
          <w14:textFill>
            <w14:solidFill>
              <w14:schemeClr w14:val="tx1"/>
            </w14:solidFill>
          </w14:textFill>
        </w:rPr>
        <w:t>措施及工程量</w:t>
      </w:r>
      <w:bookmarkEnd w:id="143"/>
    </w:p>
    <w:p>
      <w:pPr>
        <w:pStyle w:val="6"/>
        <w:pageBreakBefore w:val="0"/>
        <w:kinsoku/>
        <w:wordWrap/>
        <w:topLinePunct w:val="0"/>
        <w:bidi w:val="0"/>
        <w:adjustRightInd w:val="0"/>
        <w:snapToGrid w:val="0"/>
        <w:spacing w:before="0" w:beforeAutospacing="0" w:after="0" w:afterAutospacing="0" w:line="360" w:lineRule="auto"/>
        <w:rPr>
          <w:rFonts w:hint="default" w:ascii="Times New Roman" w:hAnsi="Times New Roman" w:eastAsia="黑体" w:cs="Times New Roman"/>
          <w:bCs/>
          <w:color w:val="000000" w:themeColor="text1"/>
          <w:sz w:val="28"/>
          <w:lang w:val="en-US" w:eastAsia="zh-CN"/>
          <w14:textFill>
            <w14:solidFill>
              <w14:schemeClr w14:val="tx1"/>
            </w14:solidFill>
          </w14:textFill>
        </w:rPr>
      </w:pPr>
      <w:bookmarkStart w:id="144" w:name="_Toc383432829"/>
      <w:bookmarkEnd w:id="144"/>
      <w:bookmarkStart w:id="145" w:name="_Toc383432827"/>
      <w:bookmarkEnd w:id="145"/>
      <w:bookmarkStart w:id="146" w:name="_Toc383432925"/>
      <w:r>
        <w:rPr>
          <w:rFonts w:hint="default" w:ascii="Times New Roman" w:hAnsi="Times New Roman" w:eastAsia="黑体" w:cs="Times New Roman"/>
          <w:bCs/>
          <w:color w:val="000000" w:themeColor="text1"/>
          <w:sz w:val="28"/>
          <w:lang w:val="en-US" w:eastAsia="zh-CN"/>
          <w14:textFill>
            <w14:solidFill>
              <w14:schemeClr w14:val="tx1"/>
            </w14:solidFill>
          </w14:textFill>
        </w:rPr>
        <w:t>6.2.1</w:t>
      </w:r>
      <w:r>
        <w:rPr>
          <w:rFonts w:hint="eastAsia" w:eastAsia="黑体" w:cs="Times New Roman"/>
          <w:bCs/>
          <w:color w:val="000000" w:themeColor="text1"/>
          <w:sz w:val="28"/>
          <w:lang w:val="en-US" w:eastAsia="zh-CN"/>
          <w14:textFill>
            <w14:solidFill>
              <w14:schemeClr w14:val="tx1"/>
            </w14:solidFill>
          </w14:textFill>
        </w:rPr>
        <w:t>喀什市</w:t>
      </w:r>
    </w:p>
    <w:bookmarkEnd w:id="146"/>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bookmarkStart w:id="147" w:name="_Toc1732"/>
      <w:bookmarkStart w:id="148" w:name="_Toc5916"/>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土地复垦措施主要包括</w:t>
      </w:r>
      <w:r>
        <w:rPr>
          <w:rFonts w:hint="eastAsia" w:eastAsia="仿宋_GB2312" w:cs="Times New Roman"/>
          <w:b w:val="0"/>
          <w:bCs/>
          <w:color w:val="000000" w:themeColor="text1"/>
          <w:sz w:val="24"/>
          <w:lang w:val="en-US" w:eastAsia="zh-CN"/>
          <w14:textFill>
            <w14:solidFill>
              <w14:schemeClr w14:val="tx1"/>
            </w14:solidFill>
          </w14:textFill>
        </w:rPr>
        <w:t>表土剥离及堆放（由建设单位完成，不计入复垦工程量）</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（纳入主体工程）、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机械拆除场地硬化区及外运、</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平整土地、表土回覆工程、</w:t>
      </w:r>
      <w:r>
        <w:rPr>
          <w:rFonts w:hint="eastAsia" w:eastAsia="仿宋_GB2312" w:cs="Times New Roman"/>
          <w:color w:val="000000" w:themeColor="text1"/>
          <w:sz w:val="24"/>
          <w:szCs w:val="24"/>
          <w:lang w:val="en-US" w:eastAsia="zh-CN"/>
          <w14:textFill>
            <w14:solidFill>
              <w14:schemeClr w14:val="tx1"/>
            </w14:solidFill>
          </w14:textFill>
        </w:rPr>
        <w:t>土地翻耕、</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土壤培肥、</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监测工程等措施。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eastAsia="zh-CN"/>
          <w14:textFill>
            <w14:solidFill>
              <w14:schemeClr w14:val="tx1"/>
            </w14:solidFill>
          </w14:textFill>
        </w:rPr>
        <w:t>表土剥离及堆放（由建设单位完成，不计入复垦工程量）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eastAsia="仿宋_GB2312" w:cs="Times New Roman"/>
          <w:b w:val="0"/>
          <w:bCs/>
          <w:color w:val="000000" w:themeColor="text1"/>
          <w:sz w:val="24"/>
          <w:lang w:val="en-US" w:eastAsia="zh-CN"/>
          <w14:textFill>
            <w14:solidFill>
              <w14:schemeClr w14:val="tx1"/>
            </w14:solidFill>
          </w14:textFill>
        </w:rPr>
        <w:t>水浇地覆土厚度0.5m，覆土面积0.0824公顷，</w:t>
      </w:r>
      <w:r>
        <w:rPr>
          <w:rFonts w:ascii="Times New Roman" w:hAnsi="Times New Roman" w:eastAsia="仿宋_GB2312" w:cs="Times New Roman"/>
          <w:b w:val="0"/>
          <w:bCs/>
          <w:color w:val="000000" w:themeColor="text1"/>
          <w:sz w:val="24"/>
          <w14:textFill>
            <w14:solidFill>
              <w14:schemeClr w14:val="tx1"/>
            </w14:solidFill>
          </w14:textFill>
        </w:rPr>
        <w:t>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412</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ascii="Times New Roman" w:hAnsi="Times New Roman" w:eastAsia="仿宋_GB2312" w:cs="Times New Roman"/>
          <w:b w:val="0"/>
          <w:bCs/>
          <w:color w:val="000000" w:themeColor="text1"/>
          <w:sz w:val="24"/>
          <w14:textFill>
            <w14:solidFill>
              <w14:schemeClr w14:val="tx1"/>
            </w14:solidFill>
          </w14:textFill>
        </w:rPr>
        <w:t>故需对</w:t>
      </w:r>
      <w:r>
        <w:rPr>
          <w:rFonts w:hint="eastAsia" w:ascii="Times New Roman" w:hAnsi="Times New Roman" w:eastAsia="仿宋_GB2312" w:cs="Times New Roman"/>
          <w:b w:val="0"/>
          <w:bCs/>
          <w:color w:val="000000" w:themeColor="text1"/>
          <w:sz w:val="24"/>
          <w14:textFill>
            <w14:solidFill>
              <w14:schemeClr w14:val="tx1"/>
            </w14:solidFill>
          </w14:textFill>
        </w:rPr>
        <w:t>该区</w:t>
      </w:r>
      <w:r>
        <w:rPr>
          <w:rFonts w:ascii="Times New Roman" w:hAnsi="Times New Roman" w:eastAsia="仿宋_GB2312" w:cs="Times New Roman"/>
          <w:b w:val="0"/>
          <w:bCs/>
          <w:color w:val="000000" w:themeColor="text1"/>
          <w:sz w:val="24"/>
          <w14:textFill>
            <w14:solidFill>
              <w14:schemeClr w14:val="tx1"/>
            </w14:solidFill>
          </w14:textFill>
        </w:rPr>
        <w:t>在项目建设之前进行表土剥离</w:t>
      </w:r>
      <w:r>
        <w:rPr>
          <w:rFonts w:hint="eastAsia" w:ascii="Times New Roman" w:hAnsi="Times New Roman" w:eastAsia="仿宋_GB2312" w:cs="Times New Roman"/>
          <w:b w:val="0"/>
          <w:bCs/>
          <w:color w:val="000000" w:themeColor="text1"/>
          <w:sz w:val="24"/>
          <w14:textFill>
            <w14:solidFill>
              <w14:schemeClr w14:val="tx1"/>
            </w14:solidFill>
          </w14:textFill>
        </w:rPr>
        <w:t>，就近剥离与覆土不考虑损耗，本项目</w:t>
      </w:r>
      <w:r>
        <w:rPr>
          <w:rFonts w:hint="eastAsia" w:eastAsia="仿宋_GB2312" w:cs="Times New Roman"/>
          <w:b w:val="0"/>
          <w:bCs/>
          <w:color w:val="000000" w:themeColor="text1"/>
          <w:sz w:val="24"/>
          <w:lang w:val="en-US" w:eastAsia="zh-CN"/>
          <w14:textFill>
            <w14:solidFill>
              <w14:schemeClr w14:val="tx1"/>
            </w14:solidFill>
          </w14:textFill>
        </w:rPr>
        <w:t>水浇地</w:t>
      </w:r>
      <w:r>
        <w:rPr>
          <w:rFonts w:hint="eastAsia" w:ascii="Times New Roman" w:hAnsi="Times New Roman" w:eastAsia="仿宋_GB2312" w:cs="Times New Roman"/>
          <w:b w:val="0"/>
          <w:bCs/>
          <w:color w:val="000000" w:themeColor="text1"/>
          <w:sz w:val="24"/>
          <w14:textFill>
            <w14:solidFill>
              <w14:schemeClr w14:val="tx1"/>
            </w14:solidFill>
          </w14:textFill>
        </w:rPr>
        <w:t>剥离厚度0.</w:t>
      </w:r>
      <w:r>
        <w:rPr>
          <w:rFonts w:hint="eastAsia"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m，</w:t>
      </w:r>
      <w:r>
        <w:rPr>
          <w:rFonts w:ascii="Times New Roman" w:hAnsi="Times New Roman" w:eastAsia="仿宋_GB2312" w:cs="Times New Roman"/>
          <w:b w:val="0"/>
          <w:bCs/>
          <w:color w:val="000000" w:themeColor="text1"/>
          <w:sz w:val="24"/>
          <w14:textFill>
            <w14:solidFill>
              <w14:schemeClr w14:val="tx1"/>
            </w14:solidFill>
          </w14:textFill>
        </w:rPr>
        <w:t>共计剥离表土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412</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可满足该项目覆土的需求，表土剥离已纳入主体工程内容，不纳入预算范围</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b）机械拆除场地硬化区及外运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该区域拆除硬化方量458立方米，砌筑方量100立方米，总计拆除及外运硬化方量558立方米，平均运输距离10千米。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）平整土地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需平整区域</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5.8542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扣除公路用地及农村道路区域面积</w:t>
      </w:r>
      <w:r>
        <w:rPr>
          <w:rFonts w:hint="eastAsia"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，该区土地平整需推运土方</w:t>
      </w:r>
      <w:r>
        <w:rPr>
          <w:rFonts w:hint="eastAsia" w:eastAsia="仿宋_GB2312" w:cs="Times New Roman"/>
          <w:b w:val="0"/>
          <w:bCs/>
          <w:color w:val="000000" w:themeColor="text1"/>
          <w:sz w:val="24"/>
          <w:lang w:val="en-US" w:eastAsia="zh-CN"/>
          <w14:textFill>
            <w14:solidFill>
              <w14:schemeClr w14:val="tx1"/>
            </w14:solidFill>
          </w14:textFill>
        </w:rPr>
        <w:t>5.8542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公顷*1500立方米/公顷=</w:t>
      </w:r>
      <w:r>
        <w:rPr>
          <w:rFonts w:hint="eastAsia" w:eastAsia="仿宋_GB2312" w:cs="Times New Roman"/>
          <w:b w:val="0"/>
          <w:bCs/>
          <w:color w:val="000000" w:themeColor="text1"/>
          <w:sz w:val="24"/>
          <w:lang w:val="en-US" w:eastAsia="zh-CN"/>
          <w14:textFill>
            <w14:solidFill>
              <w14:schemeClr w14:val="tx1"/>
            </w14:solidFill>
          </w14:textFill>
        </w:rPr>
        <w:t>8781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立方米，土方推运距离10-20米。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d</w:t>
      </w:r>
      <w:r>
        <w:rPr>
          <w:rFonts w:hint="eastAsia" w:ascii="Times New Roman" w:hAnsi="Times New Roman" w:eastAsia="仿宋_GB2312" w:cs="Times New Roman"/>
          <w:b w:val="0"/>
          <w:bCs/>
          <w:color w:val="000000" w:themeColor="text1"/>
          <w:sz w:val="24"/>
          <w:lang w:val="sq-AL"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表土回覆工程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该区覆土面积</w:t>
      </w:r>
      <w:r>
        <w:rPr>
          <w:rFonts w:hint="eastAsia" w:eastAsia="仿宋_GB2312" w:cs="Times New Roman"/>
          <w:b w:val="0"/>
          <w:bCs/>
          <w:color w:val="000000" w:themeColor="text1"/>
          <w:sz w:val="24"/>
          <w:lang w:val="en-US" w:eastAsia="zh-CN"/>
          <w14:textFill>
            <w14:solidFill>
              <w14:schemeClr w14:val="tx1"/>
            </w14:solidFill>
          </w14:textFill>
        </w:rPr>
        <w:t>0.0824</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412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立方米，表土回覆平均推运距离</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10-20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hAnsi="Times New Roman" w:eastAsia="仿宋_GB2312" w:cs="Times New Roman"/>
          <w:color w:val="000000" w:themeColor="text1"/>
          <w:kern w:val="0"/>
          <w:sz w:val="24"/>
          <w:lang w:val="en-US" w:eastAsia="zh-CN"/>
          <w14:textFill>
            <w14:solidFill>
              <w14:schemeClr w14:val="tx1"/>
            </w14:solidFill>
          </w14:textFill>
        </w:rPr>
      </w:pPr>
      <w:r>
        <w:rPr>
          <w:rFonts w:hint="eastAsia" w:ascii="仿宋_GB2312" w:eastAsia="仿宋_GB2312" w:cs="Times New Roman"/>
          <w:color w:val="000000" w:themeColor="text1"/>
          <w:kern w:val="0"/>
          <w:sz w:val="24"/>
          <w:lang w:val="en-US" w:eastAsia="zh-CN"/>
          <w14:textFill>
            <w14:solidFill>
              <w14:schemeClr w14:val="tx1"/>
            </w14:solidFill>
          </w14:textFill>
        </w:rPr>
        <w:t>e</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）土地翻耕措施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000000" w:themeColor="text1"/>
          <w14:textFill>
            <w14:solidFill>
              <w14:schemeClr w14:val="tx1"/>
            </w14:solidFill>
          </w14:textFill>
        </w:rPr>
      </w:pP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由于临时占地土地损毁类型为压占，重型机械的压实，造成地表板结，直接在此基础上进行耕种，不利于水分渗透和通风，</w:t>
      </w:r>
      <w:r>
        <w:rPr>
          <w:rFonts w:hint="eastAsia" w:ascii="仿宋_GB2312" w:eastAsia="仿宋_GB2312" w:cs="Times New Roman"/>
          <w:color w:val="000000" w:themeColor="text1"/>
          <w:kern w:val="0"/>
          <w:sz w:val="24"/>
          <w:lang w:val="en-US" w:eastAsia="zh-CN"/>
          <w14:textFill>
            <w14:solidFill>
              <w14:schemeClr w14:val="tx1"/>
            </w14:solidFill>
          </w14:textFill>
        </w:rPr>
        <w:t>妨碍植被生长</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；故需要对复垦责任范围区域内</w:t>
      </w:r>
      <w:r>
        <w:rPr>
          <w:rFonts w:hint="eastAsia" w:ascii="仿宋_GB2312" w:eastAsia="仿宋_GB2312" w:cs="Times New Roman"/>
          <w:color w:val="000000" w:themeColor="text1"/>
          <w:kern w:val="0"/>
          <w:sz w:val="24"/>
          <w:lang w:val="en-US" w:eastAsia="zh-CN"/>
          <w14:textFill>
            <w14:solidFill>
              <w14:schemeClr w14:val="tx1"/>
            </w14:solidFill>
          </w14:textFill>
        </w:rPr>
        <w:t>的耕地、种植园用地、</w:t>
      </w:r>
      <w:r>
        <w:rPr>
          <w:rFonts w:hint="eastAsia" w:eastAsia="仿宋_GB2312"/>
          <w:color w:val="000000" w:themeColor="text1"/>
          <w:sz w:val="24"/>
          <w:lang w:val="en-US" w:eastAsia="zh-CN"/>
          <w14:textFill>
            <w14:solidFill>
              <w14:schemeClr w14:val="tx1"/>
            </w14:solidFill>
          </w14:textFill>
        </w:rPr>
        <w:t>林地</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进行土地翻耕</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该区</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土地翻耕</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0.0824</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eastAsia="仿宋_GB2312" w:cs="Times New Roman"/>
          <w:b w:val="0"/>
          <w:bCs w:val="0"/>
          <w:color w:val="000000" w:themeColor="text1"/>
          <w:sz w:val="24"/>
          <w:lang w:val="en-US" w:eastAsia="zh-CN"/>
          <w14:textFill>
            <w14:solidFill>
              <w14:schemeClr w14:val="tx1"/>
            </w14:solidFill>
          </w14:textFill>
        </w:rPr>
        <w:t>f</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4"/>
          <w:lang w:val="en-US" w:eastAsia="zh-CN"/>
          <w14:textFill>
            <w14:solidFill>
              <w14:schemeClr w14:val="tx1"/>
            </w14:solidFill>
          </w14:textFill>
        </w:rPr>
        <w:t>土壤培肥</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复垦过程中于按照</w:t>
      </w:r>
      <w:r>
        <w:rPr>
          <w:rFonts w:hint="eastAsia" w:ascii="Times New Roman" w:hAnsi="Times New Roman" w:eastAsia="仿宋_GB2312" w:cs="Times New Roman"/>
          <w:b w:val="0"/>
          <w:bCs w:val="0"/>
          <w:color w:val="000000" w:themeColor="text1"/>
          <w:sz w:val="24"/>
          <w14:textFill>
            <w14:solidFill>
              <w14:schemeClr w14:val="tx1"/>
            </w14:solidFill>
          </w14:textFill>
        </w:rPr>
        <w:t>每亩地施用腐熟的农家肥1</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val="0"/>
          <w:color w:val="000000" w:themeColor="text1"/>
          <w:sz w:val="24"/>
          <w14:textFill>
            <w14:solidFill>
              <w14:schemeClr w14:val="tx1"/>
            </w14:solidFill>
          </w14:textFill>
        </w:rPr>
        <w:t>00千克</w:t>
      </w:r>
      <w:r>
        <w:rPr>
          <w:rFonts w:hint="eastAsia" w:eastAsia="仿宋_GB2312" w:cs="Times New Roman"/>
          <w:b w:val="0"/>
          <w:bCs w:val="0"/>
          <w:color w:val="000000" w:themeColor="text1"/>
          <w:sz w:val="24"/>
          <w:lang w:val="en-US" w:eastAsia="zh-CN"/>
          <w14:textFill>
            <w14:solidFill>
              <w14:schemeClr w14:val="tx1"/>
            </w14:solidFill>
          </w14:textFill>
        </w:rPr>
        <w:t>对</w:t>
      </w:r>
      <w:r>
        <w:rPr>
          <w:rFonts w:hint="eastAsia" w:ascii="仿宋_GB2312" w:eastAsia="仿宋_GB2312" w:cs="Times New Roman"/>
          <w:color w:val="000000" w:themeColor="text1"/>
          <w:kern w:val="0"/>
          <w:sz w:val="24"/>
          <w:lang w:val="en-US" w:eastAsia="zh-CN"/>
          <w14:textFill>
            <w14:solidFill>
              <w14:schemeClr w14:val="tx1"/>
            </w14:solidFill>
          </w14:textFill>
        </w:rPr>
        <w:t>耕地、种植园用地、</w:t>
      </w:r>
      <w:r>
        <w:rPr>
          <w:rFonts w:hint="eastAsia" w:eastAsia="仿宋_GB2312"/>
          <w:color w:val="000000" w:themeColor="text1"/>
          <w:sz w:val="24"/>
          <w:lang w:val="en-US" w:eastAsia="zh-CN"/>
          <w14:textFill>
            <w14:solidFill>
              <w14:schemeClr w14:val="tx1"/>
            </w14:solidFill>
          </w14:textFill>
        </w:rPr>
        <w:t>林地进行培肥</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该区</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土壤培肥面积</w:t>
      </w:r>
      <w:r>
        <w:rPr>
          <w:rFonts w:hint="eastAsia" w:eastAsia="仿宋_GB2312" w:cs="Times New Roman"/>
          <w:b w:val="0"/>
          <w:bCs/>
          <w:color w:val="000000" w:themeColor="text1"/>
          <w:sz w:val="24"/>
          <w:lang w:val="en-US" w:eastAsia="zh-CN"/>
          <w14:textFill>
            <w14:solidFill>
              <w14:schemeClr w14:val="tx1"/>
            </w14:solidFill>
          </w14:textFill>
        </w:rPr>
        <w:t>0.0824</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g</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拟设置监测点</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处，持续监测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年，拟安排2名工作人员进行监测，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每年监测2次，5月、9月各监测1次，土壤监测次数合计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土地损毁监测设置监测点</w:t>
      </w:r>
      <w:r>
        <w:rPr>
          <w:rFonts w:hint="eastAsia" w:eastAsia="仿宋_GB2312" w:cs="Times New Roman"/>
          <w:b w:val="0"/>
          <w:bCs/>
          <w:color w:val="000000" w:themeColor="text1"/>
          <w:sz w:val="24"/>
          <w:lang w:val="en-US" w:eastAsia="zh-CN"/>
          <w14:textFill>
            <w14:solidFill>
              <w14:schemeClr w14:val="tx1"/>
            </w14:solidFill>
          </w14:textFill>
        </w:rPr>
        <w:t>4</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处，施工期（2年）每年监测2次，</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监测次数合计</w:t>
      </w:r>
      <w:r>
        <w:rPr>
          <w:rFonts w:hint="eastAsia" w:eastAsia="仿宋_GB2312" w:cs="Times New Roman"/>
          <w:b w:val="0"/>
          <w:bCs/>
          <w:color w:val="000000" w:themeColor="text1"/>
          <w:sz w:val="24"/>
          <w:lang w:val="en-US" w:eastAsia="zh-CN"/>
          <w14:textFill>
            <w14:solidFill>
              <w14:schemeClr w14:val="tx1"/>
            </w14:solidFill>
          </w14:textFill>
        </w:rPr>
        <w:t>16</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p>
    <w:p>
      <w:pPr>
        <w:pStyle w:val="6"/>
        <w:pageBreakBefore w:val="0"/>
        <w:kinsoku/>
        <w:wordWrap/>
        <w:topLinePunct w:val="0"/>
        <w:bidi w:val="0"/>
        <w:adjustRightInd w:val="0"/>
        <w:snapToGrid w:val="0"/>
        <w:spacing w:before="0" w:beforeAutospacing="0" w:after="0" w:afterAutospacing="0" w:line="360" w:lineRule="auto"/>
        <w:rPr>
          <w:rFonts w:hint="eastAsia" w:ascii="Times New Roman" w:hAnsi="Times New Roman" w:eastAsia="黑体" w:cs="Times New Roman"/>
          <w:bCs/>
          <w:color w:val="000000" w:themeColor="text1"/>
          <w:sz w:val="28"/>
          <w:lang w:val="en-US" w:eastAsia="zh-CN"/>
          <w14:textFill>
            <w14:solidFill>
              <w14:schemeClr w14:val="tx1"/>
            </w14:solidFill>
          </w14:textFill>
        </w:rPr>
      </w:pPr>
      <w:r>
        <w:rPr>
          <w:rFonts w:hint="default" w:ascii="Times New Roman" w:hAnsi="Times New Roman" w:eastAsia="黑体" w:cs="Times New Roman"/>
          <w:bCs/>
          <w:color w:val="000000" w:themeColor="text1"/>
          <w:sz w:val="28"/>
          <w:lang w:val="en-US" w:eastAsia="zh-CN"/>
          <w14:textFill>
            <w14:solidFill>
              <w14:schemeClr w14:val="tx1"/>
            </w14:solidFill>
          </w14:textFill>
        </w:rPr>
        <w:t>6.2.</w:t>
      </w:r>
      <w:r>
        <w:rPr>
          <w:rFonts w:hint="eastAsia" w:ascii="Times New Roman" w:hAnsi="Times New Roman" w:eastAsia="黑体" w:cs="Times New Roman"/>
          <w:bCs/>
          <w:color w:val="000000" w:themeColor="text1"/>
          <w:sz w:val="28"/>
          <w:lang w:val="en-US" w:eastAsia="zh-CN"/>
          <w14:textFill>
            <w14:solidFill>
              <w14:schemeClr w14:val="tx1"/>
            </w14:solidFill>
          </w14:textFill>
        </w:rPr>
        <w:t>2疏附县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土地复垦措施主要包括</w:t>
      </w:r>
      <w:r>
        <w:rPr>
          <w:rFonts w:hint="eastAsia" w:eastAsia="仿宋_GB2312" w:cs="Times New Roman"/>
          <w:b w:val="0"/>
          <w:bCs/>
          <w:color w:val="000000" w:themeColor="text1"/>
          <w:sz w:val="24"/>
          <w:lang w:val="en-US" w:eastAsia="zh-CN"/>
          <w14:textFill>
            <w14:solidFill>
              <w14:schemeClr w14:val="tx1"/>
            </w14:solidFill>
          </w14:textFill>
        </w:rPr>
        <w:t>表土剥离及堆放（由建设单位完成，不计入复垦工程量）</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（纳入主体工程）、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机械拆除场地硬化区及外运、</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平整土地、表土回覆工程、</w:t>
      </w:r>
      <w:r>
        <w:rPr>
          <w:rFonts w:hint="eastAsia" w:eastAsia="仿宋_GB2312" w:cs="Times New Roman"/>
          <w:color w:val="000000" w:themeColor="text1"/>
          <w:sz w:val="24"/>
          <w:szCs w:val="24"/>
          <w:lang w:val="en-US" w:eastAsia="zh-CN"/>
          <w14:textFill>
            <w14:solidFill>
              <w14:schemeClr w14:val="tx1"/>
            </w14:solidFill>
          </w14:textFill>
        </w:rPr>
        <w:t>土地翻耕、</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土壤培肥、</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监测工程等措施。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eastAsia="zh-CN"/>
          <w14:textFill>
            <w14:solidFill>
              <w14:schemeClr w14:val="tx1"/>
            </w14:solidFill>
          </w14:textFill>
        </w:rPr>
        <w:t>表土剥离及堆放（由建设单位完成，不计入复垦工程量）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eastAsia="仿宋_GB2312" w:cs="Times New Roman"/>
          <w:b w:val="0"/>
          <w:bCs/>
          <w:color w:val="000000" w:themeColor="text1"/>
          <w:sz w:val="24"/>
          <w:lang w:val="en-US" w:eastAsia="zh-CN"/>
          <w14:textFill>
            <w14:solidFill>
              <w14:schemeClr w14:val="tx1"/>
            </w14:solidFill>
          </w14:textFill>
        </w:rPr>
        <w:t>水浇地、果园覆土厚度0.5m，覆土面积0.7980公顷，</w:t>
      </w:r>
      <w:r>
        <w:rPr>
          <w:rFonts w:ascii="Times New Roman" w:hAnsi="Times New Roman" w:eastAsia="仿宋_GB2312" w:cs="Times New Roman"/>
          <w:b w:val="0"/>
          <w:bCs/>
          <w:color w:val="000000" w:themeColor="text1"/>
          <w:sz w:val="24"/>
          <w14:textFill>
            <w14:solidFill>
              <w14:schemeClr w14:val="tx1"/>
            </w14:solidFill>
          </w14:textFill>
        </w:rPr>
        <w:t>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3990</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ascii="Times New Roman" w:hAnsi="Times New Roman" w:eastAsia="仿宋_GB2312" w:cs="Times New Roman"/>
          <w:b w:val="0"/>
          <w:bCs/>
          <w:color w:val="000000" w:themeColor="text1"/>
          <w:sz w:val="24"/>
          <w14:textFill>
            <w14:solidFill>
              <w14:schemeClr w14:val="tx1"/>
            </w14:solidFill>
          </w14:textFill>
        </w:rPr>
        <w:t>故需对</w:t>
      </w:r>
      <w:r>
        <w:rPr>
          <w:rFonts w:hint="eastAsia" w:ascii="Times New Roman" w:hAnsi="Times New Roman" w:eastAsia="仿宋_GB2312" w:cs="Times New Roman"/>
          <w:b w:val="0"/>
          <w:bCs/>
          <w:color w:val="000000" w:themeColor="text1"/>
          <w:sz w:val="24"/>
          <w14:textFill>
            <w14:solidFill>
              <w14:schemeClr w14:val="tx1"/>
            </w14:solidFill>
          </w14:textFill>
        </w:rPr>
        <w:t>该区</w:t>
      </w:r>
      <w:r>
        <w:rPr>
          <w:rFonts w:ascii="Times New Roman" w:hAnsi="Times New Roman" w:eastAsia="仿宋_GB2312" w:cs="Times New Roman"/>
          <w:b w:val="0"/>
          <w:bCs/>
          <w:color w:val="000000" w:themeColor="text1"/>
          <w:sz w:val="24"/>
          <w14:textFill>
            <w14:solidFill>
              <w14:schemeClr w14:val="tx1"/>
            </w14:solidFill>
          </w14:textFill>
        </w:rPr>
        <w:t>在项目建设之前进行表土剥离</w:t>
      </w:r>
      <w:r>
        <w:rPr>
          <w:rFonts w:hint="eastAsia" w:ascii="Times New Roman" w:hAnsi="Times New Roman" w:eastAsia="仿宋_GB2312" w:cs="Times New Roman"/>
          <w:b w:val="0"/>
          <w:bCs/>
          <w:color w:val="000000" w:themeColor="text1"/>
          <w:sz w:val="24"/>
          <w14:textFill>
            <w14:solidFill>
              <w14:schemeClr w14:val="tx1"/>
            </w14:solidFill>
          </w14:textFill>
        </w:rPr>
        <w:t>，就近剥离与覆土不考虑损耗，本项目</w:t>
      </w:r>
      <w:r>
        <w:rPr>
          <w:rFonts w:hint="eastAsia" w:eastAsia="仿宋_GB2312" w:cs="Times New Roman"/>
          <w:b w:val="0"/>
          <w:bCs/>
          <w:color w:val="000000" w:themeColor="text1"/>
          <w:sz w:val="24"/>
          <w:lang w:val="en-US" w:eastAsia="zh-CN"/>
          <w14:textFill>
            <w14:solidFill>
              <w14:schemeClr w14:val="tx1"/>
            </w14:solidFill>
          </w14:textFill>
        </w:rPr>
        <w:t>水浇地、果园</w:t>
      </w:r>
      <w:r>
        <w:rPr>
          <w:rFonts w:hint="eastAsia" w:ascii="Times New Roman" w:hAnsi="Times New Roman" w:eastAsia="仿宋_GB2312" w:cs="Times New Roman"/>
          <w:b w:val="0"/>
          <w:bCs/>
          <w:color w:val="000000" w:themeColor="text1"/>
          <w:sz w:val="24"/>
          <w14:textFill>
            <w14:solidFill>
              <w14:schemeClr w14:val="tx1"/>
            </w14:solidFill>
          </w14:textFill>
        </w:rPr>
        <w:t>剥离厚度0.</w:t>
      </w:r>
      <w:r>
        <w:rPr>
          <w:rFonts w:hint="eastAsia" w:eastAsia="仿宋_GB2312" w:cs="Times New Roman"/>
          <w:b w:val="0"/>
          <w:bCs/>
          <w:color w:val="000000" w:themeColor="text1"/>
          <w:sz w:val="24"/>
          <w:lang w:val="en-US" w:eastAsia="zh-CN"/>
          <w14:textFill>
            <w14:solidFill>
              <w14:schemeClr w14:val="tx1"/>
            </w14:solidFill>
          </w14:textFill>
        </w:rPr>
        <w:t>5</w:t>
      </w:r>
      <w:r>
        <w:rPr>
          <w:rFonts w:hint="eastAsia" w:ascii="Times New Roman" w:hAnsi="Times New Roman" w:eastAsia="仿宋_GB2312" w:cs="Times New Roman"/>
          <w:b w:val="0"/>
          <w:bCs/>
          <w:color w:val="000000" w:themeColor="text1"/>
          <w:sz w:val="24"/>
          <w14:textFill>
            <w14:solidFill>
              <w14:schemeClr w14:val="tx1"/>
            </w14:solidFill>
          </w14:textFill>
        </w:rPr>
        <w:t>m，</w:t>
      </w:r>
      <w:r>
        <w:rPr>
          <w:rFonts w:ascii="Times New Roman" w:hAnsi="Times New Roman" w:eastAsia="仿宋_GB2312" w:cs="Times New Roman"/>
          <w:b w:val="0"/>
          <w:bCs/>
          <w:color w:val="000000" w:themeColor="text1"/>
          <w:sz w:val="24"/>
          <w14:textFill>
            <w14:solidFill>
              <w14:schemeClr w14:val="tx1"/>
            </w14:solidFill>
          </w14:textFill>
        </w:rPr>
        <w:t>共计剥离表土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3990</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可满足该项目覆土的需求，表土剥离已纳入主体工程内容，不纳入预算范围</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b）机械拆除场地硬化区及外运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该区域拆除硬化方量311立方米，总计拆除及外运硬化方量311立方米，平均运输距离10千米。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）平整土地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需平整区域</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1.2629</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扣除公路用地及农村道路区域面积</w:t>
      </w:r>
      <w:r>
        <w:rPr>
          <w:rFonts w:hint="eastAsia"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，该区土地平整需推运土方</w:t>
      </w:r>
      <w:r>
        <w:rPr>
          <w:rFonts w:hint="eastAsia" w:eastAsia="仿宋_GB2312" w:cs="Times New Roman"/>
          <w:b w:val="0"/>
          <w:bCs/>
          <w:color w:val="000000" w:themeColor="text1"/>
          <w:sz w:val="24"/>
          <w:lang w:val="en-US" w:eastAsia="zh-CN"/>
          <w14:textFill>
            <w14:solidFill>
              <w14:schemeClr w14:val="tx1"/>
            </w14:solidFill>
          </w14:textFill>
        </w:rPr>
        <w:t>1.2629</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公顷*1500立方米/公顷=</w:t>
      </w:r>
      <w:r>
        <w:rPr>
          <w:rFonts w:hint="eastAsia" w:eastAsia="仿宋_GB2312" w:cs="Times New Roman"/>
          <w:b w:val="0"/>
          <w:bCs/>
          <w:color w:val="000000" w:themeColor="text1"/>
          <w:sz w:val="24"/>
          <w:lang w:val="en-US" w:eastAsia="zh-CN"/>
          <w14:textFill>
            <w14:solidFill>
              <w14:schemeClr w14:val="tx1"/>
            </w14:solidFill>
          </w14:textFill>
        </w:rPr>
        <w:t>1894</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立方米，土方推运距离10-20米。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d</w:t>
      </w:r>
      <w:r>
        <w:rPr>
          <w:rFonts w:hint="eastAsia" w:ascii="Times New Roman" w:hAnsi="Times New Roman" w:eastAsia="仿宋_GB2312" w:cs="Times New Roman"/>
          <w:b w:val="0"/>
          <w:bCs/>
          <w:color w:val="000000" w:themeColor="text1"/>
          <w:sz w:val="24"/>
          <w:lang w:val="sq-AL"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表土回覆工程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该区覆土面积</w:t>
      </w:r>
      <w:r>
        <w:rPr>
          <w:rFonts w:hint="eastAsia" w:eastAsia="仿宋_GB2312" w:cs="Times New Roman"/>
          <w:b w:val="0"/>
          <w:bCs/>
          <w:color w:val="000000" w:themeColor="text1"/>
          <w:sz w:val="24"/>
          <w:lang w:val="en-US" w:eastAsia="zh-CN"/>
          <w14:textFill>
            <w14:solidFill>
              <w14:schemeClr w14:val="tx1"/>
            </w14:solidFill>
          </w14:textFill>
        </w:rPr>
        <w:t>0.7980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3990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立方米，表土回覆平均推运距离</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10-20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hAnsi="Times New Roman" w:eastAsia="仿宋_GB2312" w:cs="Times New Roman"/>
          <w:color w:val="000000" w:themeColor="text1"/>
          <w:kern w:val="0"/>
          <w:sz w:val="24"/>
          <w:lang w:val="en-US" w:eastAsia="zh-CN"/>
          <w14:textFill>
            <w14:solidFill>
              <w14:schemeClr w14:val="tx1"/>
            </w14:solidFill>
          </w14:textFill>
        </w:rPr>
      </w:pP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e）土地翻耕措施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000000" w:themeColor="text1"/>
          <w14:textFill>
            <w14:solidFill>
              <w14:schemeClr w14:val="tx1"/>
            </w14:solidFill>
          </w14:textFill>
        </w:rPr>
      </w:pP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由于临时占地土地损毁类型为压占，重型机械的压实，造成地表板结，直接在此基础上进行耕种，不利于水分渗透和通风，</w:t>
      </w:r>
      <w:r>
        <w:rPr>
          <w:rFonts w:hint="eastAsia" w:ascii="仿宋_GB2312" w:eastAsia="仿宋_GB2312" w:cs="Times New Roman"/>
          <w:color w:val="000000" w:themeColor="text1"/>
          <w:kern w:val="0"/>
          <w:sz w:val="24"/>
          <w:lang w:val="en-US" w:eastAsia="zh-CN"/>
          <w14:textFill>
            <w14:solidFill>
              <w14:schemeClr w14:val="tx1"/>
            </w14:solidFill>
          </w14:textFill>
        </w:rPr>
        <w:t>妨碍植被生长</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；故需要对复垦责任范围区域内</w:t>
      </w:r>
      <w:r>
        <w:rPr>
          <w:rFonts w:hint="eastAsia" w:ascii="仿宋_GB2312" w:eastAsia="仿宋_GB2312" w:cs="Times New Roman"/>
          <w:color w:val="000000" w:themeColor="text1"/>
          <w:kern w:val="0"/>
          <w:sz w:val="24"/>
          <w:lang w:val="en-US" w:eastAsia="zh-CN"/>
          <w14:textFill>
            <w14:solidFill>
              <w14:schemeClr w14:val="tx1"/>
            </w14:solidFill>
          </w14:textFill>
        </w:rPr>
        <w:t>的耕地、种植园用地、</w:t>
      </w:r>
      <w:r>
        <w:rPr>
          <w:rFonts w:hint="eastAsia" w:eastAsia="仿宋_GB2312"/>
          <w:color w:val="000000" w:themeColor="text1"/>
          <w:sz w:val="24"/>
          <w:lang w:val="en-US" w:eastAsia="zh-CN"/>
          <w14:textFill>
            <w14:solidFill>
              <w14:schemeClr w14:val="tx1"/>
            </w14:solidFill>
          </w14:textFill>
        </w:rPr>
        <w:t>林地</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进行土地翻耕</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该区</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土地翻耕</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0.7980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f）</w:t>
      </w:r>
      <w:r>
        <w:rPr>
          <w:rFonts w:hint="default" w:ascii="Times New Roman" w:hAnsi="Times New Roman" w:eastAsia="仿宋_GB2312" w:cs="Times New Roman"/>
          <w:b w:val="0"/>
          <w:bCs w:val="0"/>
          <w:color w:val="000000" w:themeColor="text1"/>
          <w:sz w:val="24"/>
          <w:lang w:val="en-US" w:eastAsia="zh-CN"/>
          <w14:textFill>
            <w14:solidFill>
              <w14:schemeClr w14:val="tx1"/>
            </w14:solidFill>
          </w14:textFill>
        </w:rPr>
        <w:t>土壤培肥</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复垦过程中于按照</w:t>
      </w:r>
      <w:r>
        <w:rPr>
          <w:rFonts w:hint="eastAsia" w:ascii="Times New Roman" w:hAnsi="Times New Roman" w:eastAsia="仿宋_GB2312" w:cs="Times New Roman"/>
          <w:b w:val="0"/>
          <w:bCs w:val="0"/>
          <w:color w:val="000000" w:themeColor="text1"/>
          <w:sz w:val="24"/>
          <w14:textFill>
            <w14:solidFill>
              <w14:schemeClr w14:val="tx1"/>
            </w14:solidFill>
          </w14:textFill>
        </w:rPr>
        <w:t>每亩地施用腐熟的农家肥1</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val="0"/>
          <w:color w:val="000000" w:themeColor="text1"/>
          <w:sz w:val="24"/>
          <w14:textFill>
            <w14:solidFill>
              <w14:schemeClr w14:val="tx1"/>
            </w14:solidFill>
          </w14:textFill>
        </w:rPr>
        <w:t>00千克</w:t>
      </w:r>
      <w:r>
        <w:rPr>
          <w:rFonts w:hint="eastAsia" w:eastAsia="仿宋_GB2312" w:cs="Times New Roman"/>
          <w:b w:val="0"/>
          <w:bCs w:val="0"/>
          <w:color w:val="000000" w:themeColor="text1"/>
          <w:sz w:val="24"/>
          <w:lang w:val="en-US" w:eastAsia="zh-CN"/>
          <w14:textFill>
            <w14:solidFill>
              <w14:schemeClr w14:val="tx1"/>
            </w14:solidFill>
          </w14:textFill>
        </w:rPr>
        <w:t>对</w:t>
      </w:r>
      <w:r>
        <w:rPr>
          <w:rFonts w:hint="eastAsia" w:ascii="仿宋_GB2312" w:eastAsia="仿宋_GB2312" w:cs="Times New Roman"/>
          <w:color w:val="000000" w:themeColor="text1"/>
          <w:kern w:val="0"/>
          <w:sz w:val="24"/>
          <w:lang w:val="en-US" w:eastAsia="zh-CN"/>
          <w14:textFill>
            <w14:solidFill>
              <w14:schemeClr w14:val="tx1"/>
            </w14:solidFill>
          </w14:textFill>
        </w:rPr>
        <w:t>耕地、种植园用地、</w:t>
      </w:r>
      <w:r>
        <w:rPr>
          <w:rFonts w:hint="eastAsia" w:eastAsia="仿宋_GB2312"/>
          <w:color w:val="000000" w:themeColor="text1"/>
          <w:sz w:val="24"/>
          <w:lang w:val="en-US" w:eastAsia="zh-CN"/>
          <w14:textFill>
            <w14:solidFill>
              <w14:schemeClr w14:val="tx1"/>
            </w14:solidFill>
          </w14:textFill>
        </w:rPr>
        <w:t>林地进行培肥</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该区</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土壤培肥面积</w:t>
      </w:r>
      <w:r>
        <w:rPr>
          <w:rFonts w:hint="eastAsia" w:eastAsia="仿宋_GB2312" w:cs="Times New Roman"/>
          <w:b w:val="0"/>
          <w:bCs/>
          <w:color w:val="000000" w:themeColor="text1"/>
          <w:sz w:val="24"/>
          <w:lang w:val="en-US" w:eastAsia="zh-CN"/>
          <w14:textFill>
            <w14:solidFill>
              <w14:schemeClr w14:val="tx1"/>
            </w14:solidFill>
          </w14:textFill>
        </w:rPr>
        <w:t>0.7980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g</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拟设置监测点</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处，持续监测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年，拟安排2名工作人员进行监测，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每年监测2次，5月、9月各监测1次，土壤监测次数合计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土地损毁监测设置监测点</w:t>
      </w:r>
      <w:r>
        <w:rPr>
          <w:rFonts w:hint="eastAsia"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处，施工期（2年）每年监测2次，</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监测次数合计</w:t>
      </w:r>
      <w:r>
        <w:rPr>
          <w:rFonts w:hint="eastAsia" w:eastAsia="仿宋_GB2312" w:cs="Times New Roman"/>
          <w:b w:val="0"/>
          <w:bCs/>
          <w:color w:val="000000" w:themeColor="text1"/>
          <w:sz w:val="24"/>
          <w:lang w:val="en-US" w:eastAsia="zh-CN"/>
          <w14:textFill>
            <w14:solidFill>
              <w14:schemeClr w14:val="tx1"/>
            </w14:solidFill>
          </w14:textFill>
        </w:rPr>
        <w:t>12</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p>
    <w:p>
      <w:pPr>
        <w:pStyle w:val="6"/>
        <w:pageBreakBefore w:val="0"/>
        <w:kinsoku/>
        <w:wordWrap/>
        <w:topLinePunct w:val="0"/>
        <w:bidi w:val="0"/>
        <w:adjustRightInd w:val="0"/>
        <w:snapToGrid w:val="0"/>
        <w:spacing w:before="0" w:beforeAutospacing="0" w:after="0" w:afterAutospacing="0" w:line="360" w:lineRule="auto"/>
        <w:rPr>
          <w:rFonts w:hint="eastAsia" w:ascii="Times New Roman" w:hAnsi="Times New Roman" w:eastAsia="黑体" w:cs="Times New Roman"/>
          <w:bCs/>
          <w:color w:val="000000" w:themeColor="text1"/>
          <w:sz w:val="28"/>
          <w:lang w:val="en-US" w:eastAsia="zh-CN"/>
          <w14:textFill>
            <w14:solidFill>
              <w14:schemeClr w14:val="tx1"/>
            </w14:solidFill>
          </w14:textFill>
        </w:rPr>
      </w:pPr>
      <w:r>
        <w:rPr>
          <w:rFonts w:hint="default" w:ascii="Times New Roman" w:hAnsi="Times New Roman" w:eastAsia="黑体" w:cs="Times New Roman"/>
          <w:bCs/>
          <w:color w:val="000000" w:themeColor="text1"/>
          <w:sz w:val="28"/>
          <w:lang w:val="en-US" w:eastAsia="zh-CN"/>
          <w14:textFill>
            <w14:solidFill>
              <w14:schemeClr w14:val="tx1"/>
            </w14:solidFill>
          </w14:textFill>
        </w:rPr>
        <w:t>6.2.</w:t>
      </w:r>
      <w:r>
        <w:rPr>
          <w:rFonts w:hint="eastAsia" w:ascii="Times New Roman" w:hAnsi="Times New Roman" w:eastAsia="黑体" w:cs="Times New Roman"/>
          <w:bCs/>
          <w:color w:val="000000" w:themeColor="text1"/>
          <w:sz w:val="28"/>
          <w:lang w:val="en-US" w:eastAsia="zh-CN"/>
          <w14:textFill>
            <w14:solidFill>
              <w14:schemeClr w14:val="tx1"/>
            </w14:solidFill>
          </w14:textFill>
        </w:rPr>
        <w:t>3疏勒县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土地复垦措施主要包括</w:t>
      </w:r>
      <w:r>
        <w:rPr>
          <w:rFonts w:hint="eastAsia" w:eastAsia="仿宋_GB2312" w:cs="Times New Roman"/>
          <w:b w:val="0"/>
          <w:bCs/>
          <w:color w:val="000000" w:themeColor="text1"/>
          <w:sz w:val="24"/>
          <w:lang w:val="en-US" w:eastAsia="zh-CN"/>
          <w14:textFill>
            <w14:solidFill>
              <w14:schemeClr w14:val="tx1"/>
            </w14:solidFill>
          </w14:textFill>
        </w:rPr>
        <w:t>表土剥离及堆放（由建设单位完成，不计入复垦工程量）</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（纳入主体工程）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平整土地、表土回覆工程、</w:t>
      </w:r>
      <w:r>
        <w:rPr>
          <w:rFonts w:hint="eastAsia" w:eastAsia="仿宋_GB2312" w:cs="Times New Roman"/>
          <w:color w:val="000000" w:themeColor="text1"/>
          <w:sz w:val="24"/>
          <w:szCs w:val="24"/>
          <w:lang w:val="en-US" w:eastAsia="zh-CN"/>
          <w14:textFill>
            <w14:solidFill>
              <w14:schemeClr w14:val="tx1"/>
            </w14:solidFill>
          </w14:textFill>
        </w:rPr>
        <w:t>土地翻耕、</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土壤培肥、植被工程、管护工程、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监测工程等措施。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a</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eastAsia="zh-CN"/>
          <w14:textFill>
            <w14:solidFill>
              <w14:schemeClr w14:val="tx1"/>
            </w14:solidFill>
          </w14:textFill>
        </w:rPr>
        <w:t>表土剥离及堆放（由建设单位完成，不计入复垦工程量）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eastAsia="仿宋_GB2312" w:cs="Times New Roman"/>
          <w:b w:val="0"/>
          <w:bCs/>
          <w:color w:val="000000" w:themeColor="text1"/>
          <w:sz w:val="24"/>
          <w:lang w:val="en-US" w:eastAsia="zh-CN"/>
          <w14:textFill>
            <w14:solidFill>
              <w14:schemeClr w14:val="tx1"/>
            </w14:solidFill>
          </w14:textFill>
        </w:rPr>
        <w:t>林地覆土厚度0.3m，覆土面积0.0601公顷，</w:t>
      </w:r>
      <w:r>
        <w:rPr>
          <w:rFonts w:ascii="Times New Roman" w:hAnsi="Times New Roman" w:eastAsia="仿宋_GB2312" w:cs="Times New Roman"/>
          <w:b w:val="0"/>
          <w:bCs/>
          <w:color w:val="000000" w:themeColor="text1"/>
          <w:sz w:val="24"/>
          <w14:textFill>
            <w14:solidFill>
              <w14:schemeClr w14:val="tx1"/>
            </w14:solidFill>
          </w14:textFill>
        </w:rPr>
        <w:t>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180</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ascii="Times New Roman" w:hAnsi="Times New Roman" w:eastAsia="仿宋_GB2312" w:cs="Times New Roman"/>
          <w:b w:val="0"/>
          <w:bCs/>
          <w:color w:val="000000" w:themeColor="text1"/>
          <w:sz w:val="24"/>
          <w14:textFill>
            <w14:solidFill>
              <w14:schemeClr w14:val="tx1"/>
            </w14:solidFill>
          </w14:textFill>
        </w:rPr>
        <w:t>故需对</w:t>
      </w:r>
      <w:r>
        <w:rPr>
          <w:rFonts w:hint="eastAsia" w:ascii="Times New Roman" w:hAnsi="Times New Roman" w:eastAsia="仿宋_GB2312" w:cs="Times New Roman"/>
          <w:b w:val="0"/>
          <w:bCs/>
          <w:color w:val="000000" w:themeColor="text1"/>
          <w:sz w:val="24"/>
          <w14:textFill>
            <w14:solidFill>
              <w14:schemeClr w14:val="tx1"/>
            </w14:solidFill>
          </w14:textFill>
        </w:rPr>
        <w:t>该区</w:t>
      </w:r>
      <w:r>
        <w:rPr>
          <w:rFonts w:ascii="Times New Roman" w:hAnsi="Times New Roman" w:eastAsia="仿宋_GB2312" w:cs="Times New Roman"/>
          <w:b w:val="0"/>
          <w:bCs/>
          <w:color w:val="000000" w:themeColor="text1"/>
          <w:sz w:val="24"/>
          <w14:textFill>
            <w14:solidFill>
              <w14:schemeClr w14:val="tx1"/>
            </w14:solidFill>
          </w14:textFill>
        </w:rPr>
        <w:t>在项目建设之前进行表土剥离</w:t>
      </w:r>
      <w:r>
        <w:rPr>
          <w:rFonts w:hint="eastAsia" w:ascii="Times New Roman" w:hAnsi="Times New Roman" w:eastAsia="仿宋_GB2312" w:cs="Times New Roman"/>
          <w:b w:val="0"/>
          <w:bCs/>
          <w:color w:val="000000" w:themeColor="text1"/>
          <w:sz w:val="24"/>
          <w14:textFill>
            <w14:solidFill>
              <w14:schemeClr w14:val="tx1"/>
            </w14:solidFill>
          </w14:textFill>
        </w:rPr>
        <w:t>，就近剥离与覆土不考虑损耗，本项目</w:t>
      </w:r>
      <w:r>
        <w:rPr>
          <w:rFonts w:hint="eastAsia" w:eastAsia="仿宋_GB2312" w:cs="Times New Roman"/>
          <w:b w:val="0"/>
          <w:bCs/>
          <w:color w:val="000000" w:themeColor="text1"/>
          <w:sz w:val="24"/>
          <w:lang w:val="en-US" w:eastAsia="zh-CN"/>
          <w14:textFill>
            <w14:solidFill>
              <w14:schemeClr w14:val="tx1"/>
            </w14:solidFill>
          </w14:textFill>
        </w:rPr>
        <w:t>水浇地、果园</w:t>
      </w:r>
      <w:r>
        <w:rPr>
          <w:rFonts w:hint="eastAsia" w:ascii="Times New Roman" w:hAnsi="Times New Roman" w:eastAsia="仿宋_GB2312" w:cs="Times New Roman"/>
          <w:b w:val="0"/>
          <w:bCs/>
          <w:color w:val="000000" w:themeColor="text1"/>
          <w:sz w:val="24"/>
          <w14:textFill>
            <w14:solidFill>
              <w14:schemeClr w14:val="tx1"/>
            </w14:solidFill>
          </w14:textFill>
        </w:rPr>
        <w:t>剥离厚度</w:t>
      </w:r>
      <w:r>
        <w:rPr>
          <w:rFonts w:hint="eastAsia" w:eastAsia="仿宋_GB2312" w:cs="Times New Roman"/>
          <w:b w:val="0"/>
          <w:bCs/>
          <w:color w:val="000000" w:themeColor="text1"/>
          <w:sz w:val="24"/>
          <w:lang w:val="en-US" w:eastAsia="zh-CN"/>
          <w14:textFill>
            <w14:solidFill>
              <w14:schemeClr w14:val="tx1"/>
            </w14:solidFill>
          </w14:textFill>
        </w:rPr>
        <w:t>0.3</w:t>
      </w:r>
      <w:r>
        <w:rPr>
          <w:rFonts w:hint="eastAsia" w:ascii="Times New Roman" w:hAnsi="Times New Roman" w:eastAsia="仿宋_GB2312" w:cs="Times New Roman"/>
          <w:b w:val="0"/>
          <w:bCs/>
          <w:color w:val="000000" w:themeColor="text1"/>
          <w:sz w:val="24"/>
          <w14:textFill>
            <w14:solidFill>
              <w14:schemeClr w14:val="tx1"/>
            </w14:solidFill>
          </w14:textFill>
        </w:rPr>
        <w:t>m，</w:t>
      </w:r>
      <w:r>
        <w:rPr>
          <w:rFonts w:ascii="Times New Roman" w:hAnsi="Times New Roman" w:eastAsia="仿宋_GB2312" w:cs="Times New Roman"/>
          <w:b w:val="0"/>
          <w:bCs/>
          <w:color w:val="000000" w:themeColor="text1"/>
          <w:sz w:val="24"/>
          <w14:textFill>
            <w14:solidFill>
              <w14:schemeClr w14:val="tx1"/>
            </w14:solidFill>
          </w14:textFill>
        </w:rPr>
        <w:t>共计剥离表土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180</w:t>
      </w:r>
      <w:r>
        <w:rPr>
          <w:rFonts w:hint="eastAsia" w:ascii="Times New Roman" w:hAnsi="Times New Roman" w:eastAsia="仿宋_GB2312" w:cs="Times New Roman"/>
          <w:b w:val="0"/>
          <w:bCs/>
          <w:color w:val="000000" w:themeColor="text1"/>
          <w:sz w:val="24"/>
          <w14:textFill>
            <w14:solidFill>
              <w14:schemeClr w14:val="tx1"/>
            </w14:solidFill>
          </w14:textFill>
        </w:rPr>
        <w:t>立方米，</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可满足该项目覆土的需求，表土剥离已纳入主体工程内容，不纳入预算范围</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eastAsia="仿宋_GB2312" w:cs="Times New Roman"/>
          <w:b w:val="0"/>
          <w:bCs/>
          <w:color w:val="000000" w:themeColor="text1"/>
          <w:sz w:val="24"/>
          <w:lang w:val="en-US" w:eastAsia="zh-CN"/>
          <w14:textFill>
            <w14:solidFill>
              <w14:schemeClr w14:val="tx1"/>
            </w14:solidFill>
          </w14:textFill>
        </w:rPr>
        <w:t>b</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）平整土地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需平整区域</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0.6179</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eastAsia="仿宋_GB2312" w:cs="Times New Roman"/>
          <w:b w:val="0"/>
          <w:bCs/>
          <w:color w:val="000000" w:themeColor="text1"/>
          <w:sz w:val="24"/>
          <w:lang w:eastAsia="zh-CN"/>
          <w14:textFill>
            <w14:solidFill>
              <w14:schemeClr w14:val="tx1"/>
            </w14:solidFill>
          </w14:textFill>
        </w:rPr>
        <w:t>（</w:t>
      </w:r>
      <w:r>
        <w:rPr>
          <w:rFonts w:hint="eastAsia" w:eastAsia="仿宋_GB2312" w:cs="Times New Roman"/>
          <w:b w:val="0"/>
          <w:bCs/>
          <w:color w:val="000000" w:themeColor="text1"/>
          <w:sz w:val="24"/>
          <w:lang w:val="en-US" w:eastAsia="zh-CN"/>
          <w14:textFill>
            <w14:solidFill>
              <w14:schemeClr w14:val="tx1"/>
            </w14:solidFill>
          </w14:textFill>
        </w:rPr>
        <w:t>扣除公路用地及农村道路区域面积</w:t>
      </w:r>
      <w:r>
        <w:rPr>
          <w:rFonts w:hint="eastAsia" w:eastAsia="仿宋_GB2312" w:cs="Times New Roman"/>
          <w:b w:val="0"/>
          <w:bCs/>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，该区土地平整需推运土方</w:t>
      </w:r>
      <w:r>
        <w:rPr>
          <w:rFonts w:hint="eastAsia" w:eastAsia="仿宋_GB2312" w:cs="Times New Roman"/>
          <w:b w:val="0"/>
          <w:bCs/>
          <w:color w:val="000000" w:themeColor="text1"/>
          <w:sz w:val="24"/>
          <w:lang w:val="en-US" w:eastAsia="zh-CN"/>
          <w14:textFill>
            <w14:solidFill>
              <w14:schemeClr w14:val="tx1"/>
            </w14:solidFill>
          </w14:textFill>
        </w:rPr>
        <w:t>0.6179</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公顷*1500立方米/公顷=</w:t>
      </w:r>
      <w:r>
        <w:rPr>
          <w:rFonts w:hint="eastAsia" w:eastAsia="仿宋_GB2312" w:cs="Times New Roman"/>
          <w:b w:val="0"/>
          <w:bCs/>
          <w:color w:val="000000" w:themeColor="text1"/>
          <w:sz w:val="24"/>
          <w:lang w:val="en-US" w:eastAsia="zh-CN"/>
          <w14:textFill>
            <w14:solidFill>
              <w14:schemeClr w14:val="tx1"/>
            </w14:solidFill>
          </w14:textFill>
        </w:rPr>
        <w:t>930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立方米，土方推运距离10-20米。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b w:val="0"/>
          <w:bCs/>
          <w:color w:val="000000" w:themeColor="text1"/>
          <w:sz w:val="24"/>
          <w:lang w:val="sq-AL" w:eastAsia="zh-CN"/>
          <w14:textFill>
            <w14:solidFill>
              <w14:schemeClr w14:val="tx1"/>
            </w14:solidFill>
          </w14:textFill>
        </w:rPr>
        <w:t>）</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表土回覆工程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该区覆土面积</w:t>
      </w:r>
      <w:r>
        <w:rPr>
          <w:rFonts w:hint="eastAsia"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公顷，复垦需要覆土</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180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立方米，表土回覆平均推运距离</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10-20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仿宋_GB2312" w:hAnsi="Times New Roman" w:eastAsia="仿宋_GB2312" w:cs="Times New Roman"/>
          <w:color w:val="000000" w:themeColor="text1"/>
          <w:kern w:val="0"/>
          <w:sz w:val="24"/>
          <w:lang w:val="en-US" w:eastAsia="zh-CN"/>
          <w14:textFill>
            <w14:solidFill>
              <w14:schemeClr w14:val="tx1"/>
            </w14:solidFill>
          </w14:textFill>
        </w:rPr>
      </w:pP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d）土地翻耕措施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000000" w:themeColor="text1"/>
          <w14:textFill>
            <w14:solidFill>
              <w14:schemeClr w14:val="tx1"/>
            </w14:solidFill>
          </w14:textFill>
        </w:rPr>
      </w:pP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由于临时占地土地损毁类型为压占，重型机械的压实，造成地表板结，直接在此基础上进行耕种，不利于水分渗透和通风，</w:t>
      </w:r>
      <w:r>
        <w:rPr>
          <w:rFonts w:hint="eastAsia" w:ascii="仿宋_GB2312" w:eastAsia="仿宋_GB2312" w:cs="Times New Roman"/>
          <w:color w:val="000000" w:themeColor="text1"/>
          <w:kern w:val="0"/>
          <w:sz w:val="24"/>
          <w:lang w:val="en-US" w:eastAsia="zh-CN"/>
          <w14:textFill>
            <w14:solidFill>
              <w14:schemeClr w14:val="tx1"/>
            </w14:solidFill>
          </w14:textFill>
        </w:rPr>
        <w:t>妨碍植被生长</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；故需要对复垦责任范围区域内</w:t>
      </w:r>
      <w:r>
        <w:rPr>
          <w:rFonts w:hint="eastAsia" w:ascii="仿宋_GB2312" w:eastAsia="仿宋_GB2312" w:cs="Times New Roman"/>
          <w:color w:val="000000" w:themeColor="text1"/>
          <w:kern w:val="0"/>
          <w:sz w:val="24"/>
          <w:lang w:val="en-US" w:eastAsia="zh-CN"/>
          <w14:textFill>
            <w14:solidFill>
              <w14:schemeClr w14:val="tx1"/>
            </w14:solidFill>
          </w14:textFill>
        </w:rPr>
        <w:t>的耕地、种植园用地、</w:t>
      </w:r>
      <w:r>
        <w:rPr>
          <w:rFonts w:hint="eastAsia" w:eastAsia="仿宋_GB2312"/>
          <w:color w:val="000000" w:themeColor="text1"/>
          <w:sz w:val="24"/>
          <w:lang w:val="en-US" w:eastAsia="zh-CN"/>
          <w14:textFill>
            <w14:solidFill>
              <w14:schemeClr w14:val="tx1"/>
            </w14:solidFill>
          </w14:textFill>
        </w:rPr>
        <w:t>林地</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进行土地翻耕</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该区</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土地翻耕</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面积</w:t>
      </w:r>
      <w:r>
        <w:rPr>
          <w:rFonts w:hint="eastAsia"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仿宋_GB2312" w:hAnsi="Times New Roman" w:eastAsia="仿宋_GB2312" w:cs="Times New Roman"/>
          <w:color w:val="000000" w:themeColor="text1"/>
          <w:kern w:val="0"/>
          <w:sz w:val="24"/>
          <w:lang w:val="en-US" w:eastAsia="zh-CN"/>
          <w14:textFill>
            <w14:solidFill>
              <w14:schemeClr w14:val="tx1"/>
            </w14:solidFill>
          </w14:textFill>
        </w:rPr>
        <w:t>。</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e）</w:t>
      </w:r>
      <w:r>
        <w:rPr>
          <w:rFonts w:hint="default" w:ascii="Times New Roman" w:hAnsi="Times New Roman" w:eastAsia="仿宋_GB2312" w:cs="Times New Roman"/>
          <w:b w:val="0"/>
          <w:bCs w:val="0"/>
          <w:color w:val="000000" w:themeColor="text1"/>
          <w:sz w:val="24"/>
          <w:lang w:val="en-US" w:eastAsia="zh-CN"/>
          <w14:textFill>
            <w14:solidFill>
              <w14:schemeClr w14:val="tx1"/>
            </w14:solidFill>
          </w14:textFill>
        </w:rPr>
        <w:t>土壤培肥</w:t>
      </w:r>
    </w:p>
    <w:p>
      <w:pPr>
        <w:pStyle w:val="25"/>
        <w:pageBreakBefore w:val="0"/>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复垦过程中于按照</w:t>
      </w:r>
      <w:r>
        <w:rPr>
          <w:rFonts w:hint="eastAsia" w:ascii="Times New Roman" w:hAnsi="Times New Roman" w:eastAsia="仿宋_GB2312" w:cs="Times New Roman"/>
          <w:b w:val="0"/>
          <w:bCs w:val="0"/>
          <w:color w:val="000000" w:themeColor="text1"/>
          <w:sz w:val="24"/>
          <w14:textFill>
            <w14:solidFill>
              <w14:schemeClr w14:val="tx1"/>
            </w14:solidFill>
          </w14:textFill>
        </w:rPr>
        <w:t>每亩地施用腐熟的农家肥1</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val="0"/>
          <w:color w:val="000000" w:themeColor="text1"/>
          <w:sz w:val="24"/>
          <w14:textFill>
            <w14:solidFill>
              <w14:schemeClr w14:val="tx1"/>
            </w14:solidFill>
          </w14:textFill>
        </w:rPr>
        <w:t>00千克</w:t>
      </w:r>
      <w:r>
        <w:rPr>
          <w:rFonts w:hint="eastAsia" w:eastAsia="仿宋_GB2312" w:cs="Times New Roman"/>
          <w:b w:val="0"/>
          <w:bCs w:val="0"/>
          <w:color w:val="000000" w:themeColor="text1"/>
          <w:sz w:val="24"/>
          <w:lang w:val="en-US" w:eastAsia="zh-CN"/>
          <w14:textFill>
            <w14:solidFill>
              <w14:schemeClr w14:val="tx1"/>
            </w14:solidFill>
          </w14:textFill>
        </w:rPr>
        <w:t>对</w:t>
      </w:r>
      <w:r>
        <w:rPr>
          <w:rFonts w:hint="eastAsia" w:ascii="仿宋_GB2312" w:eastAsia="仿宋_GB2312" w:cs="Times New Roman"/>
          <w:color w:val="000000" w:themeColor="text1"/>
          <w:kern w:val="0"/>
          <w:sz w:val="24"/>
          <w:lang w:val="en-US" w:eastAsia="zh-CN"/>
          <w14:textFill>
            <w14:solidFill>
              <w14:schemeClr w14:val="tx1"/>
            </w14:solidFill>
          </w14:textFill>
        </w:rPr>
        <w:t>耕地、种植园用地、</w:t>
      </w:r>
      <w:r>
        <w:rPr>
          <w:rFonts w:hint="eastAsia" w:eastAsia="仿宋_GB2312"/>
          <w:color w:val="000000" w:themeColor="text1"/>
          <w:sz w:val="24"/>
          <w:lang w:val="en-US" w:eastAsia="zh-CN"/>
          <w14:textFill>
            <w14:solidFill>
              <w14:schemeClr w14:val="tx1"/>
            </w14:solidFill>
          </w14:textFill>
        </w:rPr>
        <w:t>林地进行培肥</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该区</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土壤培肥面积</w:t>
      </w:r>
      <w:r>
        <w:rPr>
          <w:rFonts w:hint="eastAsia"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f</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）植被工程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该区植被工程即为在平整好的林地上按照2500株/公顷栽植骆驼刺，栽植面积</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公顷，栽植工程量</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150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株。</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g</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）管护工程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①灌溉措施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该项目复垦灌溉工程实施时，复垦灌溉用水可采用水车拉运水直接进行灌溉，灌溉</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w:t>
      </w:r>
      <w:r>
        <w:rPr>
          <w:rFonts w:hint="eastAsia" w:ascii="Times New Roman" w:hAnsi="Times New Roman" w:eastAsia="仿宋_GB2312" w:cs="Times New Roman"/>
          <w:b w:val="0"/>
          <w:bCs/>
          <w:color w:val="000000" w:themeColor="text1"/>
          <w:sz w:val="24"/>
          <w:szCs w:val="24"/>
          <w:lang w:val="en-US" w:eastAsia="zh-CN"/>
          <w14:textFill>
            <w14:solidFill>
              <w14:schemeClr w14:val="tx1"/>
            </w14:solidFill>
          </w14:textFill>
        </w:rPr>
        <w:t>总灌溉水量2400立方米/公顷，年灌溉4次，灌溉3年，每次浇水量600立方米/公顷，该区总灌溉水量433立方米</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②补植补种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该区管护面积</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0.0601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公顷，在管护期内，估计需补植面积为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0.0180</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公顷（补植补种面积为管护面积的30%）。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h</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植被</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拟设置监测点</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处，持续监测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年，拟安排2名工作人员进行监测，植被每年监测2次，5月、9月各监测1次，植被监测次数合计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6</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eastAsia="zh-CN"/>
          <w14:textFill>
            <w14:solidFill>
              <w14:schemeClr w14:val="tx1"/>
            </w14:solidFill>
          </w14:textFill>
        </w:rPr>
        <w:t>该区</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拟设置监测点</w:t>
      </w:r>
      <w:r>
        <w:rPr>
          <w:rFonts w:hint="eastAsia" w:eastAsia="仿宋_GB2312" w:cs="Times New Roman"/>
          <w:b w:val="0"/>
          <w:bCs/>
          <w:color w:val="000000" w:themeColor="text1"/>
          <w:sz w:val="24"/>
          <w:lang w:val="en-US" w:eastAsia="zh-CN"/>
          <w14:textFill>
            <w14:solidFill>
              <w14:schemeClr w14:val="tx1"/>
            </w14:solidFill>
          </w14:textFill>
        </w:rPr>
        <w:t>1</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处，持续监测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3</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年，拟安排2名工作人员进行监测，</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土壤</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每年监测2次，5月、9月各监测1次，土壤监测次数合计</w:t>
      </w:r>
      <w:r>
        <w:rPr>
          <w:rFonts w:hint="eastAsia" w:eastAsia="仿宋_GB2312" w:cs="Times New Roman"/>
          <w:b w:val="0"/>
          <w:bCs/>
          <w:color w:val="000000" w:themeColor="text1"/>
          <w:sz w:val="24"/>
          <w:lang w:val="en-US" w:eastAsia="zh-CN"/>
          <w14:textFill>
            <w14:solidFill>
              <w14:schemeClr w14:val="tx1"/>
            </w14:solidFill>
          </w14:textFill>
        </w:rPr>
        <w:t>6</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b w:val="0"/>
          <w:bCs/>
          <w:color w:val="000000" w:themeColor="text1"/>
          <w:sz w:val="24"/>
          <w:lang w:eastAsia="zh-CN"/>
          <w14:textFill>
            <w14:solidFill>
              <w14:schemeClr w14:val="tx1"/>
            </w14:solidFill>
          </w14:textFill>
        </w:rPr>
      </w:pP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土地损毁监测设置监测点</w:t>
      </w:r>
      <w:r>
        <w:rPr>
          <w:rFonts w:hint="eastAsia" w:eastAsia="仿宋_GB2312" w:cs="Times New Roman"/>
          <w:b w:val="0"/>
          <w:bCs/>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b w:val="0"/>
          <w:bCs/>
          <w:color w:val="000000" w:themeColor="text1"/>
          <w:sz w:val="24"/>
          <w:lang w:val="en-US" w:eastAsia="zh-CN"/>
          <w14:textFill>
            <w14:solidFill>
              <w14:schemeClr w14:val="tx1"/>
            </w14:solidFill>
          </w14:textFill>
        </w:rPr>
        <w:t>处，施工期（2年）每年监测2次，</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监测次数合计</w:t>
      </w:r>
      <w:r>
        <w:rPr>
          <w:rFonts w:hint="eastAsia" w:eastAsia="仿宋_GB2312" w:cs="Times New Roman"/>
          <w:b w:val="0"/>
          <w:bCs/>
          <w:color w:val="000000" w:themeColor="text1"/>
          <w:sz w:val="24"/>
          <w:lang w:val="en-US" w:eastAsia="zh-CN"/>
          <w14:textFill>
            <w14:solidFill>
              <w14:schemeClr w14:val="tx1"/>
            </w14:solidFill>
          </w14:textFill>
        </w:rPr>
        <w:t>8</w:t>
      </w:r>
      <w:r>
        <w:rPr>
          <w:rFonts w:hint="eastAsia" w:ascii="Times New Roman" w:hAnsi="Times New Roman" w:eastAsia="仿宋_GB2312" w:cs="Times New Roman"/>
          <w:b w:val="0"/>
          <w:bCs/>
          <w:color w:val="000000" w:themeColor="text1"/>
          <w:sz w:val="24"/>
          <w:lang w:eastAsia="zh-CN"/>
          <w14:textFill>
            <w14:solidFill>
              <w14:schemeClr w14:val="tx1"/>
            </w14:solidFill>
          </w14:textFill>
        </w:rPr>
        <w:t>次。</w:t>
      </w:r>
    </w:p>
    <w:p>
      <w:pPr>
        <w:pStyle w:val="5"/>
        <w:pageBreakBefore w:val="0"/>
        <w:kinsoku/>
        <w:wordWrap/>
        <w:topLinePunct w:val="0"/>
        <w:bidi w:val="0"/>
        <w:adjustRightInd w:val="0"/>
        <w:snapToGrid w:val="0"/>
        <w:spacing w:before="0" w:after="0" w:line="360" w:lineRule="auto"/>
        <w:rPr>
          <w:rFonts w:ascii="Times New Roman" w:hAnsi="Times New Roman" w:eastAsia="仿宋_GB2312"/>
          <w:b w:val="0"/>
          <w:color w:val="000000" w:themeColor="text1"/>
          <w:sz w:val="30"/>
          <w:szCs w:val="30"/>
          <w14:textFill>
            <w14:solidFill>
              <w14:schemeClr w14:val="tx1"/>
            </w14:solidFill>
          </w14:textFill>
        </w:rPr>
      </w:pPr>
      <w:r>
        <w:rPr>
          <w:rFonts w:hint="eastAsia" w:ascii="Times New Roman" w:hAnsi="Times New Roman" w:eastAsia="仿宋_GB2312"/>
          <w:b w:val="0"/>
          <w:color w:val="000000" w:themeColor="text1"/>
          <w:sz w:val="30"/>
          <w:szCs w:val="30"/>
          <w14:textFill>
            <w14:solidFill>
              <w14:schemeClr w14:val="tx1"/>
            </w14:solidFill>
          </w14:textFill>
        </w:rPr>
        <w:t>6</w:t>
      </w:r>
      <w:r>
        <w:rPr>
          <w:rFonts w:ascii="Times New Roman" w:hAnsi="Times New Roman" w:eastAsia="仿宋_GB2312"/>
          <w:b w:val="0"/>
          <w:color w:val="000000" w:themeColor="text1"/>
          <w:sz w:val="30"/>
          <w:szCs w:val="30"/>
          <w14:textFill>
            <w14:solidFill>
              <w14:schemeClr w14:val="tx1"/>
            </w14:solidFill>
          </w14:textFill>
        </w:rPr>
        <w:t>.</w:t>
      </w:r>
      <w:r>
        <w:rPr>
          <w:rFonts w:hint="eastAsia" w:ascii="Times New Roman" w:hAnsi="Times New Roman" w:eastAsia="仿宋_GB2312"/>
          <w:b w:val="0"/>
          <w:color w:val="000000" w:themeColor="text1"/>
          <w:sz w:val="30"/>
          <w:szCs w:val="30"/>
          <w14:textFill>
            <w14:solidFill>
              <w14:schemeClr w14:val="tx1"/>
            </w14:solidFill>
          </w14:textFill>
        </w:rPr>
        <w:t>3</w:t>
      </w:r>
      <w:r>
        <w:rPr>
          <w:rFonts w:ascii="Times New Roman" w:hAnsi="Times New Roman" w:eastAsia="仿宋_GB2312"/>
          <w:b w:val="0"/>
          <w:color w:val="000000" w:themeColor="text1"/>
          <w:sz w:val="30"/>
          <w:szCs w:val="30"/>
          <w14:textFill>
            <w14:solidFill>
              <w14:schemeClr w14:val="tx1"/>
            </w14:solidFill>
          </w14:textFill>
        </w:rPr>
        <w:t xml:space="preserve"> </w:t>
      </w:r>
      <w:bookmarkEnd w:id="147"/>
      <w:r>
        <w:rPr>
          <w:rFonts w:hint="eastAsia" w:ascii="黑体" w:hAnsi="黑体" w:cs="黑体"/>
          <w:b w:val="0"/>
          <w:color w:val="000000" w:themeColor="text1"/>
          <w:sz w:val="30"/>
          <w:szCs w:val="30"/>
          <w14:textFill>
            <w14:solidFill>
              <w14:schemeClr w14:val="tx1"/>
            </w14:solidFill>
          </w14:textFill>
        </w:rPr>
        <w:t>工程量</w:t>
      </w:r>
      <w:r>
        <w:rPr>
          <w:rFonts w:hint="eastAsia" w:ascii="黑体" w:hAnsi="黑体" w:cs="黑体"/>
          <w:b w:val="0"/>
          <w:color w:val="000000" w:themeColor="text1"/>
          <w:sz w:val="30"/>
          <w:szCs w:val="30"/>
          <w:lang w:eastAsia="zh-CN"/>
          <w14:textFill>
            <w14:solidFill>
              <w14:schemeClr w14:val="tx1"/>
            </w14:solidFill>
          </w14:textFill>
        </w:rPr>
        <w:t>汇总</w:t>
      </w:r>
      <w:bookmarkEnd w:id="14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建设项目</w:t>
      </w:r>
      <w:r>
        <w:rPr>
          <w:rFonts w:hint="eastAsia" w:ascii="Times New Roman" w:hAnsi="Times New Roman" w:eastAsia="仿宋_GB2312" w:cs="Times New Roman"/>
          <w:color w:val="000000" w:themeColor="text1"/>
          <w:sz w:val="24"/>
          <w:lang w:eastAsia="zh-CN"/>
          <w14:textFill>
            <w14:solidFill>
              <w14:schemeClr w14:val="tx1"/>
            </w14:solidFill>
          </w14:textFill>
        </w:rPr>
        <w:t>土地复垦工程主要有土地</w:t>
      </w:r>
      <w:r>
        <w:rPr>
          <w:rFonts w:hint="eastAsia" w:ascii="Times New Roman" w:hAnsi="Times New Roman" w:eastAsia="仿宋_GB2312" w:cs="Times New Roman"/>
          <w:color w:val="000000" w:themeColor="text1"/>
          <w:sz w:val="24"/>
          <w:lang w:val="en-US" w:eastAsia="zh-CN"/>
          <w14:textFill>
            <w14:solidFill>
              <w14:schemeClr w14:val="tx1"/>
            </w14:solidFill>
          </w14:textFill>
        </w:rPr>
        <w:t>机械拆除场地硬化区及外运、</w:t>
      </w:r>
      <w:r>
        <w:rPr>
          <w:rFonts w:hint="eastAsia" w:ascii="Times New Roman" w:hAnsi="Times New Roman" w:eastAsia="仿宋_GB2312" w:cs="Times New Roman"/>
          <w:color w:val="000000" w:themeColor="text1"/>
          <w:sz w:val="24"/>
          <w:lang w:eastAsia="zh-CN"/>
          <w14:textFill>
            <w14:solidFill>
              <w14:schemeClr w14:val="tx1"/>
            </w14:solidFill>
          </w14:textFill>
        </w:rPr>
        <w:t>平整工程、</w:t>
      </w:r>
      <w:r>
        <w:rPr>
          <w:rFonts w:hint="eastAsia" w:eastAsia="仿宋_GB2312" w:cs="Times New Roman"/>
          <w:color w:val="000000" w:themeColor="text1"/>
          <w:sz w:val="24"/>
          <w:lang w:val="en-US" w:eastAsia="zh-CN"/>
          <w14:textFill>
            <w14:solidFill>
              <w14:schemeClr w14:val="tx1"/>
            </w14:solidFill>
          </w14:textFill>
        </w:rPr>
        <w:t>表土回覆工程、</w:t>
      </w:r>
      <w:r>
        <w:rPr>
          <w:rFonts w:hint="eastAsia" w:ascii="Times New Roman" w:hAnsi="Times New Roman" w:eastAsia="仿宋_GB2312" w:cs="Times New Roman"/>
          <w:color w:val="000000" w:themeColor="text1"/>
          <w:sz w:val="24"/>
          <w:lang w:eastAsia="zh-CN"/>
          <w14:textFill>
            <w14:solidFill>
              <w14:schemeClr w14:val="tx1"/>
            </w14:solidFill>
          </w14:textFill>
        </w:rPr>
        <w:t>土地翻耕、</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土壤培肥、</w:t>
      </w:r>
      <w:r>
        <w:rPr>
          <w:rFonts w:hint="eastAsia" w:ascii="Times New Roman" w:hAnsi="Times New Roman" w:eastAsia="仿宋_GB2312" w:cs="Times New Roman"/>
          <w:color w:val="000000" w:themeColor="text1"/>
          <w:sz w:val="24"/>
          <w:lang w:eastAsia="zh-CN"/>
          <w14:textFill>
            <w14:solidFill>
              <w14:schemeClr w14:val="tx1"/>
            </w14:solidFill>
          </w14:textFill>
        </w:rPr>
        <w:t>生物化学工程</w:t>
      </w:r>
      <w:r>
        <w:rPr>
          <w:rFonts w:hint="eastAsia"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监测工程</w:t>
      </w:r>
      <w:r>
        <w:rPr>
          <w:rFonts w:hint="eastAsia" w:ascii="Times New Roman" w:hAnsi="Times New Roman" w:eastAsia="仿宋_GB2312" w:cs="Times New Roman"/>
          <w:color w:val="000000" w:themeColor="text1"/>
          <w:sz w:val="24"/>
          <w:lang w:eastAsia="zh-CN"/>
          <w14:textFill>
            <w14:solidFill>
              <w14:schemeClr w14:val="tx1"/>
            </w14:solidFill>
          </w14:textFill>
        </w:rPr>
        <w:t>等，各项工程的工程量见表6-</w:t>
      </w:r>
      <w:r>
        <w:rPr>
          <w:rFonts w:hint="eastAsia" w:eastAsia="仿宋_GB2312" w:cs="Times New Roman"/>
          <w:color w:val="000000" w:themeColor="text1"/>
          <w:sz w:val="24"/>
          <w:lang w:val="en-US" w:eastAsia="zh-CN"/>
          <w14:textFill>
            <w14:solidFill>
              <w14:schemeClr w14:val="tx1"/>
            </w14:solidFill>
          </w14:textFill>
        </w:rPr>
        <w:t>2</w:t>
      </w:r>
      <w:r>
        <w:rPr>
          <w:rFonts w:hint="eastAsia" w:ascii="Times New Roman" w:hAnsi="Times New Roman" w:eastAsia="仿宋_GB2312" w:cs="Times New Roman"/>
          <w:color w:val="000000" w:themeColor="text1"/>
          <w:sz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482"/>
        <w:jc w:val="center"/>
        <w:textAlignment w:val="auto"/>
        <w:outlineLvl w:val="9"/>
        <w:rPr>
          <w:rFonts w:hint="eastAsia" w:eastAsia="黑体"/>
          <w:color w:val="000000" w:themeColor="text1"/>
          <w:szCs w:val="21"/>
          <w:lang w:val="en-US" w:eastAsia="zh-CN"/>
          <w14:textFill>
            <w14:solidFill>
              <w14:schemeClr w14:val="tx1"/>
            </w14:solidFill>
          </w14:textFill>
        </w:rPr>
      </w:pPr>
      <w:bookmarkStart w:id="149" w:name="_Toc309127547"/>
      <w:r>
        <w:rPr>
          <w:rFonts w:eastAsia="黑体"/>
          <w:color w:val="000000" w:themeColor="text1"/>
          <w:szCs w:val="21"/>
          <w14:textFill>
            <w14:solidFill>
              <w14:schemeClr w14:val="tx1"/>
            </w14:solidFill>
          </w14:textFill>
        </w:rPr>
        <w:t>表6-</w:t>
      </w:r>
      <w:r>
        <w:rPr>
          <w:rFonts w:hint="eastAsia" w:eastAsia="黑体"/>
          <w:color w:val="000000" w:themeColor="text1"/>
          <w:szCs w:val="21"/>
          <w:lang w:val="en-US" w:eastAsia="zh-CN"/>
          <w14:textFill>
            <w14:solidFill>
              <w14:schemeClr w14:val="tx1"/>
            </w14:solidFill>
          </w14:textFill>
        </w:rPr>
        <w:t>2</w:t>
      </w:r>
      <w:r>
        <w:rPr>
          <w:rFonts w:hint="eastAsia" w:eastAsia="黑体"/>
          <w:color w:val="000000" w:themeColor="text1"/>
          <w:szCs w:val="21"/>
          <w14:textFill>
            <w14:solidFill>
              <w14:schemeClr w14:val="tx1"/>
            </w14:solidFill>
          </w14:textFill>
        </w:rPr>
        <w:t xml:space="preserve"> </w:t>
      </w:r>
      <w:r>
        <w:rPr>
          <w:rFonts w:eastAsia="黑体"/>
          <w:color w:val="000000" w:themeColor="text1"/>
          <w:szCs w:val="21"/>
          <w14:textFill>
            <w14:solidFill>
              <w14:schemeClr w14:val="tx1"/>
            </w14:solidFill>
          </w14:textFill>
        </w:rPr>
        <w:t>工程量汇总表</w:t>
      </w:r>
    </w:p>
    <w:tbl>
      <w:tblPr>
        <w:tblStyle w:val="20"/>
        <w:tblW w:w="79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4452"/>
        <w:gridCol w:w="1497"/>
        <w:gridCol w:w="1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bookmarkStart w:id="150" w:name="_Toc20425"/>
            <w:bookmarkStart w:id="151" w:name="_Toc20426"/>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序号</w:t>
            </w:r>
          </w:p>
        </w:tc>
        <w:tc>
          <w:tcPr>
            <w:tcW w:w="445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分项工程</w:t>
            </w:r>
          </w:p>
        </w:tc>
        <w:tc>
          <w:tcPr>
            <w:tcW w:w="149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单位</w:t>
            </w:r>
          </w:p>
        </w:tc>
        <w:tc>
          <w:tcPr>
            <w:tcW w:w="110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工程量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445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49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37"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喀什市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机械拆除场地硬化区及外运</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4452"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混凝土无钢筋拆除</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100立方米</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w:t>
            </w:r>
          </w:p>
        </w:tc>
        <w:tc>
          <w:tcPr>
            <w:tcW w:w="4452"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硬化物</w:t>
            </w:r>
            <w:r>
              <w:rPr>
                <w:rFonts w:hint="eastAsia" w:ascii="仿宋_GB2312" w:hAnsi="仿宋_GB2312" w:eastAsia="仿宋_GB2312" w:cs="仿宋_GB2312"/>
                <w:color w:val="000000" w:themeColor="text1"/>
                <w:szCs w:val="21"/>
                <w14:textFill>
                  <w14:solidFill>
                    <w14:schemeClr w14:val="tx1"/>
                  </w14:solidFill>
                </w14:textFill>
              </w:rPr>
              <w:t>外运</w:t>
            </w:r>
            <w:r>
              <w:rPr>
                <w:rFonts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color w:val="000000" w:themeColor="text1"/>
                <w:szCs w:val="21"/>
                <w14:textFill>
                  <w14:solidFill>
                    <w14:schemeClr w14:val="tx1"/>
                  </w14:solidFill>
                </w14:textFill>
              </w:rPr>
              <w:t>10km</w:t>
            </w:r>
            <w:r>
              <w:rPr>
                <w:rFonts w:ascii="仿宋_GB2312" w:hAnsi="仿宋_GB2312" w:eastAsia="仿宋_GB2312" w:cs="仿宋_GB2312"/>
                <w:color w:val="000000" w:themeColor="text1"/>
                <w:szCs w:val="21"/>
                <w14:textFill>
                  <w14:solidFill>
                    <w14:schemeClr w14:val="tx1"/>
                  </w14:solidFill>
                </w14:textFill>
              </w:rPr>
              <w:t>）</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100立方米</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二</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74kw推土机退运土(10-20m）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三</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87.81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四</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其他措施</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c>
          <w:tcPr>
            <w:tcW w:w="1101"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土地翻耕</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0.0824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2</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土壤培肥</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0.0824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3</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土壤监测</w:t>
            </w:r>
          </w:p>
        </w:tc>
        <w:tc>
          <w:tcPr>
            <w:tcW w:w="1497" w:type="dxa"/>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土地损毁监测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37" w:type="dxa"/>
            <w:gridSpan w:val="4"/>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t>疏附县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机械拆除场地硬化区及外运</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1</w:t>
            </w:r>
          </w:p>
        </w:tc>
        <w:tc>
          <w:tcPr>
            <w:tcW w:w="4452"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混凝土无钢筋拆除</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100立方米</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2</w:t>
            </w:r>
          </w:p>
        </w:tc>
        <w:tc>
          <w:tcPr>
            <w:tcW w:w="4452"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硬化物</w:t>
            </w:r>
            <w:r>
              <w:rPr>
                <w:rFonts w:hint="eastAsia" w:ascii="仿宋_GB2312" w:hAnsi="仿宋_GB2312" w:eastAsia="仿宋_GB2312" w:cs="仿宋_GB2312"/>
                <w:color w:val="000000" w:themeColor="text1"/>
                <w:szCs w:val="21"/>
                <w14:textFill>
                  <w14:solidFill>
                    <w14:schemeClr w14:val="tx1"/>
                  </w14:solidFill>
                </w14:textFill>
              </w:rPr>
              <w:t>外运</w:t>
            </w:r>
            <w:r>
              <w:rPr>
                <w:rFonts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color w:val="000000" w:themeColor="text1"/>
                <w:szCs w:val="21"/>
                <w14:textFill>
                  <w14:solidFill>
                    <w14:schemeClr w14:val="tx1"/>
                  </w14:solidFill>
                </w14:textFill>
              </w:rPr>
              <w:t>10km</w:t>
            </w:r>
            <w:r>
              <w:rPr>
                <w:rFonts w:ascii="仿宋_GB2312" w:hAnsi="仿宋_GB2312" w:eastAsia="仿宋_GB2312" w:cs="仿宋_GB2312"/>
                <w:color w:val="000000" w:themeColor="text1"/>
                <w:szCs w:val="21"/>
                <w14:textFill>
                  <w14:solidFill>
                    <w14:schemeClr w14:val="tx1"/>
                  </w14:solidFill>
                </w14:textFill>
              </w:rPr>
              <w:t>）</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t>100立方米</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二</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74kw推土机退运土(10-20m）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39.90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三</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18.94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四</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其他措施</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土地翻耕</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0.7980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2</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土壤培肥</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0.7980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3</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土地损毁监测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37" w:type="dxa"/>
            <w:gridSpan w:val="4"/>
            <w:noWrap w:val="0"/>
            <w:vAlign w:val="center"/>
          </w:tcPr>
          <w:p>
            <w:pPr>
              <w:snapToGrid w:val="0"/>
              <w:jc w:val="center"/>
              <w:rPr>
                <w:rFonts w:hint="default" w:ascii="仿宋_GB2312" w:hAnsi="仿宋_GB2312" w:eastAsia="仿宋_GB2312" w:cs="仿宋_GB2312"/>
                <w:b w:val="0"/>
                <w:bCs/>
                <w:color w:val="000000" w:themeColor="text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疏勒县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表土回覆</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74kw推土机退运土(10-20m）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二</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土地平整工程</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（一）</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土地平整</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74kw推土机（10-20m）</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100立方米</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szCs w:val="21"/>
                <w:lang w:val="en-US" w:eastAsia="zh-CN"/>
                <w14:textFill>
                  <w14:solidFill>
                    <w14:schemeClr w14:val="tx1"/>
                  </w14:solidFill>
                </w14:textFill>
              </w:rPr>
              <w:t>9.30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三</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其他措施</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1</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土地翻耕</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2</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土壤培肥</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3</w:t>
            </w:r>
          </w:p>
        </w:tc>
        <w:tc>
          <w:tcPr>
            <w:tcW w:w="4452"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栽植苗木</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100株</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4</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灌溉管护</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公顷</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5</w:t>
            </w:r>
          </w:p>
        </w:tc>
        <w:tc>
          <w:tcPr>
            <w:tcW w:w="4452"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补植补种（按管护面积的30%）苗木</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14:textFill>
                  <w14:solidFill>
                    <w14:schemeClr w14:val="tx1"/>
                  </w14:solidFill>
                </w14:textFill>
              </w:rPr>
              <w:t>100株</w:t>
            </w:r>
          </w:p>
        </w:tc>
        <w:tc>
          <w:tcPr>
            <w:tcW w:w="1101"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6</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土壤监测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7</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土地损毁监测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87" w:type="dxa"/>
            <w:noWrap w:val="0"/>
            <w:vAlign w:val="center"/>
          </w:tcPr>
          <w:p>
            <w:pPr>
              <w:snapToGrid w:val="0"/>
              <w:jc w:val="center"/>
              <w:rPr>
                <w:rFonts w:hint="default"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t>8</w:t>
            </w:r>
          </w:p>
        </w:tc>
        <w:tc>
          <w:tcPr>
            <w:tcW w:w="445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植被监测</w:t>
            </w:r>
          </w:p>
        </w:tc>
        <w:tc>
          <w:tcPr>
            <w:tcW w:w="1497"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Cs w:val="21"/>
                <w:lang w:val="en-US" w:eastAsia="zh-CN"/>
                <w14:textFill>
                  <w14:solidFill>
                    <w14:schemeClr w14:val="tx1"/>
                  </w14:solidFill>
                </w14:textFill>
              </w:rPr>
              <w:t>次</w:t>
            </w:r>
          </w:p>
        </w:tc>
        <w:tc>
          <w:tcPr>
            <w:tcW w:w="1101" w:type="dxa"/>
            <w:noWrap w:val="0"/>
            <w:vAlign w:val="center"/>
          </w:tcPr>
          <w:p>
            <w:pPr>
              <w:snapToGrid w:val="0"/>
              <w:jc w:val="cente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t>6</w:t>
            </w:r>
          </w:p>
        </w:tc>
      </w:tr>
    </w:tbl>
    <w:p>
      <w:pPr>
        <w:pStyle w:val="5"/>
        <w:pageBreakBefore w:val="0"/>
        <w:kinsoku/>
        <w:wordWrap/>
        <w:topLinePunct w:val="0"/>
        <w:bidi w:val="0"/>
        <w:adjustRightInd w:val="0"/>
        <w:snapToGrid w:val="0"/>
        <w:spacing w:before="0" w:after="0" w:line="360" w:lineRule="auto"/>
        <w:rPr>
          <w:rStyle w:val="28"/>
          <w:rFonts w:ascii="Times New Roman" w:hAnsi="Times New Roman"/>
          <w:b w:val="0"/>
          <w:bCs w:val="0"/>
          <w:color w:val="000000" w:themeColor="text1"/>
          <w14:textFill>
            <w14:solidFill>
              <w14:schemeClr w14:val="tx1"/>
            </w14:solidFill>
          </w14:textFill>
        </w:rPr>
      </w:pPr>
      <w:r>
        <w:rPr>
          <w:rStyle w:val="28"/>
          <w:rFonts w:ascii="Times New Roman" w:hAnsi="Times New Roman"/>
          <w:b w:val="0"/>
          <w:bCs w:val="0"/>
          <w:color w:val="000000" w:themeColor="text1"/>
          <w14:textFill>
            <w14:solidFill>
              <w14:schemeClr w14:val="tx1"/>
            </w14:solidFill>
          </w14:textFill>
        </w:rPr>
        <w:t>6.4</w:t>
      </w:r>
      <w:r>
        <w:rPr>
          <w:rStyle w:val="28"/>
          <w:rFonts w:hint="eastAsia" w:hAnsi="黑体" w:eastAsia="黑体" w:cs="黑体"/>
          <w:b w:val="0"/>
          <w:bCs w:val="0"/>
          <w:color w:val="000000" w:themeColor="text1"/>
          <w14:textFill>
            <w14:solidFill>
              <w14:schemeClr w14:val="tx1"/>
            </w14:solidFill>
          </w14:textFill>
        </w:rPr>
        <w:t>复垦施工组织设计</w:t>
      </w:r>
      <w:bookmarkEnd w:id="149"/>
      <w:bookmarkEnd w:id="150"/>
      <w:bookmarkEnd w:id="151"/>
    </w:p>
    <w:p>
      <w:pPr>
        <w:pStyle w:val="6"/>
        <w:pageBreakBefore w:val="0"/>
        <w:tabs>
          <w:tab w:val="left" w:pos="0"/>
        </w:tabs>
        <w:kinsoku/>
        <w:wordWrap/>
        <w:topLinePunct w:val="0"/>
        <w:bidi w:val="0"/>
        <w:adjustRightInd w:val="0"/>
        <w:snapToGrid w:val="0"/>
        <w:spacing w:before="0" w:beforeAutospacing="0" w:after="0" w:afterAutospacing="0" w:line="360" w:lineRule="auto"/>
        <w:rPr>
          <w:rFonts w:eastAsia="黑体"/>
          <w:bCs w:val="0"/>
          <w:color w:val="000000" w:themeColor="text1"/>
          <w:sz w:val="28"/>
          <w14:textFill>
            <w14:solidFill>
              <w14:schemeClr w14:val="tx1"/>
            </w14:solidFill>
          </w14:textFill>
        </w:rPr>
      </w:pPr>
      <w:r>
        <w:rPr>
          <w:rFonts w:eastAsia="仿宋_GB2312"/>
          <w:bCs w:val="0"/>
          <w:color w:val="000000" w:themeColor="text1"/>
          <w:sz w:val="28"/>
          <w14:textFill>
            <w14:solidFill>
              <w14:schemeClr w14:val="tx1"/>
            </w14:solidFill>
          </w14:textFill>
        </w:rPr>
        <w:t>6.4.1</w:t>
      </w:r>
      <w:r>
        <w:rPr>
          <w:rFonts w:eastAsia="黑体"/>
          <w:bCs w:val="0"/>
          <w:color w:val="000000" w:themeColor="text1"/>
          <w:sz w:val="28"/>
          <w14:textFill>
            <w14:solidFill>
              <w14:schemeClr w14:val="tx1"/>
            </w14:solidFill>
          </w14:textFill>
        </w:rPr>
        <w:t xml:space="preserve"> 施工条件及特点</w:t>
      </w:r>
    </w:p>
    <w:p>
      <w:pPr>
        <w:pageBreakBefore w:val="0"/>
        <w:kinsoku/>
        <w:wordWrap/>
        <w:topLinePunct w:val="0"/>
        <w:autoSpaceDE w:val="0"/>
        <w:autoSpaceDN w:val="0"/>
        <w:bidi w:val="0"/>
        <w:adjustRightInd w:val="0"/>
        <w:snapToGrid w:val="0"/>
        <w:spacing w:line="360" w:lineRule="auto"/>
        <w:ind w:firstLine="480" w:firstLineChars="200"/>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项目区位于喀什地区喀什市、疏勒县、疏附县境内，项目具有以下几个条件与特点：</w:t>
      </w:r>
    </w:p>
    <w:p>
      <w:pPr>
        <w:pageBreakBefore w:val="0"/>
        <w:numPr>
          <w:ilvl w:val="0"/>
          <w:numId w:val="3"/>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bookmarkStart w:id="152" w:name="_Toc167865086"/>
      <w:bookmarkStart w:id="153" w:name="_Toc220431370"/>
      <w:bookmarkStart w:id="154" w:name="_Toc235584015"/>
      <w:bookmarkStart w:id="155" w:name="_Toc197144982"/>
      <w:bookmarkStart w:id="156" w:name="_Toc214450096"/>
      <w:bookmarkStart w:id="157" w:name="_Toc176235004"/>
      <w:r>
        <w:rPr>
          <w:rFonts w:hint="eastAsia" w:eastAsia="仿宋_GB2312"/>
          <w:color w:val="000000" w:themeColor="text1"/>
          <w:sz w:val="24"/>
          <w14:textFill>
            <w14:solidFill>
              <w14:schemeClr w14:val="tx1"/>
            </w14:solidFill>
          </w14:textFill>
        </w:rPr>
        <w:t>地形条件</w:t>
      </w:r>
      <w:bookmarkEnd w:id="152"/>
      <w:bookmarkEnd w:id="153"/>
      <w:bookmarkEnd w:id="154"/>
      <w:bookmarkEnd w:id="155"/>
      <w:bookmarkEnd w:id="156"/>
      <w:bookmarkEnd w:id="157"/>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highlight w:val="none"/>
          <w:lang w:val="en-US" w:eastAsia="zh-CN" w:bidi="ar"/>
          <w14:textFill>
            <w14:solidFill>
              <w14:schemeClr w14:val="tx1"/>
            </w14:solidFill>
          </w14:textFill>
        </w:rPr>
        <w:t>项目区处于盖孜河-库山河冲积平原上，塔克拉玛干大沙漠边缘，多为第四系松散沉积物。区内多为耕地，并广泛分布着少量的红柳林、沼泽地和盐碱地。地形总的趋势由西南向东北倾斜，地面坡降1/500-1/1500左右</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b)、</w:t>
      </w:r>
      <w:r>
        <w:rPr>
          <w:rFonts w:eastAsia="仿宋_GB2312"/>
          <w:color w:val="000000" w:themeColor="text1"/>
          <w:sz w:val="24"/>
          <w14:textFill>
            <w14:solidFill>
              <w14:schemeClr w14:val="tx1"/>
            </w14:solidFill>
          </w14:textFill>
        </w:rPr>
        <w:t>气候条件</w:t>
      </w:r>
    </w:p>
    <w:p>
      <w:pPr>
        <w:pageBreakBefore w:val="0"/>
        <w:kinsoku/>
        <w:wordWrap/>
        <w:overflowPunct/>
        <w:topLinePunct w:val="0"/>
        <w:bidi w:val="0"/>
        <w:spacing w:line="360" w:lineRule="auto"/>
        <w:ind w:right="0" w:rightChars="0" w:firstLine="480" w:firstLineChars="200"/>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pPr>
      <w:bookmarkStart w:id="158" w:name="_Toc167865088"/>
      <w:bookmarkStart w:id="159" w:name="_Toc220431371"/>
      <w:bookmarkStart w:id="160" w:name="_Toc214450097"/>
      <w:bookmarkStart w:id="161" w:name="_Toc235584016"/>
      <w:bookmarkStart w:id="162" w:name="_Toc176235005"/>
      <w:bookmarkStart w:id="163" w:name="_Toc197144983"/>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项目区</w:t>
      </w:r>
      <w:r>
        <w:rPr>
          <w:rFonts w:hint="eastAsia" w:ascii="Times New Roman" w:hAnsi="Times New Roman" w:eastAsia="仿宋_GB2312" w:cs="Times New Roman"/>
          <w:b w:val="0"/>
          <w:bCs w:val="0"/>
          <w:color w:val="000000" w:themeColor="text1"/>
          <w:sz w:val="24"/>
          <w14:textFill>
            <w14:solidFill>
              <w14:schemeClr w14:val="tx1"/>
            </w14:solidFill>
          </w14:textFill>
        </w:rPr>
        <w:t>位于塔克拉玛干沙漠边缘，远离海洋，气候干燥，属典型大陆性气候, 最冷月1月的平均气温为-5.9℃，属于寒冷地区；多年平均气温11.4℃，多年平均降水量为68.7mm，多年平均蒸发量2274.6mm，多年最大冻土深度为65cm</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c</w:t>
      </w:r>
      <w:r>
        <w:rPr>
          <w:rFonts w:hint="eastAsia" w:ascii="Times New Roman" w:hAnsi="Times New Roman" w:eastAsia="仿宋_GB2312" w:cs="Times New Roman"/>
          <w:color w:val="000000" w:themeColor="text1"/>
          <w:sz w:val="24"/>
          <w:lang w:eastAsia="zh-CN"/>
          <w14:textFill>
            <w14:solidFill>
              <w14:schemeClr w14:val="tx1"/>
            </w14:solidFill>
          </w14:textFill>
        </w:rPr>
        <w:t>）交通</w:t>
      </w:r>
      <w:bookmarkEnd w:id="158"/>
      <w:r>
        <w:rPr>
          <w:rFonts w:hint="eastAsia" w:ascii="Times New Roman" w:hAnsi="Times New Roman" w:eastAsia="仿宋_GB2312" w:cs="Times New Roman"/>
          <w:color w:val="000000" w:themeColor="text1"/>
          <w:sz w:val="24"/>
          <w:lang w:eastAsia="zh-CN"/>
          <w14:textFill>
            <w14:solidFill>
              <w14:schemeClr w14:val="tx1"/>
            </w14:solidFill>
          </w14:textFill>
        </w:rPr>
        <w:t>条件</w:t>
      </w:r>
      <w:bookmarkEnd w:id="159"/>
      <w:bookmarkEnd w:id="160"/>
      <w:bookmarkEnd w:id="161"/>
      <w:bookmarkEnd w:id="162"/>
      <w:bookmarkEnd w:id="163"/>
    </w:p>
    <w:p>
      <w:pPr>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sz w:val="24"/>
          <w:lang w:eastAsia="zh-CN"/>
          <w14:textFill>
            <w14:solidFill>
              <w14:schemeClr w14:val="tx1"/>
            </w14:solidFill>
          </w14:textFill>
        </w:rPr>
      </w:pPr>
      <w:bookmarkStart w:id="164" w:name="_Toc214450098"/>
      <w:bookmarkStart w:id="165" w:name="_Toc176235006"/>
      <w:bookmarkStart w:id="166" w:name="_Toc197144984"/>
      <w:bookmarkStart w:id="167" w:name="_Toc220431372"/>
      <w:bookmarkStart w:id="168" w:name="_Toc167865087"/>
      <w:bookmarkStart w:id="169" w:name="_Toc235584017"/>
      <w:r>
        <w:rPr>
          <w:rFonts w:hint="eastAsia" w:ascii="Times New Roman" w:hAnsi="Times New Roman" w:eastAsia="仿宋_GB2312" w:cs="Times New Roman"/>
          <w:color w:val="000000" w:themeColor="text1"/>
          <w:sz w:val="24"/>
          <w:lang w:eastAsia="zh-CN"/>
          <w14:textFill>
            <w14:solidFill>
              <w14:schemeClr w14:val="tx1"/>
            </w14:solidFill>
          </w14:textFill>
        </w:rPr>
        <w:t>本工程为</w:t>
      </w:r>
      <w:r>
        <w:rPr>
          <w:rFonts w:hint="eastAsia" w:eastAsia="仿宋_GB2312" w:cs="Times New Roman"/>
          <w:color w:val="000000" w:themeColor="text1"/>
          <w:sz w:val="24"/>
          <w:lang w:eastAsia="zh-CN"/>
          <w14:textFill>
            <w14:solidFill>
              <w14:schemeClr w14:val="tx1"/>
            </w14:solidFill>
          </w14:textFill>
        </w:rPr>
        <w:t>加固水利设施</w:t>
      </w:r>
      <w:r>
        <w:rPr>
          <w:rFonts w:hint="eastAsia" w:ascii="Times New Roman" w:hAnsi="Times New Roman" w:eastAsia="仿宋_GB2312" w:cs="Times New Roman"/>
          <w:color w:val="000000" w:themeColor="text1"/>
          <w:sz w:val="24"/>
          <w:lang w:eastAsia="zh-CN"/>
          <w14:textFill>
            <w14:solidFill>
              <w14:schemeClr w14:val="tx1"/>
            </w14:solidFill>
          </w14:textFill>
        </w:rPr>
        <w:t>，施工交通使用项目区原有道路</w:t>
      </w:r>
      <w:r>
        <w:rPr>
          <w:rFonts w:hint="eastAsia"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部分乡村公路。</w:t>
      </w:r>
    </w:p>
    <w:p>
      <w:pPr>
        <w:pageBreakBefore w:val="0"/>
        <w:kinsoku/>
        <w:wordWrap/>
        <w:topLinePunct w:val="0"/>
        <w:bidi w:val="0"/>
        <w:adjustRightInd w:val="0"/>
        <w:snapToGrid w:val="0"/>
        <w:spacing w:line="360" w:lineRule="auto"/>
        <w:ind w:firstLine="480" w:firstLineChars="200"/>
        <w:rPr>
          <w:rFonts w:hint="eastAsia" w:ascii="Times New Roman" w:hAnsi="Times New Roman" w:eastAsia="仿宋_GB2312" w:cs="Times New Roman"/>
          <w:color w:val="000000" w:themeColor="text1"/>
          <w:sz w:val="24"/>
          <w:lang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d）</w:t>
      </w:r>
      <w:r>
        <w:rPr>
          <w:rFonts w:hint="eastAsia" w:ascii="Times New Roman" w:hAnsi="Times New Roman" w:eastAsia="仿宋_GB2312" w:cs="Times New Roman"/>
          <w:color w:val="000000" w:themeColor="text1"/>
          <w:sz w:val="24"/>
          <w:lang w:eastAsia="zh-CN"/>
          <w14:textFill>
            <w14:solidFill>
              <w14:schemeClr w14:val="tx1"/>
            </w14:solidFill>
          </w14:textFill>
        </w:rPr>
        <w:t>主要建筑材料供应</w:t>
      </w:r>
      <w:bookmarkEnd w:id="164"/>
      <w:bookmarkEnd w:id="165"/>
      <w:bookmarkEnd w:id="166"/>
      <w:bookmarkEnd w:id="167"/>
      <w:bookmarkEnd w:id="168"/>
      <w:bookmarkEnd w:id="169"/>
    </w:p>
    <w:p>
      <w:pPr>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lang w:eastAsia="zh-CN"/>
          <w14:textFill>
            <w14:solidFill>
              <w14:schemeClr w14:val="tx1"/>
            </w14:solidFill>
          </w14:textFill>
        </w:rPr>
        <w:t>天然建筑材料与</w:t>
      </w:r>
      <w:r>
        <w:rPr>
          <w:rFonts w:hint="eastAsia" w:eastAsia="仿宋_GB2312" w:cs="Times New Roman"/>
          <w:color w:val="000000" w:themeColor="text1"/>
          <w:sz w:val="24"/>
          <w:lang w:eastAsia="zh-CN"/>
          <w14:textFill>
            <w14:solidFill>
              <w14:schemeClr w14:val="tx1"/>
            </w14:solidFill>
          </w14:textFill>
        </w:rPr>
        <w:t>建设项目</w:t>
      </w:r>
      <w:r>
        <w:rPr>
          <w:rFonts w:hint="default" w:ascii="Times New Roman" w:hAnsi="Times New Roman" w:eastAsia="仿宋_GB2312" w:cs="Times New Roman"/>
          <w:color w:val="000000" w:themeColor="text1"/>
          <w:sz w:val="24"/>
          <w:lang w:eastAsia="zh-CN"/>
          <w14:textFill>
            <w14:solidFill>
              <w14:schemeClr w14:val="tx1"/>
            </w14:solidFill>
          </w14:textFill>
        </w:rPr>
        <w:t>使用的料源基本一致</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 xml:space="preserve"> </w:t>
      </w:r>
    </w:p>
    <w:p>
      <w:pPr>
        <w:pageBreakBefore w:val="0"/>
        <w:kinsoku/>
        <w:wordWrap/>
        <w:topLinePunct w:val="0"/>
        <w:autoSpaceDE w:val="0"/>
        <w:autoSpaceDN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本项目工程量较大，全线须统筹安排，以合理安排工期。</w:t>
      </w:r>
      <w:r>
        <w:rPr>
          <w:rFonts w:hint="eastAsia" w:eastAsia="仿宋_GB2312"/>
          <w:color w:val="000000" w:themeColor="text1"/>
          <w:sz w:val="24"/>
          <w:lang w:eastAsia="zh-CN"/>
          <w14:textFill>
            <w14:solidFill>
              <w14:schemeClr w14:val="tx1"/>
            </w14:solidFill>
          </w14:textFill>
        </w:rPr>
        <w:t>喀什地区政府</w:t>
      </w:r>
      <w:r>
        <w:rPr>
          <w:rFonts w:hint="eastAsia" w:eastAsia="仿宋_GB2312"/>
          <w:color w:val="000000" w:themeColor="text1"/>
          <w:sz w:val="24"/>
          <w14:textFill>
            <w14:solidFill>
              <w14:schemeClr w14:val="tx1"/>
            </w14:solidFill>
          </w14:textFill>
        </w:rPr>
        <w:t>和当地人民群众对本项目的实施持积极的支持态度，因此本项目施工具有良好的社会环境。</w:t>
      </w:r>
    </w:p>
    <w:p>
      <w:pPr>
        <w:pStyle w:val="6"/>
        <w:pageBreakBefore w:val="0"/>
        <w:tabs>
          <w:tab w:val="left" w:pos="0"/>
        </w:tabs>
        <w:kinsoku/>
        <w:wordWrap/>
        <w:topLinePunct w:val="0"/>
        <w:bidi w:val="0"/>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 xml:space="preserve">6.4.2 </w:t>
      </w:r>
      <w:r>
        <w:rPr>
          <w:rFonts w:hint="eastAsia" w:ascii="黑体" w:hAnsi="黑体" w:eastAsia="黑体" w:cs="黑体"/>
          <w:bCs w:val="0"/>
          <w:color w:val="000000" w:themeColor="text1"/>
          <w:sz w:val="28"/>
          <w14:textFill>
            <w14:solidFill>
              <w14:schemeClr w14:val="tx1"/>
            </w14:solidFill>
          </w14:textFill>
        </w:rPr>
        <w:t>施工总布置</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bookmarkStart w:id="170" w:name="_Toc183661635"/>
      <w:bookmarkStart w:id="171" w:name="_Toc134801945"/>
      <w:bookmarkStart w:id="172" w:name="_Toc132696778"/>
      <w:bookmarkStart w:id="173" w:name="_Toc183918188"/>
      <w:bookmarkStart w:id="174" w:name="_Toc134520046"/>
      <w:bookmarkStart w:id="175" w:name="_Toc180297534"/>
      <w:bookmarkStart w:id="176" w:name="_Toc113116879"/>
      <w:bookmarkStart w:id="177" w:name="_Toc182198168"/>
      <w:r>
        <w:rPr>
          <w:rFonts w:hint="eastAsia" w:eastAsia="仿宋_GB2312"/>
          <w:color w:val="000000" w:themeColor="text1"/>
          <w:sz w:val="24"/>
          <w:lang w:eastAsia="zh-CN"/>
          <w14:textFill>
            <w14:solidFill>
              <w14:schemeClr w14:val="tx1"/>
            </w14:solidFill>
          </w14:textFill>
        </w:rPr>
        <w:t>由于该工程占地</w:t>
      </w:r>
      <w:r>
        <w:rPr>
          <w:rFonts w:hint="eastAsia" w:eastAsia="仿宋_GB2312"/>
          <w:color w:val="000000" w:themeColor="text1"/>
          <w:sz w:val="24"/>
          <w14:textFill>
            <w14:solidFill>
              <w14:schemeClr w14:val="tx1"/>
            </w14:solidFill>
          </w14:textFill>
        </w:rPr>
        <w:t>面积大，施工周期</w:t>
      </w:r>
      <w:r>
        <w:rPr>
          <w:rFonts w:hint="eastAsia" w:eastAsia="仿宋_GB2312"/>
          <w:color w:val="000000" w:themeColor="text1"/>
          <w:sz w:val="24"/>
          <w:lang w:eastAsia="zh-CN"/>
          <w14:textFill>
            <w14:solidFill>
              <w14:schemeClr w14:val="tx1"/>
            </w14:solidFill>
          </w14:textFill>
        </w:rPr>
        <w:t>较</w:t>
      </w:r>
      <w:r>
        <w:rPr>
          <w:rFonts w:hint="eastAsia" w:eastAsia="仿宋_GB2312"/>
          <w:color w:val="000000" w:themeColor="text1"/>
          <w:sz w:val="24"/>
          <w14:textFill>
            <w14:solidFill>
              <w14:schemeClr w14:val="tx1"/>
            </w14:solidFill>
          </w14:textFill>
        </w:rPr>
        <w:t>长，施工总平面布置应进行专项设计。</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a）施工道路</w:t>
      </w:r>
      <w:bookmarkEnd w:id="170"/>
      <w:bookmarkEnd w:id="171"/>
      <w:bookmarkEnd w:id="172"/>
      <w:bookmarkEnd w:id="173"/>
      <w:bookmarkEnd w:id="174"/>
      <w:bookmarkEnd w:id="175"/>
      <w:bookmarkEnd w:id="176"/>
      <w:bookmarkEnd w:id="177"/>
    </w:p>
    <w:p>
      <w:pPr>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bookmarkStart w:id="178" w:name="_Toc182198169"/>
      <w:bookmarkStart w:id="179" w:name="_Toc134520047"/>
      <w:bookmarkStart w:id="180" w:name="_Toc132696779"/>
      <w:bookmarkStart w:id="181" w:name="_Toc134801946"/>
      <w:bookmarkStart w:id="182" w:name="_Toc113116880"/>
      <w:bookmarkStart w:id="183" w:name="_Toc180297535"/>
      <w:bookmarkStart w:id="184" w:name="_Toc183661636"/>
      <w:bookmarkStart w:id="185" w:name="_Toc183918189"/>
      <w:r>
        <w:rPr>
          <w:rFonts w:hint="eastAsia" w:ascii="Times New Roman" w:hAnsi="Times New Roman" w:eastAsia="仿宋_GB2312" w:cs="Times New Roman"/>
          <w:color w:val="000000" w:themeColor="text1"/>
          <w:sz w:val="24"/>
          <w:lang w:eastAsia="zh-CN"/>
          <w14:textFill>
            <w14:solidFill>
              <w14:schemeClr w14:val="tx1"/>
            </w14:solidFill>
          </w14:textFill>
        </w:rPr>
        <w:t>本工程为</w:t>
      </w:r>
      <w:r>
        <w:rPr>
          <w:rFonts w:hint="eastAsia" w:eastAsia="仿宋_GB2312" w:cs="Times New Roman"/>
          <w:color w:val="000000" w:themeColor="text1"/>
          <w:sz w:val="24"/>
          <w:lang w:eastAsia="zh-CN"/>
          <w14:textFill>
            <w14:solidFill>
              <w14:schemeClr w14:val="tx1"/>
            </w14:solidFill>
          </w14:textFill>
        </w:rPr>
        <w:t>加固水利设施</w:t>
      </w:r>
      <w:r>
        <w:rPr>
          <w:rFonts w:hint="eastAsia" w:ascii="Times New Roman" w:hAnsi="Times New Roman" w:eastAsia="仿宋_GB2312" w:cs="Times New Roman"/>
          <w:color w:val="000000" w:themeColor="text1"/>
          <w:sz w:val="24"/>
          <w:lang w:eastAsia="zh-CN"/>
          <w14:textFill>
            <w14:solidFill>
              <w14:schemeClr w14:val="tx1"/>
            </w14:solidFill>
          </w14:textFill>
        </w:rPr>
        <w:t>，施工交通使用项目区原有道路及部分乡村公路。</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b）施工供电</w:t>
      </w:r>
      <w:bookmarkEnd w:id="178"/>
      <w:bookmarkEnd w:id="179"/>
      <w:bookmarkEnd w:id="180"/>
      <w:bookmarkEnd w:id="181"/>
      <w:bookmarkEnd w:id="182"/>
      <w:bookmarkEnd w:id="183"/>
      <w:bookmarkEnd w:id="184"/>
      <w:bookmarkEnd w:id="185"/>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default" w:ascii="Times New Roman" w:hAnsi="Times New Roman" w:eastAsia="仿宋_GB2312" w:cs="Times New Roman"/>
          <w:color w:val="000000" w:themeColor="text1"/>
          <w:sz w:val="24"/>
          <w:szCs w:val="24"/>
          <w14:textFill>
            <w14:solidFill>
              <w14:schemeClr w14:val="tx1"/>
            </w14:solidFill>
          </w14:textFill>
        </w:rPr>
      </w:pPr>
      <w:bookmarkStart w:id="186" w:name="_Toc134801948"/>
      <w:bookmarkStart w:id="187" w:name="_Toc132696781"/>
      <w:bookmarkStart w:id="188" w:name="_Toc134520049"/>
      <w:bookmarkStart w:id="189" w:name="_Toc113116882"/>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4"/>
          <w:szCs w:val="24"/>
          <w14:textFill>
            <w14:solidFill>
              <w14:schemeClr w14:val="tx1"/>
            </w14:solidFill>
          </w14:textFill>
        </w:rPr>
        <w:t>施工用电可直接从现有的</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高压线路</w:t>
      </w:r>
      <w:r>
        <w:rPr>
          <w:rFonts w:hint="default" w:ascii="Times New Roman" w:hAnsi="Times New Roman" w:eastAsia="仿宋_GB2312" w:cs="Times New Roman"/>
          <w:color w:val="000000" w:themeColor="text1"/>
          <w:sz w:val="24"/>
          <w:szCs w:val="24"/>
          <w14:textFill>
            <w14:solidFill>
              <w14:schemeClr w14:val="tx1"/>
            </w14:solidFill>
          </w14:textFill>
        </w:rPr>
        <w:t>接线，需架设2.0km10KV输电线路至</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项目区各临时占地区域</w:t>
      </w:r>
      <w:r>
        <w:rPr>
          <w:rFonts w:hint="default" w:ascii="Times New Roman" w:hAnsi="Times New Roman" w:eastAsia="仿宋_GB2312" w:cs="Times New Roman"/>
          <w:color w:val="000000" w:themeColor="text1"/>
          <w:sz w:val="24"/>
          <w:szCs w:val="24"/>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c</w:t>
      </w:r>
      <w:r>
        <w:rPr>
          <w:rFonts w:hint="eastAsia" w:eastAsia="仿宋_GB2312"/>
          <w:color w:val="000000" w:themeColor="text1"/>
          <w:sz w:val="24"/>
          <w14:textFill>
            <w14:solidFill>
              <w14:schemeClr w14:val="tx1"/>
            </w14:solidFill>
          </w14:textFill>
        </w:rPr>
        <w:t>）施工及生活用水</w:t>
      </w:r>
      <w:bookmarkEnd w:id="186"/>
      <w:bookmarkEnd w:id="187"/>
      <w:bookmarkEnd w:id="188"/>
      <w:bookmarkEnd w:id="189"/>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 xml:space="preserve">   项目区</w:t>
      </w:r>
      <w:r>
        <w:rPr>
          <w:rFonts w:hint="eastAsia" w:ascii="Times New Roman" w:hAnsi="Times New Roman" w:eastAsia="仿宋_GB2312" w:cs="Times New Roman"/>
          <w:color w:val="000000" w:themeColor="text1"/>
          <w:sz w:val="24"/>
          <w:szCs w:val="24"/>
          <w14:textFill>
            <w14:solidFill>
              <w14:schemeClr w14:val="tx1"/>
            </w14:solidFill>
          </w14:textFill>
        </w:rPr>
        <w:t>沿线大部分路段地下水埋藏较深，工程用水大部分取自</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乡镇</w:t>
      </w:r>
      <w:r>
        <w:rPr>
          <w:rFonts w:hint="eastAsia" w:ascii="Times New Roman" w:hAnsi="Times New Roman" w:eastAsia="仿宋_GB2312" w:cs="Times New Roman"/>
          <w:color w:val="000000" w:themeColor="text1"/>
          <w:sz w:val="24"/>
          <w:szCs w:val="24"/>
          <w14:textFill>
            <w14:solidFill>
              <w14:schemeClr w14:val="tx1"/>
            </w14:solidFill>
          </w14:textFill>
        </w:rPr>
        <w:t>用水及沿线</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沟渠、河流。</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Times New Roman" w:hAnsi="Times New Roman" w:eastAsia="仿宋_GB2312" w:cs="Times New Roman"/>
          <w:color w:val="000000" w:themeColor="text1"/>
          <w:sz w:val="24"/>
          <w:szCs w:val="24"/>
          <w14:textFill>
            <w14:solidFill>
              <w14:schemeClr w14:val="tx1"/>
            </w14:solidFill>
          </w14:textFill>
        </w:rPr>
      </w:pPr>
      <w:r>
        <w:rPr>
          <w:rFonts w:hint="eastAsia" w:eastAsia="仿宋_GB2312"/>
          <w:b/>
          <w:color w:val="000000" w:themeColor="text1"/>
          <w:sz w:val="28"/>
          <w14:textFill>
            <w14:solidFill>
              <w14:schemeClr w14:val="tx1"/>
            </w14:solidFill>
          </w14:textFill>
        </w:rPr>
        <w:t>6.4.</w:t>
      </w:r>
      <w:r>
        <w:rPr>
          <w:rFonts w:hint="eastAsia" w:eastAsia="仿宋_GB2312"/>
          <w:b/>
          <w:color w:val="000000" w:themeColor="text1"/>
          <w:sz w:val="28"/>
          <w:lang w:val="en-US" w:eastAsia="zh-CN"/>
          <w14:textFill>
            <w14:solidFill>
              <w14:schemeClr w14:val="tx1"/>
            </w14:solidFill>
          </w14:textFill>
        </w:rPr>
        <w:t>3</w:t>
      </w:r>
      <w:r>
        <w:rPr>
          <w:rFonts w:hint="eastAsia" w:eastAsia="仿宋_GB2312"/>
          <w:b/>
          <w:color w:val="000000" w:themeColor="text1"/>
          <w:sz w:val="28"/>
          <w14:textFill>
            <w14:solidFill>
              <w14:schemeClr w14:val="tx1"/>
            </w14:solidFill>
          </w14:textFill>
        </w:rPr>
        <w:t>安全保证措施</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a）施工现场必须有技术人员统一指挥，严格遵循施工程序。</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b）施工人员进入施工现场，必须戴安全帽，扣紧帽带；高空作业必须系安全带、安全带应高挂低用，挂点牢靠。</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c）施工现场必须设置醒目的警世标志，采取警戒措施派专人负责。非工作人员不得随意进入施工现场。</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d）拆除物受自然气候、环境影响较大，密切注意，</w:t>
      </w:r>
      <w:r>
        <w:rPr>
          <w:rFonts w:hint="eastAsia" w:eastAsia="仿宋_GB2312"/>
          <w:color w:val="000000" w:themeColor="text1"/>
          <w:sz w:val="24"/>
          <w:lang w:eastAsia="zh-CN"/>
          <w14:textFill>
            <w14:solidFill>
              <w14:schemeClr w14:val="tx1"/>
            </w14:solidFill>
          </w14:textFill>
        </w:rPr>
        <w:t>防患于未然</w:t>
      </w:r>
      <w:r>
        <w:rPr>
          <w:rFonts w:hint="eastAsia" w:eastAsia="仿宋_GB2312"/>
          <w:color w:val="000000" w:themeColor="text1"/>
          <w:sz w:val="24"/>
          <w14:textFill>
            <w14:solidFill>
              <w14:schemeClr w14:val="tx1"/>
            </w14:solidFill>
          </w14:textFill>
        </w:rPr>
        <w:t>。每个工作日结束后，工程技术人员必须去现场检查，确认拆除物是否用加固，作到安全无隐患。</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e）项目区周围应设立拦护，挂警告牌，并派专人监护，严禁无关人员逗留。</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f）施工人员进行拆除工作时，应该站在专门搭设的脚手或者其它稳固的结构部分上进行操作。操作人员要戴安全帽和其它防护用品。</w:t>
      </w:r>
    </w:p>
    <w:p>
      <w:pPr>
        <w:pStyle w:val="4"/>
        <w:pageBreakBefore w:val="0"/>
        <w:kinsoku/>
        <w:wordWrap/>
        <w:topLinePunct w:val="0"/>
        <w:bidi w:val="0"/>
        <w:adjustRightInd w:val="0"/>
        <w:snapToGrid w:val="0"/>
        <w:spacing w:before="161" w:beforeLines="50" w:after="160" w:line="360" w:lineRule="auto"/>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eastAsia="仿宋_GB2312"/>
          <w:color w:val="000000" w:themeColor="text1"/>
          <w:sz w:val="24"/>
          <w14:textFill>
            <w14:solidFill>
              <w14:schemeClr w14:val="tx1"/>
            </w14:solidFill>
          </w14:textFill>
        </w:rPr>
        <w:br w:type="page"/>
      </w:r>
      <w:bookmarkStart w:id="190" w:name="_Toc14562"/>
      <w:bookmarkStart w:id="191" w:name="_Toc17947"/>
      <w:r>
        <w:rPr>
          <w:rFonts w:hint="eastAsia" w:eastAsia="仿宋_GB2312"/>
          <w:b w:val="0"/>
          <w:bCs w:val="0"/>
          <w:color w:val="000000" w:themeColor="text1"/>
          <w:sz w:val="32"/>
          <w:szCs w:val="32"/>
          <w14:textFill>
            <w14:solidFill>
              <w14:schemeClr w14:val="tx1"/>
            </w14:solidFill>
          </w14:textFill>
        </w:rPr>
        <w:t>7</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土地复垦方案投资估算</w:t>
      </w:r>
      <w:bookmarkEnd w:id="190"/>
      <w:bookmarkEnd w:id="191"/>
    </w:p>
    <w:p>
      <w:pPr>
        <w:pStyle w:val="5"/>
        <w:pageBreakBefore w:val="0"/>
        <w:kinsoku/>
        <w:wordWrap/>
        <w:topLinePunct w:val="0"/>
        <w:bidi w:val="0"/>
        <w:adjustRightInd w:val="0"/>
        <w:snapToGrid w:val="0"/>
        <w:spacing w:before="0" w:after="0" w:line="360" w:lineRule="auto"/>
        <w:rPr>
          <w:rFonts w:ascii="Times New Roman" w:hAnsi="Times New Roman" w:eastAsia="仿宋_GB2312"/>
          <w:b w:val="0"/>
          <w:color w:val="000000" w:themeColor="text1"/>
          <w:sz w:val="30"/>
          <w:szCs w:val="30"/>
          <w14:textFill>
            <w14:solidFill>
              <w14:schemeClr w14:val="tx1"/>
            </w14:solidFill>
          </w14:textFill>
        </w:rPr>
      </w:pPr>
      <w:bookmarkStart w:id="192" w:name="_Toc185001098"/>
      <w:bookmarkStart w:id="193" w:name="_Toc17497"/>
      <w:bookmarkStart w:id="194" w:name="_Toc3700"/>
      <w:bookmarkStart w:id="195" w:name="_Toc19492"/>
      <w:r>
        <w:rPr>
          <w:rFonts w:hint="eastAsia" w:ascii="Times New Roman" w:hAnsi="Times New Roman" w:eastAsia="仿宋_GB2312"/>
          <w:b w:val="0"/>
          <w:color w:val="000000" w:themeColor="text1"/>
          <w:sz w:val="30"/>
          <w:szCs w:val="30"/>
          <w14:textFill>
            <w14:solidFill>
              <w14:schemeClr w14:val="tx1"/>
            </w14:solidFill>
          </w14:textFill>
        </w:rPr>
        <w:t>7</w:t>
      </w:r>
      <w:r>
        <w:rPr>
          <w:rFonts w:ascii="Times New Roman" w:hAnsi="Times New Roman" w:eastAsia="仿宋_GB2312"/>
          <w:b w:val="0"/>
          <w:color w:val="000000" w:themeColor="text1"/>
          <w:sz w:val="30"/>
          <w:szCs w:val="30"/>
          <w14:textFill>
            <w14:solidFill>
              <w14:schemeClr w14:val="tx1"/>
            </w14:solidFill>
          </w14:textFill>
        </w:rPr>
        <w:t xml:space="preserve">.1 </w:t>
      </w:r>
      <w:r>
        <w:rPr>
          <w:rFonts w:hint="eastAsia" w:ascii="黑体" w:hAnsi="黑体" w:cs="黑体"/>
          <w:b w:val="0"/>
          <w:color w:val="000000" w:themeColor="text1"/>
          <w:sz w:val="30"/>
          <w:szCs w:val="30"/>
          <w14:textFill>
            <w14:solidFill>
              <w14:schemeClr w14:val="tx1"/>
            </w14:solidFill>
          </w14:textFill>
        </w:rPr>
        <w:t>投资估算编制依据</w:t>
      </w:r>
      <w:bookmarkEnd w:id="192"/>
      <w:r>
        <w:rPr>
          <w:rFonts w:hint="eastAsia" w:ascii="黑体" w:hAnsi="黑体" w:cs="黑体"/>
          <w:b w:val="0"/>
          <w:color w:val="000000" w:themeColor="text1"/>
          <w:sz w:val="30"/>
          <w:szCs w:val="30"/>
          <w14:textFill>
            <w14:solidFill>
              <w14:schemeClr w14:val="tx1"/>
            </w14:solidFill>
          </w14:textFill>
        </w:rPr>
        <w:t>及原则</w:t>
      </w:r>
      <w:bookmarkEnd w:id="193"/>
      <w:bookmarkEnd w:id="194"/>
      <w:bookmarkEnd w:id="195"/>
    </w:p>
    <w:p>
      <w:pPr>
        <w:pStyle w:val="6"/>
        <w:pageBreakBefore w:val="0"/>
        <w:kinsoku/>
        <w:wordWrap/>
        <w:topLinePunct w:val="0"/>
        <w:bidi w:val="0"/>
        <w:adjustRightInd w:val="0"/>
        <w:snapToGrid w:val="0"/>
        <w:spacing w:before="0" w:beforeAutospacing="0" w:after="0" w:afterAutospacing="0" w:line="360" w:lineRule="auto"/>
        <w:rPr>
          <w:rFonts w:hint="eastAsia" w:ascii="黑体" w:hAnsi="黑体" w:eastAsia="黑体" w:cs="黑体"/>
          <w:bCs w:val="0"/>
          <w:color w:val="000000" w:themeColor="text1"/>
          <w:sz w:val="28"/>
          <w14:textFill>
            <w14:solidFill>
              <w14:schemeClr w14:val="tx1"/>
            </w14:solidFill>
          </w14:textFill>
        </w:rPr>
      </w:pPr>
      <w:r>
        <w:rPr>
          <w:rFonts w:hint="eastAsia" w:eastAsia="仿宋_GB2312"/>
          <w:bCs w:val="0"/>
          <w:color w:val="000000" w:themeColor="text1"/>
          <w:sz w:val="28"/>
          <w14:textFill>
            <w14:solidFill>
              <w14:schemeClr w14:val="tx1"/>
            </w14:solidFill>
          </w14:textFill>
        </w:rPr>
        <w:t>7</w:t>
      </w:r>
      <w:r>
        <w:rPr>
          <w:rFonts w:eastAsia="仿宋_GB2312"/>
          <w:bCs w:val="0"/>
          <w:color w:val="000000" w:themeColor="text1"/>
          <w:sz w:val="28"/>
          <w14:textFill>
            <w14:solidFill>
              <w14:schemeClr w14:val="tx1"/>
            </w14:solidFill>
          </w14:textFill>
        </w:rPr>
        <w:t xml:space="preserve">.1.1 </w:t>
      </w:r>
      <w:r>
        <w:rPr>
          <w:rFonts w:hint="eastAsia" w:ascii="黑体" w:hAnsi="黑体" w:eastAsia="黑体" w:cs="黑体"/>
          <w:bCs w:val="0"/>
          <w:color w:val="000000" w:themeColor="text1"/>
          <w:sz w:val="28"/>
          <w14:textFill>
            <w14:solidFill>
              <w14:schemeClr w14:val="tx1"/>
            </w14:solidFill>
          </w14:textFill>
        </w:rPr>
        <w:t>投资估算编制依据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国土资源部土地整理中心《土地复垦方案编制实务》（2011年）；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b）《土地复垦方案编制规程》（TD/T1031.1-2011）；</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14:textFill>
            <w14:solidFill>
              <w14:schemeClr w14:val="tx1"/>
            </w14:solidFill>
          </w14:textFill>
        </w:rPr>
        <w:t>c）水利部《开发建设项目水土保持工程概（估）算编制规定》（2003年）；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d</w:t>
      </w:r>
      <w:r>
        <w:rPr>
          <w:rFonts w:hint="default" w:ascii="Times New Roman" w:hAnsi="Times New Roman" w:eastAsia="仿宋_GB2312" w:cs="Times New Roman"/>
          <w:color w:val="000000" w:themeColor="text1"/>
          <w:sz w:val="24"/>
          <w14:textFill>
            <w14:solidFill>
              <w14:schemeClr w14:val="tx1"/>
            </w14:solidFill>
          </w14:textFill>
        </w:rPr>
        <w:t>）《关于印发土地开发整理项目预算定额标准的通知》财综（2011）128号；</w:t>
      </w: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e</w:t>
      </w:r>
      <w:r>
        <w:rPr>
          <w:rFonts w:hint="default" w:ascii="Times New Roman" w:hAnsi="Times New Roman" w:eastAsia="仿宋_GB2312" w:cs="Times New Roman"/>
          <w:color w:val="000000" w:themeColor="text1"/>
          <w14:textFill>
            <w14:solidFill>
              <w14:schemeClr w14:val="tx1"/>
            </w14:solidFill>
          </w14:textFill>
        </w:rPr>
        <w:t xml:space="preserve">）《关于加强基本建设大中型项目概算中“价差预备费”管理的有关通知》（计投资﹝1999﹞1340号）；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f</w:t>
      </w:r>
      <w:r>
        <w:rPr>
          <w:rFonts w:hint="default" w:ascii="Times New Roman" w:hAnsi="Times New Roman" w:eastAsia="仿宋_GB2312" w:cs="Times New Roman"/>
          <w:color w:val="000000" w:themeColor="text1"/>
          <w:sz w:val="24"/>
          <w14:textFill>
            <w14:solidFill>
              <w14:schemeClr w14:val="tx1"/>
            </w14:solidFill>
          </w14:textFill>
        </w:rPr>
        <w:t>）新疆维吾尔自治区</w:t>
      </w:r>
      <w:r>
        <w:rPr>
          <w:rFonts w:hint="eastAsia" w:eastAsia="仿宋_GB2312" w:cs="Times New Roman"/>
          <w:color w:val="000000" w:themeColor="text1"/>
          <w:sz w:val="24"/>
          <w:lang w:eastAsia="zh-CN"/>
          <w14:textFill>
            <w14:solidFill>
              <w14:schemeClr w14:val="tx1"/>
            </w14:solidFill>
          </w14:textFill>
        </w:rPr>
        <w:t>喀什地区</w:t>
      </w:r>
      <w:r>
        <w:rPr>
          <w:rFonts w:hint="default" w:ascii="Times New Roman" w:hAnsi="Times New Roman" w:eastAsia="仿宋_GB2312" w:cs="Times New Roman"/>
          <w:color w:val="000000" w:themeColor="text1"/>
          <w:sz w:val="24"/>
          <w14:textFill>
            <w14:solidFill>
              <w14:schemeClr w14:val="tx1"/>
            </w14:solidFill>
          </w14:textFill>
        </w:rPr>
        <w:t>工程建设标准造价信息网发布的</w:t>
      </w:r>
      <w:r>
        <w:rPr>
          <w:rFonts w:hint="eastAsia" w:eastAsia="仿宋_GB2312" w:cs="Times New Roman"/>
          <w:color w:val="000000" w:themeColor="text1"/>
          <w:sz w:val="24"/>
          <w:lang w:eastAsia="zh-CN"/>
          <w14:textFill>
            <w14:solidFill>
              <w14:schemeClr w14:val="tx1"/>
            </w14:solidFill>
          </w14:textFill>
        </w:rPr>
        <w:t>2023年6月份</w:t>
      </w:r>
      <w:r>
        <w:rPr>
          <w:rFonts w:hint="default" w:ascii="Times New Roman" w:hAnsi="Times New Roman" w:eastAsia="仿宋_GB2312" w:cs="Times New Roman"/>
          <w:color w:val="000000" w:themeColor="text1"/>
          <w:sz w:val="24"/>
          <w14:textFill>
            <w14:solidFill>
              <w14:schemeClr w14:val="tx1"/>
            </w14:solidFill>
          </w14:textFill>
        </w:rPr>
        <w:t>材料价格以及实地调查价格；</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g</w:t>
      </w:r>
      <w:r>
        <w:rPr>
          <w:rFonts w:hint="default" w:ascii="Times New Roman" w:hAnsi="Times New Roman" w:eastAsia="仿宋_GB2312" w:cs="Times New Roman"/>
          <w:color w:val="000000" w:themeColor="text1"/>
          <w:sz w:val="24"/>
          <w14:textFill>
            <w14:solidFill>
              <w14:schemeClr w14:val="tx1"/>
            </w14:solidFill>
          </w14:textFill>
        </w:rPr>
        <w:t>）《新疆水利水电工程设计概（估）预算编制规定》新水建管（2005）108号；</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h</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《新疆维吾尔自治区公路工程建设项目估概预算编制办法补充规定》</w:t>
      </w:r>
      <w:r>
        <w:rPr>
          <w:rFonts w:hint="eastAsia" w:ascii="Times New Roman" w:hAnsi="Times New Roman" w:eastAsia="仿宋_GB2312" w:cs="Times New Roman"/>
          <w:color w:val="000000" w:themeColor="text1"/>
          <w:sz w:val="24"/>
          <w:lang w:val="en-US" w:eastAsia="zh-CN"/>
          <w14:textFill>
            <w14:solidFill>
              <w14:schemeClr w14:val="tx1"/>
            </w14:solidFill>
          </w14:textFill>
        </w:rPr>
        <w:t>新交规</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2021</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1号；</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9"/>
        <w:rPr>
          <w:rFonts w:hint="eastAsia"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i</w:t>
      </w:r>
      <w:r>
        <w:rPr>
          <w:rFonts w:hint="default"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14:textFill>
            <w14:solidFill>
              <w14:schemeClr w14:val="tx1"/>
            </w14:solidFill>
          </w14:textFill>
        </w:rPr>
        <w:t>国土资源部关于印发土地整治工程营业税改征增值税计价依据调整过渡实施方案的通知</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14:textFill>
            <w14:solidFill>
              <w14:schemeClr w14:val="tx1"/>
            </w14:solidFill>
          </w14:textFill>
        </w:rPr>
        <w:t>国土资厅发[2017]19号</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lang w:eastAsia="zh-CN"/>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j</w:t>
      </w:r>
      <w:r>
        <w:rPr>
          <w:rFonts w:hint="default"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财政部 税务总局 海关总署关于深化增值税改革有关政策的公告</w:t>
      </w:r>
      <w:r>
        <w:rPr>
          <w:rFonts w:hint="eastAsia" w:ascii="Times New Roman" w:hAnsi="Times New Roman" w:eastAsia="仿宋_GB2312"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财政部 税务总局 海关总署公告2019年第39号</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k</w:t>
      </w:r>
      <w:r>
        <w:rPr>
          <w:rFonts w:hint="default" w:ascii="Times New Roman" w:hAnsi="Times New Roman" w:eastAsia="仿宋_GB2312" w:cs="Times New Roman"/>
          <w:color w:val="000000" w:themeColor="text1"/>
          <w:sz w:val="24"/>
          <w14:textFill>
            <w14:solidFill>
              <w14:schemeClr w14:val="tx1"/>
            </w14:solidFill>
          </w14:textFill>
        </w:rPr>
        <w:t>）项目所在地的当地物价部门、物资部门等有关部门对材料设备价格的规定；</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l</w:t>
      </w:r>
      <w:r>
        <w:rPr>
          <w:rFonts w:hint="default" w:ascii="Times New Roman" w:hAnsi="Times New Roman" w:eastAsia="仿宋_GB2312" w:cs="Times New Roman"/>
          <w:color w:val="000000" w:themeColor="text1"/>
          <w:sz w:val="24"/>
          <w14:textFill>
            <w14:solidFill>
              <w14:schemeClr w14:val="tx1"/>
            </w14:solidFill>
          </w14:textFill>
        </w:rPr>
        <w:t>）项目规划工程量及相关图纸、资料；</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textAlignment w:val="auto"/>
        <w:outlineLvl w:val="9"/>
        <w:rPr>
          <w:rFonts w:hint="default"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val="en-US" w:eastAsia="zh-CN"/>
          <w14:textFill>
            <w14:solidFill>
              <w14:schemeClr w14:val="tx1"/>
            </w14:solidFill>
          </w14:textFill>
        </w:rPr>
        <w:t>m</w:t>
      </w:r>
      <w:r>
        <w:rPr>
          <w:rFonts w:hint="default" w:ascii="Times New Roman" w:hAnsi="Times New Roman" w:eastAsia="仿宋_GB2312" w:cs="Times New Roman"/>
          <w:color w:val="000000" w:themeColor="text1"/>
          <w:sz w:val="24"/>
          <w14:textFill>
            <w14:solidFill>
              <w14:schemeClr w14:val="tx1"/>
            </w14:solidFill>
          </w14:textFill>
        </w:rPr>
        <w:t>）其他相关规程规范。</w:t>
      </w:r>
    </w:p>
    <w:p>
      <w:pPr>
        <w:pStyle w:val="6"/>
        <w:pageBreakBefore w:val="0"/>
        <w:kinsoku/>
        <w:wordWrap/>
        <w:topLinePunct w:val="0"/>
        <w:bidi w:val="0"/>
        <w:adjustRightInd w:val="0"/>
        <w:snapToGrid w:val="0"/>
        <w:spacing w:before="0" w:beforeAutospacing="0" w:after="0" w:afterAutospacing="0" w:line="360" w:lineRule="auto"/>
        <w:rPr>
          <w:rFonts w:hint="eastAsia" w:ascii="黑体" w:hAnsi="黑体" w:eastAsia="黑体" w:cs="黑体"/>
          <w:b/>
          <w:color w:val="000000" w:themeColor="text1"/>
          <w:sz w:val="28"/>
          <w14:textFill>
            <w14:solidFill>
              <w14:schemeClr w14:val="tx1"/>
            </w14:solidFill>
          </w14:textFill>
        </w:rPr>
      </w:pPr>
      <w:r>
        <w:rPr>
          <w:rFonts w:hint="eastAsia" w:eastAsia="仿宋_GB2312"/>
          <w:b/>
          <w:color w:val="000000" w:themeColor="text1"/>
          <w:sz w:val="28"/>
          <w14:textFill>
            <w14:solidFill>
              <w14:schemeClr w14:val="tx1"/>
            </w14:solidFill>
          </w14:textFill>
        </w:rPr>
        <w:t>7</w:t>
      </w:r>
      <w:r>
        <w:rPr>
          <w:rFonts w:eastAsia="仿宋_GB2312"/>
          <w:b/>
          <w:color w:val="000000" w:themeColor="text1"/>
          <w:sz w:val="28"/>
          <w14:textFill>
            <w14:solidFill>
              <w14:schemeClr w14:val="tx1"/>
            </w14:solidFill>
          </w14:textFill>
        </w:rPr>
        <w:t xml:space="preserve">.1.2 </w:t>
      </w:r>
      <w:r>
        <w:rPr>
          <w:rFonts w:hint="eastAsia" w:ascii="黑体" w:hAnsi="黑体" w:eastAsia="黑体" w:cs="黑体"/>
          <w:b/>
          <w:color w:val="000000" w:themeColor="text1"/>
          <w:sz w:val="28"/>
          <w14:textFill>
            <w14:solidFill>
              <w14:schemeClr w14:val="tx1"/>
            </w14:solidFill>
          </w14:textFill>
        </w:rPr>
        <w:t>投资估算编制原则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a</w:t>
      </w:r>
      <w:r>
        <w:rPr>
          <w:rFonts w:eastAsia="仿宋_GB2312"/>
          <w:color w:val="000000" w:themeColor="text1"/>
          <w:sz w:val="24"/>
          <w14:textFill>
            <w14:solidFill>
              <w14:schemeClr w14:val="tx1"/>
            </w14:solidFill>
          </w14:textFill>
        </w:rPr>
        <w:t>）符合国家相关法律法规；</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b</w:t>
      </w:r>
      <w:r>
        <w:rPr>
          <w:rFonts w:eastAsia="仿宋_GB2312"/>
          <w:color w:val="000000" w:themeColor="text1"/>
          <w:sz w:val="24"/>
          <w14:textFill>
            <w14:solidFill>
              <w14:schemeClr w14:val="tx1"/>
            </w14:solidFill>
          </w14:textFill>
        </w:rPr>
        <w:t>）土地复垦投资应进入工程总预算中；</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c</w:t>
      </w:r>
      <w:r>
        <w:rPr>
          <w:rFonts w:eastAsia="仿宋_GB2312"/>
          <w:color w:val="000000" w:themeColor="text1"/>
          <w:sz w:val="24"/>
          <w14:textFill>
            <w14:solidFill>
              <w14:schemeClr w14:val="tx1"/>
            </w14:solidFill>
          </w14:textFill>
        </w:rPr>
        <w:t>）工程建设与复垦措施同步设计、同步投资建设；</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d</w:t>
      </w:r>
      <w:r>
        <w:rPr>
          <w:rFonts w:eastAsia="仿宋_GB2312"/>
          <w:color w:val="000000" w:themeColor="text1"/>
          <w:sz w:val="24"/>
          <w14:textFill>
            <w14:solidFill>
              <w14:schemeClr w14:val="tx1"/>
            </w14:solidFill>
          </w14:textFill>
        </w:rPr>
        <w:t>）高起点、高标准原则；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e</w:t>
      </w:r>
      <w:r>
        <w:rPr>
          <w:rFonts w:eastAsia="仿宋_GB2312"/>
          <w:color w:val="000000" w:themeColor="text1"/>
          <w:sz w:val="24"/>
          <w14:textFill>
            <w14:solidFill>
              <w14:schemeClr w14:val="tx1"/>
            </w14:solidFill>
          </w14:textFill>
        </w:rPr>
        <w:t>）指导价与市场价相结合的原则；</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f</w:t>
      </w:r>
      <w:r>
        <w:rPr>
          <w:rFonts w:eastAsia="仿宋_GB2312"/>
          <w:color w:val="000000" w:themeColor="text1"/>
          <w:sz w:val="24"/>
          <w14:textFill>
            <w14:solidFill>
              <w14:schemeClr w14:val="tx1"/>
            </w14:solidFill>
          </w14:textFill>
        </w:rPr>
        <w:t>）科学、合理、高效的原则。</w:t>
      </w:r>
    </w:p>
    <w:p>
      <w:pPr>
        <w:pStyle w:val="5"/>
        <w:pageBreakBefore w:val="0"/>
        <w:kinsoku/>
        <w:wordWrap/>
        <w:topLinePunct w:val="0"/>
        <w:bidi w:val="0"/>
        <w:adjustRightInd w:val="0"/>
        <w:snapToGrid w:val="0"/>
        <w:spacing w:before="0" w:after="0" w:line="360" w:lineRule="auto"/>
        <w:rPr>
          <w:rFonts w:hint="eastAsia" w:ascii="黑体" w:hAnsi="黑体" w:cs="黑体"/>
          <w:b w:val="0"/>
          <w:color w:val="000000" w:themeColor="text1"/>
          <w:sz w:val="28"/>
          <w14:textFill>
            <w14:solidFill>
              <w14:schemeClr w14:val="tx1"/>
            </w14:solidFill>
          </w14:textFill>
        </w:rPr>
      </w:pPr>
      <w:bookmarkStart w:id="196" w:name="_Toc8346"/>
      <w:bookmarkStart w:id="197" w:name="_Toc20201"/>
      <w:bookmarkStart w:id="198" w:name="_Toc5426"/>
      <w:r>
        <w:rPr>
          <w:rFonts w:ascii="Times New Roman" w:hAnsi="Times New Roman" w:eastAsia="仿宋_GB2312"/>
          <w:b w:val="0"/>
          <w:color w:val="000000" w:themeColor="text1"/>
          <w:sz w:val="28"/>
          <w14:textFill>
            <w14:solidFill>
              <w14:schemeClr w14:val="tx1"/>
            </w14:solidFill>
          </w14:textFill>
        </w:rPr>
        <w:t>7.2</w:t>
      </w:r>
      <w:r>
        <w:rPr>
          <w:rFonts w:eastAsia="仿宋_GB2312"/>
          <w:b w:val="0"/>
          <w:color w:val="000000" w:themeColor="text1"/>
          <w:sz w:val="28"/>
          <w14:textFill>
            <w14:solidFill>
              <w14:schemeClr w14:val="tx1"/>
            </w14:solidFill>
          </w14:textFill>
        </w:rPr>
        <w:t xml:space="preserve"> </w:t>
      </w:r>
      <w:r>
        <w:rPr>
          <w:rFonts w:hint="eastAsia" w:ascii="黑体" w:hAnsi="黑体" w:cs="黑体"/>
          <w:b w:val="0"/>
          <w:color w:val="000000" w:themeColor="text1"/>
          <w:sz w:val="30"/>
          <w:szCs w:val="30"/>
          <w14:textFill>
            <w14:solidFill>
              <w14:schemeClr w14:val="tx1"/>
            </w14:solidFill>
          </w14:textFill>
        </w:rPr>
        <w:t>费用构成及计算标准</w:t>
      </w:r>
      <w:bookmarkEnd w:id="196"/>
      <w:bookmarkEnd w:id="197"/>
      <w:bookmarkEnd w:id="198"/>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参照《土地复垦方案编制规程》、2011年国土资源部财务司、国土资源部土地整理中心下发的《关于印发土地开发整理项目预算定额标准的通知》项目划分及费用组成，并结合本项目的实际情况，</w:t>
      </w:r>
      <w:r>
        <w:rPr>
          <w:rFonts w:hint="eastAsia" w:eastAsia="仿宋_GB2312"/>
          <w:color w:val="000000" w:themeColor="text1"/>
          <w:sz w:val="24"/>
          <w14:textFill>
            <w14:solidFill>
              <w14:schemeClr w14:val="tx1"/>
            </w14:solidFill>
          </w14:textFill>
        </w:rPr>
        <w:t>本</w:t>
      </w:r>
      <w:r>
        <w:rPr>
          <w:rFonts w:eastAsia="仿宋_GB2312"/>
          <w:color w:val="000000" w:themeColor="text1"/>
          <w:sz w:val="24"/>
          <w14:textFill>
            <w14:solidFill>
              <w14:schemeClr w14:val="tx1"/>
            </w14:solidFill>
          </w14:textFill>
        </w:rPr>
        <w:t>项目</w:t>
      </w:r>
      <w:r>
        <w:rPr>
          <w:rFonts w:hint="eastAsia" w:eastAsia="仿宋_GB2312"/>
          <w:color w:val="000000" w:themeColor="text1"/>
          <w:sz w:val="24"/>
          <w14:textFill>
            <w14:solidFill>
              <w14:schemeClr w14:val="tx1"/>
            </w14:solidFill>
          </w14:textFill>
        </w:rPr>
        <w:t>土地复垦费用包括</w:t>
      </w:r>
      <w:r>
        <w:rPr>
          <w:rFonts w:eastAsia="仿宋_GB2312"/>
          <w:color w:val="000000" w:themeColor="text1"/>
          <w:sz w:val="24"/>
          <w14:textFill>
            <w14:solidFill>
              <w14:schemeClr w14:val="tx1"/>
            </w14:solidFill>
          </w14:textFill>
        </w:rPr>
        <w:t>工程施工费、</w:t>
      </w:r>
      <w:r>
        <w:rPr>
          <w:rFonts w:hint="eastAsia" w:eastAsia="仿宋_GB2312"/>
          <w:color w:val="000000" w:themeColor="text1"/>
          <w:sz w:val="24"/>
          <w14:textFill>
            <w14:solidFill>
              <w14:schemeClr w14:val="tx1"/>
            </w14:solidFill>
          </w14:textFill>
        </w:rPr>
        <w:t>设备费、其他费用（</w:t>
      </w:r>
      <w:r>
        <w:rPr>
          <w:rFonts w:eastAsia="仿宋_GB2312"/>
          <w:color w:val="000000" w:themeColor="text1"/>
          <w:sz w:val="24"/>
          <w14:textFill>
            <w14:solidFill>
              <w14:schemeClr w14:val="tx1"/>
            </w14:solidFill>
          </w14:textFill>
        </w:rPr>
        <w:t>前期工作费、</w:t>
      </w:r>
      <w:r>
        <w:rPr>
          <w:rFonts w:hint="eastAsia" w:eastAsia="仿宋_GB2312"/>
          <w:color w:val="000000" w:themeColor="text1"/>
          <w:sz w:val="24"/>
          <w14:textFill>
            <w14:solidFill>
              <w14:schemeClr w14:val="tx1"/>
            </w14:solidFill>
          </w14:textFill>
        </w:rPr>
        <w:t>工程监理费、</w:t>
      </w:r>
      <w:r>
        <w:rPr>
          <w:rFonts w:eastAsia="仿宋_GB2312"/>
          <w:color w:val="000000" w:themeColor="text1"/>
          <w:sz w:val="24"/>
          <w14:textFill>
            <w14:solidFill>
              <w14:schemeClr w14:val="tx1"/>
            </w14:solidFill>
          </w14:textFill>
        </w:rPr>
        <w:t>竣工验收费、业主管理费</w:t>
      </w:r>
      <w:r>
        <w:rPr>
          <w:rFonts w:hint="eastAsia" w:eastAsia="仿宋_GB2312"/>
          <w:color w:val="000000" w:themeColor="text1"/>
          <w:sz w:val="24"/>
          <w14:textFill>
            <w14:solidFill>
              <w14:schemeClr w14:val="tx1"/>
            </w14:solidFill>
          </w14:textFill>
        </w:rPr>
        <w:t>）、监测与管护费以及预备费（基本预备费和差价预备费）。</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a)工程施工费</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工程施工费=直接费+间接费+利润+税金；</w:t>
      </w:r>
    </w:p>
    <w:p>
      <w:pPr>
        <w:pageBreakBefore w:val="0"/>
        <w:numPr>
          <w:ilvl w:val="0"/>
          <w:numId w:val="4"/>
        </w:numPr>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直接费</w:t>
      </w:r>
    </w:p>
    <w:p>
      <w:pPr>
        <w:pageBreakBefore w:val="0"/>
        <w:kinsoku/>
        <w:wordWrap/>
        <w:topLinePunct w:val="0"/>
        <w:bidi w:val="0"/>
        <w:adjustRightInd w:val="0"/>
        <w:snapToGrid w:val="0"/>
        <w:spacing w:line="360" w:lineRule="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     指工程施工过程中直接消耗在工程项目上的活劳动和物化劳动。由直接工程费和措施费组成。</w:t>
      </w:r>
    </w:p>
    <w:p>
      <w:pPr>
        <w:pageBreakBefore w:val="0"/>
        <w:kinsoku/>
        <w:wordWrap/>
        <w:topLinePunct w:val="0"/>
        <w:bidi w:val="0"/>
        <w:adjustRightInd w:val="0"/>
        <w:snapToGrid w:val="0"/>
        <w:spacing w:line="360" w:lineRule="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    直接工程费用包括人工费、材料费和施工机械使用费。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措施费包括临时设施费、冬雨季施工增加费、夜间施工增加费、施工辅助费和特殊地区施工增加费。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fldChar w:fldCharType="begin"/>
      </w:r>
      <w:r>
        <w:rPr>
          <w:rFonts w:hint="eastAsia" w:eastAsia="仿宋_GB2312"/>
          <w:color w:val="000000" w:themeColor="text1"/>
          <w:sz w:val="24"/>
          <w14:textFill>
            <w14:solidFill>
              <w14:schemeClr w14:val="tx1"/>
            </w14:solidFill>
          </w14:textFill>
        </w:rPr>
        <w:instrText xml:space="preserve"> = 1 \* GB3 \* MERGEFORMAT </w:instrText>
      </w:r>
      <w:r>
        <w:rPr>
          <w:rFonts w:hint="eastAsia" w:eastAsia="仿宋_GB2312"/>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rFonts w:hint="eastAsia" w:eastAsia="仿宋_GB2312"/>
          <w:color w:val="000000" w:themeColor="text1"/>
          <w:sz w:val="24"/>
          <w14:textFill>
            <w14:solidFill>
              <w14:schemeClr w14:val="tx1"/>
            </w14:solidFill>
          </w14:textFill>
        </w:rPr>
        <w:fldChar w:fldCharType="end"/>
      </w:r>
      <w:r>
        <w:rPr>
          <w:rFonts w:hint="eastAsia" w:eastAsia="仿宋_GB2312"/>
          <w:color w:val="000000" w:themeColor="text1"/>
          <w:sz w:val="24"/>
          <w14:textFill>
            <w14:solidFill>
              <w14:schemeClr w14:val="tx1"/>
            </w14:solidFill>
          </w14:textFill>
        </w:rPr>
        <w:t>直接工程费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直接工程费</w:t>
      </w:r>
      <w:r>
        <w:rPr>
          <w:rFonts w:eastAsia="仿宋_GB2312"/>
          <w:color w:val="000000" w:themeColor="text1"/>
          <w:sz w:val="24"/>
          <w14:textFill>
            <w14:solidFill>
              <w14:schemeClr w14:val="tx1"/>
            </w14:solidFill>
          </w14:textFill>
        </w:rPr>
        <w:t>包括人工费、材料费和施工机械使用费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人工</w:t>
      </w:r>
      <w:r>
        <w:rPr>
          <w:rFonts w:eastAsia="仿宋_GB2312"/>
          <w:color w:val="000000" w:themeColor="text1"/>
          <w:sz w:val="24"/>
          <w14:textFill>
            <w14:solidFill>
              <w14:schemeClr w14:val="tx1"/>
            </w14:solidFill>
          </w14:textFill>
        </w:rPr>
        <w:t>费</w:t>
      </w:r>
      <w:r>
        <w:rPr>
          <w:rFonts w:hint="eastAsia" w:eastAsia="仿宋_GB2312"/>
          <w:color w:val="000000" w:themeColor="text1"/>
          <w:sz w:val="24"/>
          <w14:textFill>
            <w14:solidFill>
              <w14:schemeClr w14:val="tx1"/>
            </w14:solidFill>
          </w14:textFill>
        </w:rPr>
        <w:t>=</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分项工程量</w:t>
      </w:r>
      <w:r>
        <w:rPr>
          <w:rFonts w:ascii="Arial" w:hAnsi="Arial" w:eastAsia="仿宋_GB2312" w:cs="Arial"/>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分项工程定额人工费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分项工程定额人工费是人工单价与定额消耗标准的乘积。</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材料费=</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分项工程量</w:t>
      </w:r>
      <w:r>
        <w:rPr>
          <w:rFonts w:ascii="Arial" w:hAnsi="Arial" w:eastAsia="仿宋_GB2312" w:cs="Arial"/>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分项工程定额材料费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施工机械使用费=</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分项工程量</w:t>
      </w:r>
      <w:r>
        <w:rPr>
          <w:rFonts w:ascii="Arial" w:hAnsi="Arial" w:eastAsia="仿宋_GB2312" w:cs="Arial"/>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分项工程定额机械费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人工费是指直接从事工程施工的生产工人开支的各项费用，内容包括基本工资、辅助工资和工资附加费。</w:t>
      </w:r>
    </w:p>
    <w:p>
      <w:pPr>
        <w:adjustRightInd w:val="0"/>
        <w:snapToGrid w:val="0"/>
        <w:spacing w:line="360" w:lineRule="auto"/>
        <w:ind w:firstLine="480" w:firstLineChars="200"/>
        <w:rPr>
          <w:rFonts w:hint="eastAsia" w:ascii="Times New Roman" w:hAnsi="Times New Roman" w:eastAsia="仿宋_GB2312" w:cs="Times New Roman"/>
          <w:b w:val="0"/>
          <w:bCs w:val="0"/>
          <w:color w:val="000000" w:themeColor="text1"/>
          <w:sz w:val="24"/>
          <w14:textFill>
            <w14:solidFill>
              <w14:schemeClr w14:val="tx1"/>
            </w14:solidFill>
          </w14:textFill>
        </w:rPr>
      </w:pPr>
      <w:r>
        <w:rPr>
          <w:rFonts w:hint="eastAsia" w:ascii="Times New Roman" w:hAnsi="Times New Roman" w:eastAsia="仿宋_GB2312" w:cs="Times New Roman"/>
          <w:b w:val="0"/>
          <w:bCs w:val="0"/>
          <w:color w:val="000000" w:themeColor="text1"/>
          <w:sz w:val="24"/>
          <w14:textFill>
            <w14:solidFill>
              <w14:schemeClr w14:val="tx1"/>
            </w14:solidFill>
          </w14:textFill>
        </w:rPr>
        <w:t>本方案参照</w:t>
      </w:r>
      <w:r>
        <w:rPr>
          <w:rFonts w:ascii="Times New Roman" w:hAnsi="Times New Roman" w:eastAsia="仿宋_GB2312" w:cs="Times New Roman"/>
          <w:b w:val="0"/>
          <w:bCs w:val="0"/>
          <w:color w:val="000000" w:themeColor="text1"/>
          <w:sz w:val="24"/>
          <w14:textFill>
            <w14:solidFill>
              <w14:schemeClr w14:val="tx1"/>
            </w14:solidFill>
          </w14:textFill>
        </w:rPr>
        <w:t>《土地开发整理项目预算定额</w:t>
      </w:r>
      <w:r>
        <w:rPr>
          <w:rFonts w:hint="eastAsia" w:ascii="Times New Roman" w:hAnsi="Times New Roman" w:eastAsia="仿宋_GB2312" w:cs="Times New Roman"/>
          <w:b w:val="0"/>
          <w:bCs w:val="0"/>
          <w:color w:val="000000" w:themeColor="text1"/>
          <w:sz w:val="24"/>
          <w14:textFill>
            <w14:solidFill>
              <w14:schemeClr w14:val="tx1"/>
            </w14:solidFill>
          </w14:textFill>
        </w:rPr>
        <w:t>标准</w:t>
      </w:r>
      <w:r>
        <w:rPr>
          <w:rFonts w:ascii="Times New Roman" w:hAnsi="Times New Roman" w:eastAsia="仿宋_GB2312" w:cs="Times New Roman"/>
          <w:b w:val="0"/>
          <w:bCs w:val="0"/>
          <w:color w:val="000000" w:themeColor="text1"/>
          <w:sz w:val="24"/>
          <w14:textFill>
            <w14:solidFill>
              <w14:schemeClr w14:val="tx1"/>
            </w14:solidFill>
          </w14:textFill>
        </w:rPr>
        <w:t>》（2012年</w:t>
      </w:r>
      <w:r>
        <w:rPr>
          <w:rFonts w:hint="eastAsia" w:ascii="Times New Roman" w:hAnsi="Times New Roman" w:eastAsia="仿宋_GB2312" w:cs="Times New Roman"/>
          <w:b w:val="0"/>
          <w:bCs w:val="0"/>
          <w:color w:val="000000" w:themeColor="text1"/>
          <w:sz w:val="24"/>
          <w14:textFill>
            <w14:solidFill>
              <w14:schemeClr w14:val="tx1"/>
            </w14:solidFill>
          </w14:textFill>
        </w:rPr>
        <w:t>）和</w:t>
      </w:r>
      <w:r>
        <w:rPr>
          <w:rFonts w:ascii="Times New Roman" w:hAnsi="Times New Roman" w:eastAsia="仿宋_GB2312" w:cs="Times New Roman"/>
          <w:b w:val="0"/>
          <w:bCs w:val="0"/>
          <w:color w:val="000000" w:themeColor="text1"/>
          <w:sz w:val="24"/>
          <w14:textFill>
            <w14:solidFill>
              <w14:schemeClr w14:val="tx1"/>
            </w14:solidFill>
          </w14:textFill>
        </w:rPr>
        <w:t>《土地复垦方案编制实务》（2011年）</w:t>
      </w:r>
      <w:r>
        <w:rPr>
          <w:rFonts w:hint="eastAsia" w:ascii="Times New Roman" w:hAnsi="Times New Roman" w:eastAsia="仿宋_GB2312" w:cs="Times New Roman"/>
          <w:b w:val="0"/>
          <w:bCs w:val="0"/>
          <w:color w:val="000000" w:themeColor="text1"/>
          <w:sz w:val="24"/>
          <w14:textFill>
            <w14:solidFill>
              <w14:schemeClr w14:val="tx1"/>
            </w14:solidFill>
          </w14:textFill>
        </w:rPr>
        <w:t>中人工费的计算方法；</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基本工资参照《关于调整新疆维吾尔自治区最低工资标准的通知》（新政发〔2021〕21号）标准，计算</w:t>
      </w:r>
      <w:r>
        <w:rPr>
          <w:rFonts w:hint="eastAsia" w:ascii="Times New Roman" w:hAnsi="Times New Roman" w:eastAsia="仿宋_GB2312" w:cs="Times New Roman"/>
          <w:b w:val="0"/>
          <w:bCs w:val="0"/>
          <w:color w:val="000000" w:themeColor="text1"/>
          <w:sz w:val="24"/>
          <w14:textFill>
            <w14:solidFill>
              <w14:schemeClr w14:val="tx1"/>
            </w14:solidFill>
          </w14:textFill>
        </w:rPr>
        <w:t>基本工资标准为甲类</w:t>
      </w:r>
      <w:r>
        <w:rPr>
          <w:rFonts w:hint="eastAsia" w:eastAsia="仿宋_GB2312" w:cs="Times New Roman"/>
          <w:b w:val="0"/>
          <w:bCs w:val="0"/>
          <w:color w:val="000000" w:themeColor="text1"/>
          <w:sz w:val="24"/>
          <w:lang w:val="en-US" w:eastAsia="zh-CN"/>
          <w14:textFill>
            <w14:solidFill>
              <w14:schemeClr w14:val="tx1"/>
            </w14:solidFill>
          </w14:textFill>
        </w:rPr>
        <w:t>1620</w:t>
      </w:r>
      <w:r>
        <w:rPr>
          <w:rFonts w:hint="eastAsia" w:ascii="Times New Roman" w:hAnsi="Times New Roman" w:eastAsia="仿宋_GB2312" w:cs="Times New Roman"/>
          <w:b w:val="0"/>
          <w:bCs w:val="0"/>
          <w:color w:val="000000" w:themeColor="text1"/>
          <w:sz w:val="24"/>
          <w14:textFill>
            <w14:solidFill>
              <w14:schemeClr w14:val="tx1"/>
            </w14:solidFill>
          </w14:textFill>
        </w:rPr>
        <w:t>元/月，乙类</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1540</w:t>
      </w:r>
      <w:r>
        <w:rPr>
          <w:rFonts w:hint="eastAsia" w:ascii="Times New Roman" w:hAnsi="Times New Roman" w:eastAsia="仿宋_GB2312" w:cs="Times New Roman"/>
          <w:b w:val="0"/>
          <w:bCs w:val="0"/>
          <w:color w:val="000000" w:themeColor="text1"/>
          <w:sz w:val="24"/>
          <w14:textFill>
            <w14:solidFill>
              <w14:schemeClr w14:val="tx1"/>
            </w14:solidFill>
          </w14:textFill>
        </w:rPr>
        <w:t>元/月，</w:t>
      </w:r>
      <w:r>
        <w:rPr>
          <w:rFonts w:ascii="Times New Roman" w:hAnsi="Times New Roman" w:eastAsia="仿宋_GB2312" w:cs="Times New Roman"/>
          <w:b w:val="0"/>
          <w:bCs w:val="0"/>
          <w:color w:val="000000" w:themeColor="text1"/>
          <w:sz w:val="24"/>
          <w14:textFill>
            <w14:solidFill>
              <w14:schemeClr w14:val="tx1"/>
            </w14:solidFill>
          </w14:textFill>
        </w:rPr>
        <w:t>该项目位于</w:t>
      </w:r>
      <w:r>
        <w:rPr>
          <w:rFonts w:hint="eastAsia" w:eastAsia="仿宋_GB2312" w:cs="Times New Roman"/>
          <w:b w:val="0"/>
          <w:bCs w:val="0"/>
          <w:color w:val="000000" w:themeColor="text1"/>
          <w:sz w:val="24"/>
          <w:lang w:val="en-US" w:eastAsia="zh-CN"/>
          <w14:textFill>
            <w14:solidFill>
              <w14:schemeClr w14:val="tx1"/>
            </w14:solidFill>
          </w14:textFill>
        </w:rPr>
        <w:t>喀什市、疏附县、</w:t>
      </w:r>
      <w:r>
        <w:rPr>
          <w:rFonts w:hint="eastAsia" w:eastAsia="仿宋_GB2312" w:cs="Times New Roman"/>
          <w:b w:val="0"/>
          <w:bCs w:val="0"/>
          <w:color w:val="000000" w:themeColor="text1"/>
          <w:sz w:val="24"/>
          <w:lang w:eastAsia="zh-CN"/>
          <w14:textFill>
            <w14:solidFill>
              <w14:schemeClr w14:val="tx1"/>
            </w14:solidFill>
          </w14:textFill>
        </w:rPr>
        <w:t>疏勒县</w:t>
      </w:r>
      <w:r>
        <w:rPr>
          <w:rFonts w:hint="eastAsia" w:ascii="Times New Roman" w:hAnsi="Times New Roman" w:eastAsia="仿宋_GB2312" w:cs="Times New Roman"/>
          <w:b w:val="0"/>
          <w:bCs w:val="0"/>
          <w:color w:val="000000" w:themeColor="text1"/>
          <w:sz w:val="24"/>
          <w14:textFill>
            <w14:solidFill>
              <w14:schemeClr w14:val="tx1"/>
            </w14:solidFill>
          </w14:textFill>
        </w:rPr>
        <w:t>境内，地区生活补贴标准按</w:t>
      </w:r>
      <w:r>
        <w:rPr>
          <w:rFonts w:hint="eastAsia" w:eastAsia="仿宋_GB2312" w:cs="Times New Roman"/>
          <w:b w:val="0"/>
          <w:bCs w:val="0"/>
          <w:color w:val="000000" w:themeColor="text1"/>
          <w:sz w:val="24"/>
          <w:lang w:val="en-US" w:eastAsia="zh-CN"/>
          <w14:textFill>
            <w14:solidFill>
              <w14:schemeClr w14:val="tx1"/>
            </w14:solidFill>
          </w14:textFill>
        </w:rPr>
        <w:t>三类</w:t>
      </w:r>
      <w:r>
        <w:rPr>
          <w:rFonts w:hint="eastAsia" w:ascii="Times New Roman" w:hAnsi="Times New Roman" w:eastAsia="仿宋_GB2312" w:cs="Times New Roman"/>
          <w:b w:val="0"/>
          <w:bCs w:val="0"/>
          <w:color w:val="000000" w:themeColor="text1"/>
          <w:sz w:val="24"/>
          <w14:textFill>
            <w14:solidFill>
              <w14:schemeClr w14:val="tx1"/>
            </w14:solidFill>
          </w14:textFill>
        </w:rPr>
        <w:t>区为</w:t>
      </w:r>
      <w:r>
        <w:rPr>
          <w:rFonts w:hint="eastAsia" w:eastAsia="仿宋_GB2312" w:cs="Times New Roman"/>
          <w:b w:val="0"/>
          <w:bCs w:val="0"/>
          <w:color w:val="000000" w:themeColor="text1"/>
          <w:sz w:val="24"/>
          <w:lang w:val="en-US" w:eastAsia="zh-CN"/>
          <w14:textFill>
            <w14:solidFill>
              <w14:schemeClr w14:val="tx1"/>
            </w14:solidFill>
          </w14:textFill>
        </w:rPr>
        <w:t>73</w:t>
      </w:r>
      <w:r>
        <w:rPr>
          <w:rFonts w:hint="eastAsia" w:ascii="Times New Roman" w:hAnsi="Times New Roman" w:eastAsia="仿宋_GB2312" w:cs="Times New Roman"/>
          <w:b w:val="0"/>
          <w:bCs w:val="0"/>
          <w:color w:val="000000" w:themeColor="text1"/>
          <w:sz w:val="24"/>
          <w14:textFill>
            <w14:solidFill>
              <w14:schemeClr w14:val="tx1"/>
            </w14:solidFill>
          </w14:textFill>
        </w:rPr>
        <w:t>元/月。经计算，人工工资预算单价为：甲类工</w:t>
      </w:r>
      <w:r>
        <w:rPr>
          <w:rFonts w:hint="eastAsia" w:eastAsia="仿宋_GB2312" w:cs="Times New Roman"/>
          <w:b w:val="0"/>
          <w:bCs w:val="0"/>
          <w:color w:val="000000" w:themeColor="text1"/>
          <w:sz w:val="24"/>
          <w:lang w:val="en-US" w:eastAsia="zh-CN"/>
          <w14:textFill>
            <w14:solidFill>
              <w14:schemeClr w14:val="tx1"/>
            </w14:solidFill>
          </w14:textFill>
        </w:rPr>
        <w:t>109.28</w:t>
      </w:r>
      <w:r>
        <w:rPr>
          <w:rFonts w:hint="eastAsia" w:ascii="Times New Roman" w:hAnsi="Times New Roman" w:eastAsia="仿宋_GB2312" w:cs="Times New Roman"/>
          <w:b w:val="0"/>
          <w:bCs w:val="0"/>
          <w:color w:val="000000" w:themeColor="text1"/>
          <w:sz w:val="24"/>
          <w14:textFill>
            <w14:solidFill>
              <w14:schemeClr w14:val="tx1"/>
            </w14:solidFill>
          </w14:textFill>
        </w:rPr>
        <w:t>元/工日；乙类工</w:t>
      </w:r>
      <w:r>
        <w:rPr>
          <w:rFonts w:hint="eastAsia" w:eastAsia="仿宋_GB2312" w:cs="Times New Roman"/>
          <w:b w:val="0"/>
          <w:bCs w:val="0"/>
          <w:color w:val="000000" w:themeColor="text1"/>
          <w:sz w:val="24"/>
          <w:lang w:val="en-US" w:eastAsia="zh-CN"/>
          <w14:textFill>
            <w14:solidFill>
              <w14:schemeClr w14:val="tx1"/>
            </w14:solidFill>
          </w14:textFill>
        </w:rPr>
        <w:t>99.59</w:t>
      </w:r>
      <w:r>
        <w:rPr>
          <w:rFonts w:hint="eastAsia" w:ascii="Times New Roman" w:hAnsi="Times New Roman" w:eastAsia="仿宋_GB2312" w:cs="Times New Roman"/>
          <w:b w:val="0"/>
          <w:bCs w:val="0"/>
          <w:color w:val="000000" w:themeColor="text1"/>
          <w:sz w:val="24"/>
          <w14:textFill>
            <w14:solidFill>
              <w14:schemeClr w14:val="tx1"/>
            </w14:solidFill>
          </w14:textFill>
        </w:rPr>
        <w:t>元/工日。本方案编制甲类工和乙类工的日单价计算见</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表</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7</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24"/>
          <w14:textFill>
            <w14:solidFill>
              <w14:schemeClr w14:val="tx1"/>
            </w14:solidFill>
          </w14:textFill>
        </w:rPr>
        <w:t>1、</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表</w:t>
      </w:r>
      <w:r>
        <w:rPr>
          <w:rFonts w:hint="eastAsia" w:ascii="Times New Roman" w:hAnsi="Times New Roman" w:eastAsia="仿宋_GB2312" w:cs="Times New Roman"/>
          <w:b w:val="0"/>
          <w:bCs w:val="0"/>
          <w:color w:val="000000" w:themeColor="text1"/>
          <w:sz w:val="24"/>
          <w:lang w:val="en-US" w:eastAsia="zh-CN"/>
          <w14:textFill>
            <w14:solidFill>
              <w14:schemeClr w14:val="tx1"/>
            </w14:solidFill>
          </w14:textFill>
        </w:rPr>
        <w:t>7</w:t>
      </w:r>
      <w:r>
        <w:rPr>
          <w:rFonts w:hint="eastAsia" w:ascii="Times New Roman" w:hAnsi="Times New Roman" w:eastAsia="仿宋_GB2312" w:cs="Times New Roman"/>
          <w:b w:val="0"/>
          <w:bCs w:val="0"/>
          <w:color w:val="000000" w:themeColor="text1"/>
          <w:sz w:val="24"/>
          <w:lang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24"/>
          <w14:textFill>
            <w14:solidFill>
              <w14:schemeClr w14:val="tx1"/>
            </w14:solidFill>
          </w14:textFill>
        </w:rPr>
        <w:t>2。</w:t>
      </w:r>
    </w:p>
    <w:p>
      <w:pPr>
        <w:rPr>
          <w:rFonts w:hint="eastAsia" w:ascii="黑体" w:hAnsi="黑体" w:eastAsia="黑体" w:cs="黑体"/>
          <w:b w:val="0"/>
          <w:bCs w:val="0"/>
          <w:color w:val="000000" w:themeColor="text1"/>
          <w:szCs w:val="21"/>
          <w:lang w:val="en-US" w:eastAsia="zh-CN"/>
          <w14:textFill>
            <w14:solidFill>
              <w14:schemeClr w14:val="tx1"/>
            </w14:solidFill>
          </w14:textFill>
        </w:rPr>
      </w:pPr>
      <w:r>
        <w:rPr>
          <w:rFonts w:hint="eastAsia" w:ascii="黑体" w:hAnsi="黑体" w:eastAsia="黑体" w:cs="黑体"/>
          <w:b w:val="0"/>
          <w:bCs w:val="0"/>
          <w:color w:val="000000" w:themeColor="text1"/>
          <w:szCs w:val="21"/>
          <w:lang w:val="en-US" w:eastAsia="zh-CN"/>
          <w14:textFill>
            <w14:solidFill>
              <w14:schemeClr w14:val="tx1"/>
            </w14:solidFill>
          </w14:textFill>
        </w:rPr>
        <w:br w:type="page"/>
      </w:r>
    </w:p>
    <w:p>
      <w:pPr>
        <w:adjustRightInd w:val="0"/>
        <w:snapToGrid w:val="0"/>
        <w:spacing w:line="240" w:lineRule="atLeast"/>
        <w:ind w:firstLine="420" w:firstLineChars="200"/>
        <w:jc w:val="center"/>
        <w:rPr>
          <w:rFonts w:ascii="黑体" w:hAnsi="黑体" w:eastAsia="黑体" w:cs="黑体"/>
          <w:b w:val="0"/>
          <w:bCs w:val="0"/>
          <w:color w:val="000000" w:themeColor="text1"/>
          <w:szCs w:val="21"/>
          <w14:textFill>
            <w14:solidFill>
              <w14:schemeClr w14:val="tx1"/>
            </w14:solidFill>
          </w14:textFill>
        </w:rPr>
      </w:pPr>
      <w:r>
        <w:rPr>
          <w:rFonts w:hint="eastAsia" w:ascii="黑体" w:hAnsi="黑体" w:eastAsia="黑体" w:cs="黑体"/>
          <w:b w:val="0"/>
          <w:bCs w:val="0"/>
          <w:color w:val="000000" w:themeColor="text1"/>
          <w:szCs w:val="21"/>
          <w:lang w:val="en-US" w:eastAsia="zh-CN"/>
          <w14:textFill>
            <w14:solidFill>
              <w14:schemeClr w14:val="tx1"/>
            </w14:solidFill>
          </w14:textFill>
        </w:rPr>
        <w:t>表7-</w:t>
      </w:r>
      <w:r>
        <w:rPr>
          <w:rFonts w:hint="eastAsia" w:ascii="黑体" w:hAnsi="黑体" w:eastAsia="黑体" w:cs="黑体"/>
          <w:b w:val="0"/>
          <w:bCs w:val="0"/>
          <w:color w:val="000000" w:themeColor="text1"/>
          <w:szCs w:val="21"/>
          <w14:textFill>
            <w14:solidFill>
              <w14:schemeClr w14:val="tx1"/>
            </w14:solidFill>
          </w14:textFill>
        </w:rPr>
        <w:t>1 人工费日单价计算表（甲类工）</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4"/>
        <w:gridCol w:w="2776"/>
        <w:gridCol w:w="3926"/>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地区类别</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十一类工资区三类生活补贴区</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定额人工等级</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甲类工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计算式</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辅助工资</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地区津贴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73*12/（250-10）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施工津贴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3.5*365*0.95/（250-10）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夜班津贴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（4.5+3.5）/2*0.20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节日加班津贴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基本工资*（3-1）*11/250*0.35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工资附加费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职工福利基金</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工会经费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工伤保险费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人工工日预算单价</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109.28</w:t>
            </w:r>
          </w:p>
        </w:tc>
      </w:tr>
    </w:tbl>
    <w:p>
      <w:pPr>
        <w:adjustRightInd w:val="0"/>
        <w:snapToGrid w:val="0"/>
        <w:spacing w:line="240" w:lineRule="atLeast"/>
        <w:ind w:firstLine="420" w:firstLineChars="200"/>
        <w:jc w:val="center"/>
        <w:rPr>
          <w:rFonts w:ascii="黑体" w:hAnsi="黑体" w:eastAsia="黑体" w:cs="黑体"/>
          <w:b w:val="0"/>
          <w:bCs w:val="0"/>
          <w:color w:val="000000" w:themeColor="text1"/>
          <w:szCs w:val="21"/>
          <w14:textFill>
            <w14:solidFill>
              <w14:schemeClr w14:val="tx1"/>
            </w14:solidFill>
          </w14:textFill>
        </w:rPr>
      </w:pPr>
      <w:r>
        <w:rPr>
          <w:rFonts w:hint="eastAsia" w:ascii="黑体" w:hAnsi="黑体" w:eastAsia="黑体" w:cs="黑体"/>
          <w:b w:val="0"/>
          <w:bCs w:val="0"/>
          <w:color w:val="000000" w:themeColor="text1"/>
          <w:szCs w:val="21"/>
          <w:lang w:val="en-US" w:eastAsia="zh-CN"/>
          <w14:textFill>
            <w14:solidFill>
              <w14:schemeClr w14:val="tx1"/>
            </w14:solidFill>
          </w14:textFill>
        </w:rPr>
        <w:t>表7-</w:t>
      </w:r>
      <w:r>
        <w:rPr>
          <w:rFonts w:hint="eastAsia" w:ascii="黑体" w:hAnsi="黑体" w:eastAsia="黑体" w:cs="黑体"/>
          <w:b w:val="0"/>
          <w:bCs w:val="0"/>
          <w:color w:val="000000" w:themeColor="text1"/>
          <w:szCs w:val="21"/>
          <w14:textFill>
            <w14:solidFill>
              <w14:schemeClr w14:val="tx1"/>
            </w14:solidFill>
          </w14:textFill>
        </w:rPr>
        <w:t>2 人工费日单价计算表（乙类工）</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4"/>
        <w:gridCol w:w="2776"/>
        <w:gridCol w:w="3926"/>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地区类别</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十一类工资区三类生活补贴区</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定额人工等级</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乙类工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项目</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计算式</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1540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辅助工资</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地区津贴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73*12/（250-10）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施工津贴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2.0*365*0.95/（250-10）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夜班津贴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（4.5+3.5）/2*0.05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节日加班津贴</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基本工资*（3-1）*11/250*0.15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工资附加费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职工福利基金</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工会经费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工伤保险费</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（基本工资+辅助工资）*1.5%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人工工日预算单价</w:t>
            </w:r>
          </w:p>
        </w:tc>
        <w:tc>
          <w:tcPr>
            <w:tcW w:w="39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99.59</w:t>
            </w:r>
          </w:p>
        </w:tc>
      </w:tr>
    </w:tbl>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定额材料费是定额中各种材料估算价格与定额消耗量的乘积之和，计算方法参照</w:t>
      </w:r>
      <w:r>
        <w:rPr>
          <w:rFonts w:eastAsia="仿宋_GB2312"/>
          <w:color w:val="000000" w:themeColor="text1"/>
          <w:sz w:val="24"/>
          <w14:textFill>
            <w14:solidFill>
              <w14:schemeClr w14:val="tx1"/>
            </w14:solidFill>
          </w14:textFill>
        </w:rPr>
        <w:t>《土地开发整理项目预算定额</w:t>
      </w:r>
      <w:r>
        <w:rPr>
          <w:rFonts w:hint="eastAsia" w:eastAsia="仿宋_GB2312"/>
          <w:color w:val="000000" w:themeColor="text1"/>
          <w:sz w:val="24"/>
          <w14:textFill>
            <w14:solidFill>
              <w14:schemeClr w14:val="tx1"/>
            </w14:solidFill>
          </w14:textFill>
        </w:rPr>
        <w:t>标准</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及</w:t>
      </w:r>
      <w:r>
        <w:rPr>
          <w:rFonts w:hint="eastAsia" w:ascii="Times New Roman" w:hAnsi="Times New Roman" w:eastAsia="仿宋_GB2312" w:cs="Times New Roman"/>
          <w:color w:val="000000" w:themeColor="text1"/>
          <w:sz w:val="24"/>
          <w:lang w:eastAsia="zh-CN"/>
          <w14:textFill>
            <w14:solidFill>
              <w14:schemeClr w14:val="tx1"/>
            </w14:solidFill>
          </w14:textFill>
        </w:rPr>
        <w:t>《新疆维吾尔自治区公路工程建设项目估概预算编制办法补充规定》</w:t>
      </w:r>
      <w:r>
        <w:rPr>
          <w:rFonts w:hint="eastAsia" w:ascii="Times New Roman" w:hAnsi="Times New Roman" w:eastAsia="仿宋_GB2312" w:cs="Times New Roman"/>
          <w:color w:val="000000" w:themeColor="text1"/>
          <w:sz w:val="24"/>
          <w:lang w:val="en-US" w:eastAsia="zh-CN"/>
          <w14:textFill>
            <w14:solidFill>
              <w14:schemeClr w14:val="tx1"/>
            </w14:solidFill>
          </w14:textFill>
        </w:rPr>
        <w:t>新交规</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2021</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1号</w:t>
      </w:r>
      <w:r>
        <w:rPr>
          <w:rFonts w:hint="eastAsia" w:eastAsia="仿宋_GB2312"/>
          <w:color w:val="000000" w:themeColor="text1"/>
          <w:sz w:val="24"/>
          <w14:textFill>
            <w14:solidFill>
              <w14:schemeClr w14:val="tx1"/>
            </w14:solidFill>
          </w14:textFill>
        </w:rPr>
        <w:t>，材料价格按照新疆维吾尔自治区工程建设标准造价信息网发布的</w:t>
      </w:r>
      <w:r>
        <w:rPr>
          <w:rFonts w:hint="eastAsia" w:eastAsia="仿宋_GB2312"/>
          <w:color w:val="000000" w:themeColor="text1"/>
          <w:sz w:val="24"/>
          <w:lang w:eastAsia="zh-CN"/>
          <w14:textFill>
            <w14:solidFill>
              <w14:schemeClr w14:val="tx1"/>
            </w14:solidFill>
          </w14:textFill>
        </w:rPr>
        <w:t>2024年1月份定额材料</w:t>
      </w:r>
      <w:r>
        <w:rPr>
          <w:rFonts w:hint="eastAsia" w:eastAsia="仿宋_GB2312"/>
          <w:color w:val="000000" w:themeColor="text1"/>
          <w:sz w:val="24"/>
          <w14:textFill>
            <w14:solidFill>
              <w14:schemeClr w14:val="tx1"/>
            </w14:solidFill>
          </w14:textFill>
        </w:rPr>
        <w:t>价格以及实地调查价格进行估算。</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施工机械使用费是指消耗在工程项目上的机械磨损、维修和动力燃料费用等，计算办法参照</w:t>
      </w:r>
      <w:r>
        <w:rPr>
          <w:rFonts w:eastAsia="仿宋_GB2312"/>
          <w:color w:val="000000" w:themeColor="text1"/>
          <w:sz w:val="24"/>
          <w14:textFill>
            <w14:solidFill>
              <w14:schemeClr w14:val="tx1"/>
            </w14:solidFill>
          </w14:textFill>
        </w:rPr>
        <w:t>《土地开发整理项目预算定额</w:t>
      </w:r>
      <w:r>
        <w:rPr>
          <w:rFonts w:hint="eastAsia" w:eastAsia="仿宋_GB2312"/>
          <w:color w:val="000000" w:themeColor="text1"/>
          <w:sz w:val="24"/>
          <w14:textFill>
            <w14:solidFill>
              <w14:schemeClr w14:val="tx1"/>
            </w14:solidFill>
          </w14:textFill>
        </w:rPr>
        <w:t>标准</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进行估算。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fldChar w:fldCharType="begin"/>
      </w:r>
      <w:r>
        <w:rPr>
          <w:rFonts w:hint="eastAsia" w:eastAsia="仿宋_GB2312"/>
          <w:color w:val="000000" w:themeColor="text1"/>
          <w:sz w:val="24"/>
          <w14:textFill>
            <w14:solidFill>
              <w14:schemeClr w14:val="tx1"/>
            </w14:solidFill>
          </w14:textFill>
        </w:rPr>
        <w:instrText xml:space="preserve"> = 2 \* GB3 \* MERGEFORMAT </w:instrText>
      </w:r>
      <w:r>
        <w:rPr>
          <w:rFonts w:hint="eastAsia" w:eastAsia="仿宋_GB2312"/>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rFonts w:hint="eastAsia" w:eastAsia="仿宋_GB2312"/>
          <w:color w:val="000000" w:themeColor="text1"/>
          <w:sz w:val="24"/>
          <w14:textFill>
            <w14:solidFill>
              <w14:schemeClr w14:val="tx1"/>
            </w14:solidFill>
          </w14:textFill>
        </w:rPr>
        <w:fldChar w:fldCharType="end"/>
      </w:r>
      <w:r>
        <w:rPr>
          <w:rFonts w:hint="eastAsia" w:eastAsia="仿宋_GB2312"/>
          <w:color w:val="000000" w:themeColor="text1"/>
          <w:sz w:val="24"/>
          <w14:textFill>
            <w14:solidFill>
              <w14:schemeClr w14:val="tx1"/>
            </w14:solidFill>
          </w14:textFill>
        </w:rPr>
        <w:t>措施费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措施费是指为完成工程项目施工，发生与该工程施工前和施工过程中</w:t>
      </w:r>
      <w:r>
        <w:rPr>
          <w:rFonts w:hint="eastAsia" w:eastAsia="仿宋_GB2312"/>
          <w:color w:val="000000" w:themeColor="text1"/>
          <w:sz w:val="24"/>
          <w:lang w:eastAsia="zh-CN"/>
          <w14:textFill>
            <w14:solidFill>
              <w14:schemeClr w14:val="tx1"/>
            </w14:solidFill>
          </w14:textFill>
        </w:rPr>
        <w:t>非工程</w:t>
      </w:r>
      <w:r>
        <w:rPr>
          <w:rFonts w:hint="eastAsia" w:eastAsia="仿宋_GB2312"/>
          <w:color w:val="000000" w:themeColor="text1"/>
          <w:sz w:val="24"/>
          <w14:textFill>
            <w14:solidFill>
              <w14:schemeClr w14:val="tx1"/>
            </w14:solidFill>
          </w14:textFill>
        </w:rPr>
        <w:t>实体项目的费用。主要包括临时设施费、冬雨季施工增加费、夜间施工增加费、施工辅助费和特殊地区施工增加费，费率根据</w:t>
      </w:r>
      <w:r>
        <w:rPr>
          <w:rFonts w:eastAsia="仿宋_GB2312"/>
          <w:color w:val="000000" w:themeColor="text1"/>
          <w:sz w:val="24"/>
          <w14:textFill>
            <w14:solidFill>
              <w14:schemeClr w14:val="tx1"/>
            </w14:solidFill>
          </w14:textFill>
        </w:rPr>
        <w:t>《土地开发整理项目预算定额</w:t>
      </w:r>
      <w:r>
        <w:rPr>
          <w:rFonts w:hint="eastAsia" w:eastAsia="仿宋_GB2312"/>
          <w:color w:val="000000" w:themeColor="text1"/>
          <w:sz w:val="24"/>
          <w14:textFill>
            <w14:solidFill>
              <w14:schemeClr w14:val="tx1"/>
            </w14:solidFill>
          </w14:textFill>
        </w:rPr>
        <w:t>标准</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的规定，结合本项目施工特点，措施费按直接工程费的3.6%计取。</w:t>
      </w:r>
    </w:p>
    <w:p>
      <w:pPr>
        <w:pageBreakBefore w:val="0"/>
        <w:numPr>
          <w:ilvl w:val="0"/>
          <w:numId w:val="5"/>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间接费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间接费有规费和企业管理费组成，结合生产建设项目土地复垦工程的特点，间接费可按直接工程费的5%计算。</w:t>
      </w:r>
    </w:p>
    <w:p>
      <w:pPr>
        <w:pageBreakBefore w:val="0"/>
        <w:numPr>
          <w:ilvl w:val="0"/>
          <w:numId w:val="6"/>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利润</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利润是指施工企业完成所承包的工程获得的盈利，按直接费+间接费用的</w:t>
      </w:r>
      <w:r>
        <w:rPr>
          <w:rFonts w:hint="eastAsia" w:eastAsia="仿宋_GB2312"/>
          <w:color w:val="000000" w:themeColor="text1"/>
          <w:sz w:val="24"/>
          <w:lang w:val="en-US" w:eastAsia="zh-CN"/>
          <w14:textFill>
            <w14:solidFill>
              <w14:schemeClr w14:val="tx1"/>
            </w14:solidFill>
          </w14:textFill>
        </w:rPr>
        <w:t>3</w:t>
      </w:r>
      <w:r>
        <w:rPr>
          <w:rFonts w:hint="eastAsia" w:eastAsia="仿宋_GB2312"/>
          <w:color w:val="000000" w:themeColor="text1"/>
          <w:sz w:val="24"/>
          <w14:textFill>
            <w14:solidFill>
              <w14:schemeClr w14:val="tx1"/>
            </w14:solidFill>
          </w14:textFill>
        </w:rPr>
        <w:t>%计算。</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4）税金</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税金是指按国家规定应计入造价内的营业税、城市管护建设税和教育费附加。依据</w:t>
      </w:r>
      <w:r>
        <w:rPr>
          <w:rFonts w:hint="default" w:eastAsia="仿宋_GB2312"/>
          <w:color w:val="000000" w:themeColor="text1"/>
          <w:sz w:val="24"/>
          <w14:textFill>
            <w14:solidFill>
              <w14:schemeClr w14:val="tx1"/>
            </w14:solidFill>
          </w14:textFill>
        </w:rPr>
        <w:t>《住房城乡建设部办公厅关于做好建筑业营改增建设工程计价依据调整准备工作的通知》（建办标[2016]4号）</w:t>
      </w:r>
      <w:r>
        <w:rPr>
          <w:rFonts w:hint="eastAsia" w:eastAsia="仿宋_GB2312"/>
          <w:color w:val="000000" w:themeColor="text1"/>
          <w:sz w:val="24"/>
          <w:lang w:eastAsia="zh-CN"/>
          <w14:textFill>
            <w14:solidFill>
              <w14:schemeClr w14:val="tx1"/>
            </w14:solidFill>
          </w14:textFill>
        </w:rPr>
        <w:t>及</w:t>
      </w:r>
      <w:r>
        <w:rPr>
          <w:rFonts w:hint="eastAsia" w:eastAsia="仿宋_GB2312"/>
          <w:color w:val="000000" w:themeColor="text1"/>
          <w:sz w:val="24"/>
          <w14:textFill>
            <w14:solidFill>
              <w14:schemeClr w14:val="tx1"/>
            </w14:solidFill>
          </w14:textFill>
        </w:rPr>
        <w:t>《住房城乡建设部办公厅关于调整建设工程计价依据增值税税率的通知》（建办标[2018]20号）</w:t>
      </w: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14:textFill>
            <w14:solidFill>
              <w14:schemeClr w14:val="tx1"/>
            </w14:solidFill>
          </w14:textFill>
        </w:rPr>
        <w:t>建设项目在市区或县城以外的综合税率为</w:t>
      </w:r>
      <w:r>
        <w:rPr>
          <w:rFonts w:hint="eastAsia" w:eastAsia="仿宋_GB2312"/>
          <w:color w:val="000000" w:themeColor="text1"/>
          <w:sz w:val="24"/>
          <w:lang w:val="en-US" w:eastAsia="zh-CN"/>
          <w14:textFill>
            <w14:solidFill>
              <w14:schemeClr w14:val="tx1"/>
            </w14:solidFill>
          </w14:textFill>
        </w:rPr>
        <w:t>9</w:t>
      </w: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14:textFill>
            <w14:solidFill>
              <w14:schemeClr w14:val="tx1"/>
            </w14:solidFill>
          </w14:textFill>
        </w:rPr>
        <w:t>。</w:t>
      </w:r>
    </w:p>
    <w:p>
      <w:pPr>
        <w:pageBreakBefore w:val="0"/>
        <w:kinsoku/>
        <w:wordWrap/>
        <w:topLinePunct w:val="0"/>
        <w:bidi w:val="0"/>
        <w:adjustRightInd w:val="0"/>
        <w:snapToGrid w:val="0"/>
        <w:spacing w:line="360" w:lineRule="auto"/>
        <w:rPr>
          <w:rFonts w:hint="eastAsia" w:ascii="Arial" w:hAnsi="Arial" w:eastAsia="仿宋_GB2312" w:cs="Arial"/>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   税金=（直接费+间接费+利润）</w:t>
      </w:r>
      <w:r>
        <w:rPr>
          <w:rFonts w:ascii="Arial" w:hAnsi="Arial" w:eastAsia="仿宋_GB2312" w:cs="Arial"/>
          <w:color w:val="000000" w:themeColor="text1"/>
          <w:sz w:val="24"/>
          <w14:textFill>
            <w14:solidFill>
              <w14:schemeClr w14:val="tx1"/>
            </w14:solidFill>
          </w14:textFill>
        </w:rPr>
        <w:t>×</w:t>
      </w:r>
      <w:r>
        <w:rPr>
          <w:rFonts w:hint="eastAsia" w:ascii="Arial" w:hAnsi="Arial" w:eastAsia="仿宋_GB2312" w:cs="Arial"/>
          <w:color w:val="000000" w:themeColor="text1"/>
          <w:sz w:val="24"/>
          <w14:textFill>
            <w14:solidFill>
              <w14:schemeClr w14:val="tx1"/>
            </w14:solidFill>
          </w14:textFill>
        </w:rPr>
        <w:t>综合税率</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bookmarkStart w:id="199" w:name="_Toc185001100"/>
      <w:r>
        <w:rPr>
          <w:rFonts w:eastAsia="仿宋_GB2312"/>
          <w:color w:val="000000" w:themeColor="text1"/>
          <w:sz w:val="24"/>
          <w14:textFill>
            <w14:solidFill>
              <w14:schemeClr w14:val="tx1"/>
            </w14:solidFill>
          </w14:textFill>
        </w:rPr>
        <w:t>b)设备购置费</w:t>
      </w:r>
    </w:p>
    <w:p>
      <w:pPr>
        <w:pageBreakBefore w:val="0"/>
        <w:kinsoku/>
        <w:wordWrap/>
        <w:topLinePunct w:val="0"/>
        <w:bidi w:val="0"/>
        <w:adjustRightInd w:val="0"/>
        <w:snapToGrid w:val="0"/>
        <w:spacing w:line="360" w:lineRule="auto"/>
        <w:ind w:firstLine="480" w:firstLineChars="200"/>
        <w:rPr>
          <w:rFonts w:hint="eastAsia" w:ascii="Arial" w:hAnsi="Arial" w:eastAsia="仿宋_GB2312" w:cs="Arial"/>
          <w:color w:val="000000" w:themeColor="text1"/>
          <w:sz w:val="24"/>
          <w14:textFill>
            <w14:solidFill>
              <w14:schemeClr w14:val="tx1"/>
            </w14:solidFill>
          </w14:textFill>
        </w:rPr>
      </w:pPr>
      <w:r>
        <w:rPr>
          <w:rFonts w:hint="eastAsia" w:ascii="Arial" w:hAnsi="Arial" w:eastAsia="仿宋_GB2312" w:cs="Arial"/>
          <w:color w:val="000000" w:themeColor="text1"/>
          <w:sz w:val="24"/>
          <w14:textFill>
            <w14:solidFill>
              <w14:schemeClr w14:val="tx1"/>
            </w14:solidFill>
          </w14:textFill>
        </w:rPr>
        <w:t>设备购置费是指在土地复垦过程中，因需要购置各种永久性设备所发生的费用。根据本项目的实际情况，土地复垦过程中涉及到的复垦机械设备均</w:t>
      </w:r>
      <w:r>
        <w:rPr>
          <w:rFonts w:hint="eastAsia" w:ascii="Arial" w:hAnsi="Arial" w:eastAsia="仿宋_GB2312" w:cs="Arial"/>
          <w:color w:val="000000" w:themeColor="text1"/>
          <w:sz w:val="24"/>
          <w:lang w:val="en-US" w:eastAsia="zh-CN"/>
          <w14:textFill>
            <w14:solidFill>
              <w14:schemeClr w14:val="tx1"/>
            </w14:solidFill>
          </w14:textFill>
        </w:rPr>
        <w:t xml:space="preserve"> </w:t>
      </w:r>
      <w:r>
        <w:rPr>
          <w:rFonts w:hint="eastAsia" w:ascii="Arial" w:hAnsi="Arial" w:eastAsia="仿宋_GB2312" w:cs="Arial"/>
          <w:color w:val="000000" w:themeColor="text1"/>
          <w:sz w:val="24"/>
          <w14:textFill>
            <w14:solidFill>
              <w14:schemeClr w14:val="tx1"/>
            </w14:solidFill>
          </w14:textFill>
        </w:rPr>
        <w:t>由复垦工程具体施工单位提供或采用租用方式，故本方案不存在购买设备的费用。</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c)其他费用</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ascii="Arial" w:hAnsi="Arial" w:eastAsia="仿宋_GB2312" w:cs="Arial"/>
          <w:color w:val="000000" w:themeColor="text1"/>
          <w:sz w:val="24"/>
          <w14:textFill>
            <w14:solidFill>
              <w14:schemeClr w14:val="tx1"/>
            </w14:solidFill>
          </w14:textFill>
        </w:rPr>
        <w:t>其他费用包括</w:t>
      </w:r>
      <w:r>
        <w:rPr>
          <w:rFonts w:eastAsia="仿宋_GB2312"/>
          <w:color w:val="000000" w:themeColor="text1"/>
          <w:sz w:val="24"/>
          <w14:textFill>
            <w14:solidFill>
              <w14:schemeClr w14:val="tx1"/>
            </w14:solidFill>
          </w14:textFill>
        </w:rPr>
        <w:t>前期工作费、</w:t>
      </w:r>
      <w:r>
        <w:rPr>
          <w:rFonts w:hint="eastAsia" w:eastAsia="仿宋_GB2312"/>
          <w:color w:val="000000" w:themeColor="text1"/>
          <w:sz w:val="24"/>
          <w14:textFill>
            <w14:solidFill>
              <w14:schemeClr w14:val="tx1"/>
            </w14:solidFill>
          </w14:textFill>
        </w:rPr>
        <w:t>工程监理费、</w:t>
      </w:r>
      <w:r>
        <w:rPr>
          <w:rFonts w:eastAsia="仿宋_GB2312"/>
          <w:color w:val="000000" w:themeColor="text1"/>
          <w:sz w:val="24"/>
          <w14:textFill>
            <w14:solidFill>
              <w14:schemeClr w14:val="tx1"/>
            </w14:solidFill>
          </w14:textFill>
        </w:rPr>
        <w:t>竣工验收费、业主管理费</w:t>
      </w:r>
      <w:r>
        <w:rPr>
          <w:rFonts w:hint="eastAsia" w:eastAsia="仿宋_GB2312"/>
          <w:color w:val="000000" w:themeColor="text1"/>
          <w:sz w:val="24"/>
          <w14:textFill>
            <w14:solidFill>
              <w14:schemeClr w14:val="tx1"/>
            </w14:solidFill>
          </w14:textFill>
        </w:rPr>
        <w:t>。</w:t>
      </w:r>
    </w:p>
    <w:p>
      <w:pPr>
        <w:pageBreakBefore w:val="0"/>
        <w:numPr>
          <w:ilvl w:val="0"/>
          <w:numId w:val="7"/>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前期工作费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前期工作费是指土地复垦工程在施工前所发生的各项支出，包括土地利用与生态现状调查费、土地勘测费、土地复垦方案编制费、阶段性实施方案编制费、科研实验费和工程招标代理费。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对于生产建设项目，前期工作费用主要包括两大费用：一是生产项目审批之前发生的与土地复垦相关的费用，该费用纳入企业成本，不纳入复垦专项资金；二是生产项目开始之后，复垦实施之前的复垦相关的费用，计入复垦专项资金，根据</w:t>
      </w:r>
      <w:r>
        <w:rPr>
          <w:rFonts w:eastAsia="仿宋_GB2312"/>
          <w:color w:val="000000" w:themeColor="text1"/>
          <w:sz w:val="24"/>
          <w14:textFill>
            <w14:solidFill>
              <w14:schemeClr w14:val="tx1"/>
            </w14:solidFill>
          </w14:textFill>
        </w:rPr>
        <w:t>《土地开发整理项目预算定额标准》</w:t>
      </w:r>
      <w:r>
        <w:rPr>
          <w:rFonts w:hint="eastAsia" w:eastAsia="仿宋_GB2312"/>
          <w:color w:val="000000" w:themeColor="text1"/>
          <w:sz w:val="24"/>
          <w14:textFill>
            <w14:solidFill>
              <w14:schemeClr w14:val="tx1"/>
            </w14:solidFill>
          </w14:textFill>
        </w:rPr>
        <w:t>，本方案按</w:t>
      </w:r>
      <w:r>
        <w:rPr>
          <w:rFonts w:hint="eastAsia" w:eastAsia="仿宋_GB2312"/>
          <w:color w:val="000000" w:themeColor="text1"/>
          <w:sz w:val="24"/>
          <w:lang w:eastAsia="zh-CN"/>
          <w14:textFill>
            <w14:solidFill>
              <w14:schemeClr w14:val="tx1"/>
            </w14:solidFill>
          </w14:textFill>
        </w:rPr>
        <w:t>工程施工费的</w:t>
      </w:r>
      <w:r>
        <w:rPr>
          <w:rFonts w:hint="eastAsia" w:eastAsia="仿宋_GB2312"/>
          <w:color w:val="000000" w:themeColor="text1"/>
          <w:sz w:val="24"/>
          <w:lang w:val="en-US" w:eastAsia="zh-CN"/>
          <w14:textFill>
            <w14:solidFill>
              <w14:schemeClr w14:val="tx1"/>
            </w14:solidFill>
          </w14:textFill>
        </w:rPr>
        <w:t>6</w:t>
      </w:r>
      <w:r>
        <w:rPr>
          <w:rFonts w:hint="eastAsia" w:eastAsia="仿宋_GB2312"/>
          <w:color w:val="000000" w:themeColor="text1"/>
          <w:sz w:val="24"/>
          <w:lang w:eastAsia="zh-CN"/>
          <w14:textFill>
            <w14:solidFill>
              <w14:schemeClr w14:val="tx1"/>
            </w14:solidFill>
          </w14:textFill>
        </w:rPr>
        <w:t>%计</w:t>
      </w:r>
      <w:r>
        <w:rPr>
          <w:rFonts w:hint="eastAsia" w:eastAsia="仿宋_GB2312"/>
          <w:color w:val="000000" w:themeColor="text1"/>
          <w:sz w:val="24"/>
          <w14:textFill>
            <w14:solidFill>
              <w14:schemeClr w14:val="tx1"/>
            </w14:solidFill>
          </w14:textFill>
        </w:rPr>
        <w:t>取。</w:t>
      </w:r>
    </w:p>
    <w:p>
      <w:pPr>
        <w:pageBreakBefore w:val="0"/>
        <w:numPr>
          <w:ilvl w:val="0"/>
          <w:numId w:val="8"/>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工程监理费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工程监理费是指项目承担单位委托具有工程监理资质的单位，按国家有关规定进行全过程的监督与管理所发生的费用。</w:t>
      </w:r>
      <w:r>
        <w:rPr>
          <w:rFonts w:hint="eastAsia" w:eastAsia="仿宋_GB2312"/>
          <w:color w:val="000000" w:themeColor="text1"/>
          <w:sz w:val="24"/>
          <w:lang w:val="en-US" w:eastAsia="zh-CN"/>
          <w14:textFill>
            <w14:solidFill>
              <w14:schemeClr w14:val="tx1"/>
            </w14:solidFill>
          </w14:textFill>
        </w:rPr>
        <w:t>因本项目复垦工程施工费较少，故设计</w:t>
      </w:r>
      <w:r>
        <w:rPr>
          <w:rFonts w:hint="eastAsia" w:eastAsia="仿宋_GB2312"/>
          <w:color w:val="000000" w:themeColor="text1"/>
          <w:sz w:val="24"/>
          <w14:textFill>
            <w14:solidFill>
              <w14:schemeClr w14:val="tx1"/>
            </w14:solidFill>
          </w14:textFill>
        </w:rPr>
        <w:t>工程监理费</w:t>
      </w:r>
      <w:r>
        <w:rPr>
          <w:rFonts w:hint="eastAsia" w:eastAsia="仿宋_GB2312"/>
          <w:color w:val="000000" w:themeColor="text1"/>
          <w:sz w:val="24"/>
          <w:lang w:val="en-US" w:eastAsia="zh-CN"/>
          <w14:textFill>
            <w14:solidFill>
              <w14:schemeClr w14:val="tx1"/>
            </w14:solidFill>
          </w14:textFill>
        </w:rPr>
        <w:t>采用市场价方式计费，本项目</w:t>
      </w:r>
      <w:r>
        <w:rPr>
          <w:rFonts w:hint="eastAsia" w:eastAsia="仿宋_GB2312"/>
          <w:color w:val="000000" w:themeColor="text1"/>
          <w:sz w:val="24"/>
          <w14:textFill>
            <w14:solidFill>
              <w14:schemeClr w14:val="tx1"/>
            </w14:solidFill>
          </w14:textFill>
        </w:rPr>
        <w:t>工程监理费</w:t>
      </w:r>
      <w:r>
        <w:rPr>
          <w:rFonts w:hint="eastAsia" w:eastAsia="仿宋_GB2312"/>
          <w:color w:val="000000" w:themeColor="text1"/>
          <w:sz w:val="24"/>
          <w:lang w:val="en-US" w:eastAsia="zh-CN"/>
          <w14:textFill>
            <w14:solidFill>
              <w14:schemeClr w14:val="tx1"/>
            </w14:solidFill>
          </w14:textFill>
        </w:rPr>
        <w:t>计8000元</w:t>
      </w:r>
      <w:r>
        <w:rPr>
          <w:rFonts w:hint="eastAsia" w:eastAsia="仿宋_GB2312"/>
          <w:color w:val="000000" w:themeColor="text1"/>
          <w:sz w:val="24"/>
          <w14:textFill>
            <w14:solidFill>
              <w14:schemeClr w14:val="tx1"/>
            </w14:solidFill>
          </w14:textFill>
        </w:rPr>
        <w:t>。</w:t>
      </w:r>
    </w:p>
    <w:p>
      <w:pPr>
        <w:pageBreakBefore w:val="0"/>
        <w:numPr>
          <w:ilvl w:val="0"/>
          <w:numId w:val="9"/>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竣工验收费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是指项目工程完工后，因项目竣工验收、决算、成果的管理等发生的各项支出，包括竣工验收与决算费、项目决算审计费、土地重估与登记费等费用。</w:t>
      </w:r>
      <w:r>
        <w:rPr>
          <w:rFonts w:hint="eastAsia" w:eastAsia="仿宋_GB2312"/>
          <w:color w:val="000000" w:themeColor="text1"/>
          <w:sz w:val="24"/>
          <w:lang w:val="en-US" w:eastAsia="zh-CN"/>
          <w14:textFill>
            <w14:solidFill>
              <w14:schemeClr w14:val="tx1"/>
            </w14:solidFill>
          </w14:textFill>
        </w:rPr>
        <w:t>因本项目复垦工程施工费较少，故设计</w:t>
      </w:r>
      <w:r>
        <w:rPr>
          <w:rFonts w:hint="eastAsia" w:eastAsia="仿宋_GB2312"/>
          <w:color w:val="000000" w:themeColor="text1"/>
          <w:sz w:val="24"/>
          <w14:textFill>
            <w14:solidFill>
              <w14:schemeClr w14:val="tx1"/>
            </w14:solidFill>
          </w14:textFill>
        </w:rPr>
        <w:t>竣工验收费</w:t>
      </w:r>
      <w:r>
        <w:rPr>
          <w:rFonts w:hint="eastAsia" w:eastAsia="仿宋_GB2312"/>
          <w:color w:val="000000" w:themeColor="text1"/>
          <w:sz w:val="24"/>
          <w:lang w:val="en-US" w:eastAsia="zh-CN"/>
          <w14:textFill>
            <w14:solidFill>
              <w14:schemeClr w14:val="tx1"/>
            </w14:solidFill>
          </w14:textFill>
        </w:rPr>
        <w:t>采用市场价方式计费，本项目</w:t>
      </w:r>
      <w:r>
        <w:rPr>
          <w:rFonts w:hint="eastAsia" w:eastAsia="仿宋_GB2312"/>
          <w:color w:val="000000" w:themeColor="text1"/>
          <w:sz w:val="24"/>
          <w14:textFill>
            <w14:solidFill>
              <w14:schemeClr w14:val="tx1"/>
            </w14:solidFill>
          </w14:textFill>
        </w:rPr>
        <w:t>竣工验收费</w:t>
      </w:r>
      <w:r>
        <w:rPr>
          <w:rFonts w:hint="eastAsia" w:eastAsia="仿宋_GB2312"/>
          <w:color w:val="000000" w:themeColor="text1"/>
          <w:sz w:val="24"/>
          <w:lang w:val="en-US" w:eastAsia="zh-CN"/>
          <w14:textFill>
            <w14:solidFill>
              <w14:schemeClr w14:val="tx1"/>
            </w14:solidFill>
          </w14:textFill>
        </w:rPr>
        <w:t>计12000元</w:t>
      </w:r>
      <w:r>
        <w:rPr>
          <w:rFonts w:hint="eastAsia" w:eastAsia="仿宋_GB2312"/>
          <w:color w:val="000000" w:themeColor="text1"/>
          <w:sz w:val="24"/>
          <w14:textFill>
            <w14:solidFill>
              <w14:schemeClr w14:val="tx1"/>
            </w14:solidFill>
          </w14:textFill>
        </w:rPr>
        <w:t>。</w:t>
      </w:r>
    </w:p>
    <w:p>
      <w:pPr>
        <w:pageBreakBefore w:val="0"/>
        <w:numPr>
          <w:ilvl w:val="0"/>
          <w:numId w:val="10"/>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业主管理费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业主管理费指项目承担单位为项目的组织、管理所发生的各项管理性支出。根据</w:t>
      </w:r>
      <w:r>
        <w:rPr>
          <w:rFonts w:eastAsia="仿宋_GB2312"/>
          <w:color w:val="000000" w:themeColor="text1"/>
          <w:sz w:val="24"/>
          <w14:textFill>
            <w14:solidFill>
              <w14:schemeClr w14:val="tx1"/>
            </w14:solidFill>
          </w14:textFill>
        </w:rPr>
        <w:t>《土地开发整理项目预算定额标准》</w:t>
      </w:r>
      <w:r>
        <w:rPr>
          <w:rFonts w:hint="eastAsia" w:eastAsia="仿宋_GB2312"/>
          <w:color w:val="000000" w:themeColor="text1"/>
          <w:sz w:val="24"/>
          <w14:textFill>
            <w14:solidFill>
              <w14:schemeClr w14:val="tx1"/>
            </w14:solidFill>
          </w14:textFill>
        </w:rPr>
        <w:t>规定，业主管理费按工程施工费、前期工作费、工程监理费和竣工验收费四项之和的2.0%计取。</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d)复垦监测与管护费</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eastAsia" w:ascii="黑体" w:hAnsi="黑体" w:eastAsia="黑体" w:cs="黑体"/>
          <w:b/>
          <w:color w:val="000000" w:themeColor="text1"/>
          <w:sz w:val="28"/>
          <w14:textFill>
            <w14:solidFill>
              <w14:schemeClr w14:val="tx1"/>
            </w14:solidFill>
          </w14:textFill>
        </w:rPr>
      </w:pPr>
      <w:r>
        <w:rPr>
          <w:rFonts w:hint="eastAsia" w:eastAsia="仿宋_GB2312"/>
          <w:color w:val="000000" w:themeColor="text1"/>
          <w:sz w:val="24"/>
          <w14:textFill>
            <w14:solidFill>
              <w14:schemeClr w14:val="tx1"/>
            </w14:solidFill>
          </w14:textFill>
        </w:rPr>
        <w:t>1）监测费</w:t>
      </w:r>
    </w:p>
    <w:p>
      <w:pPr>
        <w:pStyle w:val="17"/>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textAlignment w:val="auto"/>
        <w:rPr>
          <w:rFonts w:hint="eastAsia" w:ascii="仿宋_GB2312" w:eastAsia="仿宋_GB2312" w:cs="仿宋_GB2312"/>
          <w:color w:val="000000" w:themeColor="text1"/>
          <w:lang w:val="en-US"/>
          <w14:textFill>
            <w14:solidFill>
              <w14:schemeClr w14:val="tx1"/>
            </w14:solidFill>
          </w14:textFill>
        </w:rPr>
      </w:pPr>
      <w:r>
        <w:rPr>
          <w:rFonts w:hint="eastAsia" w:ascii="仿宋_GB2312" w:hAnsi="仿宋_GB2312" w:eastAsia="仿宋_GB2312" w:cs="仿宋_GB2312"/>
          <w:color w:val="000000" w:themeColor="text1"/>
          <w:sz w:val="24"/>
          <w:szCs w:val="21"/>
          <w:lang w:val="en-US" w:eastAsia="zh-CN"/>
          <w14:textFill>
            <w14:solidFill>
              <w14:schemeClr w14:val="tx1"/>
            </w14:solidFill>
          </w14:textFill>
        </w:rPr>
        <w:t>监测费用按依据中国地质调查局《地质调查项目预算标准》，参照同类土地复垦监测取费标准进行，根据市场价目前均统一收费为：土地损毁监测每次监测费500元；植被恢复监测每次监测费500元；土壤质量监测每次监测费600元。</w:t>
      </w:r>
    </w:p>
    <w:p>
      <w:pPr>
        <w:keepNext w:val="0"/>
        <w:keepLines w:val="0"/>
        <w:pageBreakBefore w:val="0"/>
        <w:numPr>
          <w:ilvl w:val="0"/>
          <w:numId w:val="11"/>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管护费</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outlineLvl w:val="9"/>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管护费是对复垦后的一些重要的工程措施、植被和复垦区域土地等进行有针对性的巡查、补植、喷药等管护工作所发生的费用，主要包括管理和管护。本项目复垦工程实施后，需要对复垦林地采取管护措施，后期管护时间为3年。林地管护费用的提取按照当地实际情况进行提取。</w:t>
      </w:r>
      <w:r>
        <w:rPr>
          <w:rFonts w:hint="eastAsia" w:ascii="Times New Roman" w:hAnsi="Times New Roman" w:eastAsia="仿宋_GB2312" w:cs="Times New Roman"/>
          <w:color w:val="000000" w:themeColor="text1"/>
          <w:sz w:val="24"/>
          <w:lang w:val="en-US" w:eastAsia="zh-CN"/>
          <w14:textFill>
            <w14:solidFill>
              <w14:schemeClr w14:val="tx1"/>
            </w14:solidFill>
          </w14:textFill>
        </w:rPr>
        <w:t>本次复垦拟采用的5t洒水车自带水泵，故抽水费用已计入洒水车台班费用，灌溉用水采用灌溉渠道水，复垦用水价格参该区农业灌溉用水价格进行计算，计1.18元/立方米。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e)预备费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预备费是在考虑了土地复垦期间可能发生的风险因素，从而导致复垦费用增加的一项费用。本方案预备费用主要包括基本预备费。</w:t>
      </w:r>
    </w:p>
    <w:p>
      <w:pPr>
        <w:pageBreakBefore w:val="0"/>
        <w:numPr>
          <w:ilvl w:val="0"/>
          <w:numId w:val="12"/>
        </w:numPr>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基本预备费</w:t>
      </w: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指为解决施工过程中因自然灾害、设计变更等所增加的费用。根据</w:t>
      </w:r>
      <w:r>
        <w:rPr>
          <w:rFonts w:eastAsia="仿宋_GB2312"/>
          <w:color w:val="000000" w:themeColor="text1"/>
          <w:sz w:val="24"/>
          <w14:textFill>
            <w14:solidFill>
              <w14:schemeClr w14:val="tx1"/>
            </w14:solidFill>
          </w14:textFill>
        </w:rPr>
        <w:t>《土地开发整理项目预算定额标准》</w:t>
      </w:r>
      <w:r>
        <w:rPr>
          <w:rFonts w:hint="eastAsia" w:eastAsia="仿宋_GB2312"/>
          <w:color w:val="000000" w:themeColor="text1"/>
          <w:sz w:val="24"/>
          <w14:textFill>
            <w14:solidFill>
              <w14:schemeClr w14:val="tx1"/>
            </w14:solidFill>
          </w14:textFill>
        </w:rPr>
        <w:t>，可按工程施工费和其他费用之和的3%计取。</w:t>
      </w:r>
    </w:p>
    <w:bookmarkEnd w:id="199"/>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textAlignment w:val="auto"/>
        <w:outlineLvl w:val="9"/>
        <w:rPr>
          <w:rFonts w:hint="eastAsia" w:eastAsia="仿宋_GB2312"/>
          <w:color w:val="000000" w:themeColor="text1"/>
          <w:sz w:val="24"/>
          <w14:textFill>
            <w14:solidFill>
              <w14:schemeClr w14:val="tx1"/>
            </w14:solidFill>
          </w14:textFill>
        </w:rPr>
      </w:pPr>
      <w:bookmarkStart w:id="200" w:name="_Toc185001101"/>
      <w:bookmarkStart w:id="201" w:name="_Toc3941"/>
      <w:bookmarkStart w:id="202" w:name="_Toc22411"/>
      <w:r>
        <w:rPr>
          <w:rFonts w:hint="eastAsia" w:eastAsia="仿宋_GB2312"/>
          <w:color w:val="000000" w:themeColor="text1"/>
          <w:sz w:val="24"/>
          <w:lang w:val="en-US" w:eastAsia="zh-CN"/>
          <w14:textFill>
            <w14:solidFill>
              <w14:schemeClr w14:val="tx1"/>
            </w14:solidFill>
          </w14:textFill>
        </w:rPr>
        <w:t xml:space="preserve">    2）</w:t>
      </w:r>
      <w:r>
        <w:rPr>
          <w:rFonts w:hint="eastAsia" w:eastAsia="仿宋_GB2312"/>
          <w:color w:val="000000" w:themeColor="text1"/>
          <w:sz w:val="24"/>
          <w14:textFill>
            <w14:solidFill>
              <w14:schemeClr w14:val="tx1"/>
            </w14:solidFill>
          </w14:textFill>
        </w:rPr>
        <w:t>风险金</w:t>
      </w: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outlineLvl w:val="9"/>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是指可预见而目前技术上无法完全避免的土地复垦过程中可能发生的风险的备用金。据</w:t>
      </w:r>
      <w:r>
        <w:rPr>
          <w:rFonts w:hint="eastAsia" w:ascii="仿宋_GB2312" w:eastAsia="仿宋_GB2312"/>
          <w:color w:val="000000" w:themeColor="text1"/>
          <w:lang w:eastAsia="zh-CN"/>
          <w14:textFill>
            <w14:solidFill>
              <w14:schemeClr w14:val="tx1"/>
            </w14:solidFill>
          </w14:textFill>
        </w:rPr>
        <w:t>该项目</w:t>
      </w:r>
      <w:r>
        <w:rPr>
          <w:rFonts w:hint="eastAsia" w:ascii="仿宋_GB2312" w:eastAsia="仿宋_GB2312"/>
          <w:color w:val="000000" w:themeColor="text1"/>
          <w14:textFill>
            <w14:solidFill>
              <w14:schemeClr w14:val="tx1"/>
            </w14:solidFill>
          </w14:textFill>
        </w:rPr>
        <w:t xml:space="preserve">可行性研究报告中环境风险因素分析，结合《土地复垦方案编制规程》中对复垦工程风险金计取的要求：“金属矿山和开采年限较长的非金属矿等复垦工程按可能性大小，以复垦施工费为基数计取风险金”，本项目不计取风险金费用。 </w:t>
      </w:r>
    </w:p>
    <w:p>
      <w:pPr>
        <w:pStyle w:val="5"/>
        <w:pageBreakBefore w:val="0"/>
        <w:kinsoku/>
        <w:wordWrap/>
        <w:topLinePunct w:val="0"/>
        <w:bidi w:val="0"/>
        <w:adjustRightInd w:val="0"/>
        <w:snapToGrid w:val="0"/>
        <w:spacing w:before="0" w:after="0" w:line="360" w:lineRule="auto"/>
        <w:rPr>
          <w:rFonts w:hint="eastAsia" w:ascii="黑体" w:hAnsi="黑体" w:cs="黑体"/>
          <w:b w:val="0"/>
          <w:color w:val="000000" w:themeColor="text1"/>
          <w:sz w:val="30"/>
          <w:szCs w:val="30"/>
          <w14:textFill>
            <w14:solidFill>
              <w14:schemeClr w14:val="tx1"/>
            </w14:solidFill>
          </w14:textFill>
        </w:rPr>
      </w:pPr>
      <w:bookmarkStart w:id="203" w:name="_Toc31880"/>
      <w:bookmarkStart w:id="204" w:name="_Toc22633"/>
      <w:r>
        <w:rPr>
          <w:rFonts w:hint="eastAsia" w:ascii="Times New Roman" w:hAnsi="Times New Roman" w:eastAsia="仿宋_GB2312"/>
          <w:b w:val="0"/>
          <w:color w:val="000000" w:themeColor="text1"/>
          <w:sz w:val="30"/>
          <w:szCs w:val="30"/>
          <w14:textFill>
            <w14:solidFill>
              <w14:schemeClr w14:val="tx1"/>
            </w14:solidFill>
          </w14:textFill>
        </w:rPr>
        <w:t>7</w:t>
      </w:r>
      <w:r>
        <w:rPr>
          <w:rFonts w:ascii="Times New Roman" w:hAnsi="Times New Roman" w:eastAsia="仿宋_GB2312"/>
          <w:b w:val="0"/>
          <w:color w:val="000000" w:themeColor="text1"/>
          <w:sz w:val="30"/>
          <w:szCs w:val="30"/>
          <w14:textFill>
            <w14:solidFill>
              <w14:schemeClr w14:val="tx1"/>
            </w14:solidFill>
          </w14:textFill>
        </w:rPr>
        <w:t>.</w:t>
      </w:r>
      <w:bookmarkEnd w:id="200"/>
      <w:r>
        <w:rPr>
          <w:rFonts w:hint="eastAsia" w:ascii="Times New Roman" w:hAnsi="Times New Roman" w:eastAsia="仿宋_GB2312"/>
          <w:b w:val="0"/>
          <w:color w:val="000000" w:themeColor="text1"/>
          <w:sz w:val="30"/>
          <w:szCs w:val="30"/>
          <w14:textFill>
            <w14:solidFill>
              <w14:schemeClr w14:val="tx1"/>
            </w14:solidFill>
          </w14:textFill>
        </w:rPr>
        <w:t>3</w:t>
      </w:r>
      <w:r>
        <w:rPr>
          <w:rFonts w:hint="eastAsia" w:ascii="黑体" w:hAnsi="黑体" w:cs="黑体"/>
          <w:b w:val="0"/>
          <w:color w:val="000000" w:themeColor="text1"/>
          <w:sz w:val="30"/>
          <w:szCs w:val="30"/>
          <w14:textFill>
            <w14:solidFill>
              <w14:schemeClr w14:val="tx1"/>
            </w14:solidFill>
          </w14:textFill>
        </w:rPr>
        <w:t>估算成果</w:t>
      </w:r>
      <w:bookmarkEnd w:id="201"/>
      <w:bookmarkEnd w:id="202"/>
      <w:bookmarkEnd w:id="203"/>
      <w:bookmarkEnd w:id="204"/>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本项目土地复垦投资依据复垦工程内容及工程量进行估算，土地复垦静态总投资26.31万元。其中，工程施工费19.14万元，所占静态总投资的72.74%；其他费用3.59万元，占静态总投资13.66%；基本预备费用0.68万元，占静态总投资2.59%；监测费用2.70万元，占静态总投资10.26%；管护费用0.20万元，占静态总投资0.75%。</w:t>
      </w:r>
    </w:p>
    <w:p>
      <w:pPr>
        <w:pageBreakBefore w:val="0"/>
        <w:kinsoku/>
        <w:wordWrap/>
        <w:topLinePunct w:val="0"/>
        <w:bidi w:val="0"/>
        <w:adjustRightInd w:val="0"/>
        <w:snapToGrid w:val="0"/>
        <w:spacing w:line="360" w:lineRule="auto"/>
        <w:ind w:firstLine="480" w:firstLineChars="200"/>
        <w:rPr>
          <w:rFonts w:hint="default" w:eastAsia="仿宋_GB2312"/>
          <w:color w:val="000000" w:themeColor="text1"/>
          <w:sz w:val="24"/>
          <w:szCs w:val="24"/>
          <w14:textFill>
            <w14:solidFill>
              <w14:schemeClr w14:val="tx1"/>
            </w14:solidFill>
          </w14:textFill>
        </w:rPr>
      </w:pPr>
      <w:r>
        <w:rPr>
          <w:rFonts w:hint="eastAsia" w:eastAsia="仿宋_GB2312"/>
          <w:color w:val="000000" w:themeColor="text1"/>
          <w:sz w:val="24"/>
          <w:szCs w:val="24"/>
          <w14:textFill>
            <w14:solidFill>
              <w14:schemeClr w14:val="tx1"/>
            </w14:solidFill>
          </w14:textFill>
        </w:rPr>
        <w:t>土地复垦工程投资估算见表7-</w:t>
      </w:r>
      <w:r>
        <w:rPr>
          <w:rFonts w:hint="eastAsia" w:eastAsia="仿宋_GB2312"/>
          <w:color w:val="000000" w:themeColor="text1"/>
          <w:sz w:val="24"/>
          <w:szCs w:val="24"/>
          <w:lang w:val="en-US" w:eastAsia="zh-CN"/>
          <w14:textFill>
            <w14:solidFill>
              <w14:schemeClr w14:val="tx1"/>
            </w14:solidFill>
          </w14:textFill>
        </w:rPr>
        <w:t>3</w:t>
      </w:r>
      <w:r>
        <w:rPr>
          <w:rFonts w:hint="eastAsia" w:eastAsia="仿宋_GB2312"/>
          <w:color w:val="000000" w:themeColor="text1"/>
          <w:sz w:val="24"/>
          <w:szCs w:val="24"/>
          <w14:textFill>
            <w14:solidFill>
              <w14:schemeClr w14:val="tx1"/>
            </w14:solidFill>
          </w14:textFill>
        </w:rPr>
        <w:t>；工程施工综合单价估算汇总表见表7-</w:t>
      </w:r>
      <w:r>
        <w:rPr>
          <w:rFonts w:hint="eastAsia" w:eastAsia="仿宋_GB2312"/>
          <w:color w:val="000000" w:themeColor="text1"/>
          <w:sz w:val="24"/>
          <w:szCs w:val="24"/>
          <w:lang w:val="en-US" w:eastAsia="zh-CN"/>
          <w14:textFill>
            <w14:solidFill>
              <w14:schemeClr w14:val="tx1"/>
            </w14:solidFill>
          </w14:textFill>
        </w:rPr>
        <w:t>4</w:t>
      </w:r>
      <w:r>
        <w:rPr>
          <w:rFonts w:hint="eastAsia" w:eastAsia="仿宋_GB2312"/>
          <w:color w:val="000000" w:themeColor="text1"/>
          <w:sz w:val="24"/>
          <w:szCs w:val="24"/>
          <w14:textFill>
            <w14:solidFill>
              <w14:schemeClr w14:val="tx1"/>
            </w14:solidFill>
          </w14:textFill>
        </w:rPr>
        <w:t>；工程施工费估算表见</w:t>
      </w:r>
      <w:r>
        <w:rPr>
          <w:rFonts w:hint="eastAsia" w:eastAsia="仿宋_GB2312"/>
          <w:color w:val="000000" w:themeColor="text1"/>
          <w:sz w:val="24"/>
          <w:szCs w:val="24"/>
          <w:lang w:eastAsia="zh-CN"/>
          <w14:textFill>
            <w14:solidFill>
              <w14:schemeClr w14:val="tx1"/>
            </w14:solidFill>
          </w14:textFill>
        </w:rPr>
        <w:t>表7-4</w:t>
      </w:r>
      <w:r>
        <w:rPr>
          <w:rFonts w:hint="eastAsia" w:eastAsia="仿宋_GB2312"/>
          <w:color w:val="000000" w:themeColor="text1"/>
          <w:sz w:val="24"/>
          <w:szCs w:val="24"/>
          <w14:textFill>
            <w14:solidFill>
              <w14:schemeClr w14:val="tx1"/>
            </w14:solidFill>
          </w14:textFill>
        </w:rPr>
        <w:t>；其他费用估算见</w:t>
      </w:r>
      <w:r>
        <w:rPr>
          <w:rFonts w:hint="eastAsia" w:eastAsia="仿宋_GB2312"/>
          <w:color w:val="000000" w:themeColor="text1"/>
          <w:sz w:val="24"/>
          <w:szCs w:val="24"/>
          <w:lang w:eastAsia="zh-CN"/>
          <w14:textFill>
            <w14:solidFill>
              <w14:schemeClr w14:val="tx1"/>
            </w14:solidFill>
          </w14:textFill>
        </w:rPr>
        <w:t>表7-5</w:t>
      </w:r>
      <w:r>
        <w:rPr>
          <w:rFonts w:hint="eastAsia" w:eastAsia="仿宋_GB2312"/>
          <w:color w:val="000000" w:themeColor="text1"/>
          <w:sz w:val="24"/>
          <w:szCs w:val="24"/>
          <w14:textFill>
            <w14:solidFill>
              <w14:schemeClr w14:val="tx1"/>
            </w14:solidFill>
          </w14:textFill>
        </w:rPr>
        <w:t>；基本预备费估算见</w:t>
      </w:r>
      <w:r>
        <w:rPr>
          <w:rFonts w:hint="eastAsia" w:eastAsia="仿宋_GB2312"/>
          <w:color w:val="000000" w:themeColor="text1"/>
          <w:sz w:val="24"/>
          <w:szCs w:val="24"/>
          <w:lang w:eastAsia="zh-CN"/>
          <w14:textFill>
            <w14:solidFill>
              <w14:schemeClr w14:val="tx1"/>
            </w14:solidFill>
          </w14:textFill>
        </w:rPr>
        <w:t>表7-6</w:t>
      </w:r>
      <w:r>
        <w:rPr>
          <w:rFonts w:hint="eastAsia"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lang w:eastAsia="zh-CN"/>
          <w14:textFill>
            <w14:solidFill>
              <w14:schemeClr w14:val="tx1"/>
            </w14:solidFill>
          </w14:textFill>
        </w:rPr>
        <w:t>复垦监测费用估算表7-7</w:t>
      </w:r>
      <w:r>
        <w:rPr>
          <w:rFonts w:hint="eastAsia" w:eastAsia="仿宋_GB2312"/>
          <w:color w:val="000000" w:themeColor="text1"/>
          <w:sz w:val="24"/>
          <w:szCs w:val="24"/>
          <w:lang w:val="en-US" w:eastAsia="zh-CN"/>
          <w14:textFill>
            <w14:solidFill>
              <w14:schemeClr w14:val="tx1"/>
            </w14:solidFill>
          </w14:textFill>
        </w:rPr>
        <w:t>；</w:t>
      </w:r>
      <w:r>
        <w:rPr>
          <w:rFonts w:hint="eastAsia" w:eastAsia="仿宋_GB2312"/>
          <w:color w:val="000000" w:themeColor="text1"/>
          <w:sz w:val="24"/>
          <w:szCs w:val="24"/>
          <w:lang w:eastAsia="zh-CN"/>
          <w14:textFill>
            <w14:solidFill>
              <w14:schemeClr w14:val="tx1"/>
            </w14:solidFill>
          </w14:textFill>
        </w:rPr>
        <w:t>复垦管护费用估算表7-8</w:t>
      </w:r>
      <w:r>
        <w:rPr>
          <w:rFonts w:hint="eastAsia" w:eastAsia="仿宋_GB2312"/>
          <w:color w:val="000000" w:themeColor="text1"/>
          <w:sz w:val="24"/>
          <w:szCs w:val="24"/>
          <w:lang w:val="en-US" w:eastAsia="zh-CN"/>
          <w14:textFill>
            <w14:solidFill>
              <w14:schemeClr w14:val="tx1"/>
            </w14:solidFill>
          </w14:textFill>
        </w:rPr>
        <w:t>；主要材料估算价格及价差计算表7-9</w:t>
      </w:r>
      <w:r>
        <w:rPr>
          <w:rFonts w:hint="eastAsia" w:eastAsia="仿宋_GB2312"/>
          <w:color w:val="000000" w:themeColor="text1"/>
          <w:sz w:val="24"/>
          <w:szCs w:val="24"/>
          <w:lang w:eastAsia="zh-CN"/>
          <w14:textFill>
            <w14:solidFill>
              <w14:schemeClr w14:val="tx1"/>
            </w14:solidFill>
          </w14:textFill>
        </w:rPr>
        <w:t>；材料运杂费计算表7-10</w:t>
      </w:r>
      <w:r>
        <w:rPr>
          <w:rFonts w:hint="eastAsia" w:eastAsia="仿宋_GB2312"/>
          <w:color w:val="000000" w:themeColor="text1"/>
          <w:sz w:val="24"/>
          <w:szCs w:val="24"/>
          <w14:textFill>
            <w14:solidFill>
              <w14:schemeClr w14:val="tx1"/>
            </w14:solidFill>
          </w14:textFill>
        </w:rPr>
        <w:t>；</w:t>
      </w:r>
      <w:r>
        <w:rPr>
          <w:rFonts w:hint="eastAsia" w:eastAsia="仿宋_GB2312"/>
          <w:color w:val="000000" w:themeColor="text1"/>
          <w:sz w:val="24"/>
          <w:szCs w:val="24"/>
          <w:lang w:eastAsia="zh-CN"/>
          <w14:textFill>
            <w14:solidFill>
              <w14:schemeClr w14:val="tx1"/>
            </w14:solidFill>
          </w14:textFill>
        </w:rPr>
        <w:t>机械</w:t>
      </w:r>
      <w:r>
        <w:rPr>
          <w:rFonts w:hint="eastAsia" w:eastAsia="仿宋_GB2312"/>
          <w:color w:val="000000" w:themeColor="text1"/>
          <w:sz w:val="24"/>
          <w:szCs w:val="24"/>
          <w14:textFill>
            <w14:solidFill>
              <w14:schemeClr w14:val="tx1"/>
            </w14:solidFill>
          </w14:textFill>
        </w:rPr>
        <w:t>台班</w:t>
      </w:r>
      <w:r>
        <w:rPr>
          <w:rFonts w:hint="eastAsia" w:eastAsia="仿宋_GB2312"/>
          <w:color w:val="000000" w:themeColor="text1"/>
          <w:sz w:val="24"/>
          <w:szCs w:val="24"/>
          <w:lang w:eastAsia="zh-CN"/>
          <w14:textFill>
            <w14:solidFill>
              <w14:schemeClr w14:val="tx1"/>
            </w14:solidFill>
          </w14:textFill>
        </w:rPr>
        <w:t>费汇总</w:t>
      </w:r>
      <w:r>
        <w:rPr>
          <w:rFonts w:hint="eastAsia" w:eastAsia="仿宋_GB2312"/>
          <w:color w:val="000000" w:themeColor="text1"/>
          <w:sz w:val="24"/>
          <w:szCs w:val="24"/>
          <w14:textFill>
            <w14:solidFill>
              <w14:schemeClr w14:val="tx1"/>
            </w14:solidFill>
          </w14:textFill>
        </w:rPr>
        <w:t>见</w:t>
      </w:r>
      <w:r>
        <w:rPr>
          <w:rFonts w:hint="eastAsia" w:eastAsia="仿宋_GB2312"/>
          <w:color w:val="000000" w:themeColor="text1"/>
          <w:sz w:val="24"/>
          <w:szCs w:val="24"/>
          <w:lang w:eastAsia="zh-CN"/>
          <w14:textFill>
            <w14:solidFill>
              <w14:schemeClr w14:val="tx1"/>
            </w14:solidFill>
          </w14:textFill>
        </w:rPr>
        <w:t>表7-1</w:t>
      </w:r>
      <w:r>
        <w:rPr>
          <w:rFonts w:hint="eastAsia" w:eastAsia="仿宋_GB2312"/>
          <w:color w:val="000000" w:themeColor="text1"/>
          <w:sz w:val="24"/>
          <w:szCs w:val="24"/>
          <w:lang w:val="en-US" w:eastAsia="zh-CN"/>
          <w14:textFill>
            <w14:solidFill>
              <w14:schemeClr w14:val="tx1"/>
            </w14:solidFill>
          </w14:textFill>
        </w:rPr>
        <w:t>1；</w:t>
      </w:r>
      <w:r>
        <w:rPr>
          <w:rFonts w:hint="eastAsia" w:eastAsia="仿宋_GB2312"/>
          <w:color w:val="000000" w:themeColor="text1"/>
          <w:sz w:val="24"/>
          <w:szCs w:val="24"/>
          <w:lang w:eastAsia="zh-CN"/>
          <w14:textFill>
            <w14:solidFill>
              <w14:schemeClr w14:val="tx1"/>
            </w14:solidFill>
          </w14:textFill>
        </w:rPr>
        <w:t>工程施工费单价</w:t>
      </w:r>
      <w:r>
        <w:rPr>
          <w:rFonts w:hint="default" w:eastAsia="仿宋_GB2312"/>
          <w:color w:val="000000" w:themeColor="text1"/>
          <w:sz w:val="24"/>
          <w:szCs w:val="24"/>
          <w14:textFill>
            <w14:solidFill>
              <w14:schemeClr w14:val="tx1"/>
            </w14:solidFill>
          </w14:textFill>
        </w:rPr>
        <w:t>分析表</w:t>
      </w:r>
      <w:r>
        <w:rPr>
          <w:rFonts w:hint="eastAsia" w:eastAsia="仿宋_GB2312"/>
          <w:color w:val="000000" w:themeColor="text1"/>
          <w:sz w:val="24"/>
          <w:szCs w:val="24"/>
          <w:lang w:eastAsia="zh-CN"/>
          <w14:textFill>
            <w14:solidFill>
              <w14:schemeClr w14:val="tx1"/>
            </w14:solidFill>
          </w14:textFill>
        </w:rPr>
        <w:t>见表7-1</w:t>
      </w:r>
      <w:r>
        <w:rPr>
          <w:rFonts w:hint="eastAsia" w:eastAsia="仿宋_GB2312"/>
          <w:color w:val="000000" w:themeColor="text1"/>
          <w:sz w:val="24"/>
          <w:szCs w:val="24"/>
          <w:lang w:val="en-US" w:eastAsia="zh-CN"/>
          <w14:textFill>
            <w14:solidFill>
              <w14:schemeClr w14:val="tx1"/>
            </w14:solidFill>
          </w14:textFill>
        </w:rPr>
        <w:t>2</w:t>
      </w:r>
      <w:r>
        <w:rPr>
          <w:rFonts w:hint="eastAsia" w:eastAsia="仿宋_GB2312"/>
          <w:color w:val="000000" w:themeColor="text1"/>
          <w:sz w:val="24"/>
          <w:szCs w:val="24"/>
          <w14:textFill>
            <w14:solidFill>
              <w14:schemeClr w14:val="tx1"/>
            </w14:solidFill>
          </w14:textFill>
        </w:rPr>
        <w:t>。</w:t>
      </w:r>
    </w:p>
    <w:p>
      <w:pPr>
        <w:pageBreakBefore w:val="0"/>
        <w:kinsoku/>
        <w:wordWrap/>
        <w:topLinePunct w:val="0"/>
        <w:bidi w:val="0"/>
        <w:adjustRightInd w:val="0"/>
        <w:snapToGrid w:val="0"/>
        <w:spacing w:line="360" w:lineRule="auto"/>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表7-</w:t>
      </w:r>
      <w:r>
        <w:rPr>
          <w:rFonts w:hint="eastAsia" w:eastAsia="黑体"/>
          <w:color w:val="000000" w:themeColor="text1"/>
          <w:szCs w:val="21"/>
          <w:lang w:val="en-US" w:eastAsia="zh-CN"/>
          <w14:textFill>
            <w14:solidFill>
              <w14:schemeClr w14:val="tx1"/>
            </w14:solidFill>
          </w14:textFill>
        </w:rPr>
        <w:t>3</w:t>
      </w:r>
      <w:r>
        <w:rPr>
          <w:rFonts w:eastAsia="黑体"/>
          <w:color w:val="000000" w:themeColor="text1"/>
          <w:szCs w:val="21"/>
          <w14:textFill>
            <w14:solidFill>
              <w14:schemeClr w14:val="tx1"/>
            </w14:solidFill>
          </w14:textFill>
        </w:rPr>
        <w:t xml:space="preserve"> 土地复垦投资估算总表</w:t>
      </w:r>
    </w:p>
    <w:tbl>
      <w:tblPr>
        <w:tblStyle w:val="20"/>
        <w:tblW w:w="968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2421"/>
        <w:gridCol w:w="2421"/>
        <w:gridCol w:w="2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序号</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工程或项目名称</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费用（万元）</w:t>
            </w:r>
          </w:p>
        </w:tc>
        <w:tc>
          <w:tcPr>
            <w:tcW w:w="2421" w:type="dxa"/>
            <w:noWrap w:val="0"/>
            <w:vAlign w:val="center"/>
          </w:tcPr>
          <w:p>
            <w:pPr>
              <w:keepNext w:val="0"/>
              <w:keepLines w:val="0"/>
              <w:pageBreakBefore w:val="0"/>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一</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工程施工费</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19.14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二</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其他费用</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3.59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三</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预备费</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0.68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四</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监测管护费</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2.90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w:t>
            </w:r>
            <w:r>
              <w:rPr>
                <w:rFonts w:hint="eastAsia" w:ascii="Times New Roman" w:hAnsi="Times New Roman" w:eastAsia="仿宋_GB2312" w:cs="Times New Roman"/>
                <w:color w:val="000000" w:themeColor="text1"/>
                <w:kern w:val="0"/>
                <w:sz w:val="21"/>
                <w:szCs w:val="21"/>
                <w:lang w:eastAsia="zh-CN"/>
                <w14:textFill>
                  <w14:solidFill>
                    <w14:schemeClr w14:val="tx1"/>
                  </w14:solidFill>
                </w14:textFill>
              </w:rPr>
              <w:t>一</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监测费</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2.70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（二）</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管护费</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0.20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4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lang w:eastAsia="zh-CN"/>
                <w14:textFill>
                  <w14:solidFill>
                    <w14:schemeClr w14:val="tx1"/>
                  </w14:solidFill>
                </w14:textFill>
              </w:rPr>
            </w:pPr>
            <w:r>
              <w:rPr>
                <w:rFonts w:hint="default" w:ascii="Times New Roman" w:hAnsi="Times New Roman" w:eastAsia="仿宋_GB2312" w:cs="Times New Roman"/>
                <w:color w:val="000000" w:themeColor="text1"/>
                <w:kern w:val="0"/>
                <w:sz w:val="21"/>
                <w:szCs w:val="21"/>
                <w:lang w:eastAsia="zh-CN"/>
                <w14:textFill>
                  <w14:solidFill>
                    <w14:schemeClr w14:val="tx1"/>
                  </w14:solidFill>
                </w14:textFill>
              </w:rPr>
              <w:t>五</w:t>
            </w:r>
          </w:p>
        </w:tc>
        <w:tc>
          <w:tcPr>
            <w:tcW w:w="242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tLeast"/>
              <w:ind w:left="0" w:leftChars="0" w:right="0" w:rightChars="0" w:firstLine="0" w:firstLineChars="0"/>
              <w:jc w:val="center"/>
              <w:outlineLvl w:val="9"/>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静态总投资</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26.31 </w:t>
            </w:r>
          </w:p>
        </w:tc>
        <w:tc>
          <w:tcPr>
            <w:tcW w:w="2421"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100</w:t>
            </w:r>
          </w:p>
        </w:tc>
      </w:tr>
    </w:tbl>
    <w:p>
      <w:pPr>
        <w:pageBreakBefore w:val="0"/>
        <w:kinsoku/>
        <w:wordWrap/>
        <w:topLinePunct w:val="0"/>
        <w:bidi w:val="0"/>
        <w:adjustRightInd w:val="0"/>
        <w:snapToGrid w:val="0"/>
        <w:spacing w:line="360" w:lineRule="auto"/>
        <w:jc w:val="both"/>
        <w:rPr>
          <w:rFonts w:eastAsia="黑体"/>
          <w:b/>
          <w:bCs/>
          <w:color w:val="000000" w:themeColor="text1"/>
          <w:szCs w:val="21"/>
          <w14:textFill>
            <w14:solidFill>
              <w14:schemeClr w14:val="tx1"/>
            </w14:solidFill>
          </w14:textFill>
        </w:rPr>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p>
    <w:p>
      <w:pPr>
        <w:pageBreakBefore w:val="0"/>
        <w:kinsoku/>
        <w:wordWrap/>
        <w:topLinePunct w:val="0"/>
        <w:bidi w:val="0"/>
        <w:adjustRightInd w:val="0"/>
        <w:snapToGrid w:val="0"/>
        <w:spacing w:line="360" w:lineRule="auto"/>
        <w:jc w:val="center"/>
        <w:rPr>
          <w:rFonts w:hint="default" w:ascii="Times New Roman" w:hAnsi="Times New Roman" w:eastAsia="黑体" w:cs="Times New Roman"/>
          <w:b w:val="0"/>
          <w:bCs w:val="0"/>
          <w:color w:val="000000" w:themeColor="text1"/>
          <w:szCs w:val="21"/>
          <w14:textFill>
            <w14:solidFill>
              <w14:schemeClr w14:val="tx1"/>
            </w14:solidFill>
          </w14:textFill>
        </w:rPr>
      </w:pPr>
      <w:r>
        <w:rPr>
          <w:rFonts w:hint="default" w:ascii="Times New Roman" w:hAnsi="Times New Roman" w:eastAsia="黑体" w:cs="Times New Roman"/>
          <w:b w:val="0"/>
          <w:bCs w:val="0"/>
          <w:color w:val="000000" w:themeColor="text1"/>
          <w:szCs w:val="21"/>
          <w14:textFill>
            <w14:solidFill>
              <w14:schemeClr w14:val="tx1"/>
            </w14:solidFill>
          </w14:textFill>
        </w:rPr>
        <w:t>表7</w:t>
      </w:r>
      <w:r>
        <w:rPr>
          <w:rFonts w:hint="default" w:ascii="Times New Roman" w:hAnsi="Times New Roman" w:eastAsia="黑体" w:cs="Times New Roman"/>
          <w:b w:val="0"/>
          <w:bCs w:val="0"/>
          <w:color w:val="000000" w:themeColor="text1"/>
          <w:szCs w:val="21"/>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Cs w:val="21"/>
          <w14:textFill>
            <w14:solidFill>
              <w14:schemeClr w14:val="tx1"/>
            </w14:solidFill>
          </w14:textFill>
        </w:rPr>
        <w:t xml:space="preserve"> </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w:t>
      </w:r>
      <w:r>
        <w:rPr>
          <w:rFonts w:hint="eastAsia" w:eastAsia="黑体" w:cs="Times New Roman"/>
          <w:b w:val="0"/>
          <w:bCs w:val="0"/>
          <w:color w:val="000000" w:themeColor="text1"/>
          <w:szCs w:val="21"/>
          <w:lang w:val="en-US" w:eastAsia="zh-CN"/>
          <w14:textFill>
            <w14:solidFill>
              <w14:schemeClr w14:val="tx1"/>
            </w14:solidFill>
          </w14:textFill>
        </w:rPr>
        <w:t>1</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w:t>
      </w:r>
      <w:r>
        <w:rPr>
          <w:rFonts w:hint="default" w:ascii="Times New Roman" w:hAnsi="Times New Roman" w:eastAsia="黑体" w:cs="Times New Roman"/>
          <w:b w:val="0"/>
          <w:bCs w:val="0"/>
          <w:color w:val="000000" w:themeColor="text1"/>
          <w:szCs w:val="21"/>
          <w14:textFill>
            <w14:solidFill>
              <w14:schemeClr w14:val="tx1"/>
            </w14:solidFill>
          </w14:textFill>
        </w:rPr>
        <w:t xml:space="preserve"> 工程施工费估算表</w:t>
      </w:r>
    </w:p>
    <w:tbl>
      <w:tblPr>
        <w:tblStyle w:val="20"/>
        <w:tblW w:w="1390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05"/>
        <w:gridCol w:w="855"/>
        <w:gridCol w:w="5243"/>
        <w:gridCol w:w="1843"/>
        <w:gridCol w:w="1701"/>
        <w:gridCol w:w="1559"/>
        <w:gridCol w:w="1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宋体" w:hAnsi="宋体" w:cs="宋体"/>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序 号</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定额编号</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单项名称</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单位</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工程量</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综合单价(元)</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仿宋_GB2312" w:hAnsi="仿宋_GB2312" w:eastAsia="仿宋_GB2312" w:cs="仿宋_GB2312"/>
                <w:color w:val="000000" w:themeColor="text1"/>
                <w:kern w:val="0"/>
                <w:sz w:val="18"/>
                <w:szCs w:val="18"/>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合计(</w:t>
            </w:r>
            <w:r>
              <w:rPr>
                <w:rFonts w:hint="eastAsia" w:ascii="仿宋_GB2312" w:hAnsi="仿宋_GB2312" w:eastAsia="仿宋_GB2312" w:cs="仿宋_GB2312"/>
                <w:color w:val="000000" w:themeColor="text1"/>
                <w:kern w:val="0"/>
                <w:sz w:val="18"/>
                <w:szCs w:val="18"/>
                <w:lang w:eastAsia="zh-CN"/>
                <w14:textFill>
                  <w14:solidFill>
                    <w14:schemeClr w14:val="tx1"/>
                  </w14:solidFill>
                </w14:textFill>
              </w:rPr>
              <w:t>万</w:t>
            </w:r>
            <w:r>
              <w:rPr>
                <w:rFonts w:hint="eastAsia" w:ascii="仿宋_GB2312" w:hAnsi="仿宋_GB2312" w:eastAsia="仿宋_GB2312" w:cs="仿宋_GB2312"/>
                <w:color w:val="000000" w:themeColor="text1"/>
                <w:kern w:val="0"/>
                <w:sz w:val="18"/>
                <w:szCs w:val="18"/>
                <w14:textFill>
                  <w14:solidFill>
                    <w14:schemeClr w14:val="tx1"/>
                  </w14:solidFill>
                </w14:textFill>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left"/>
              <w:rPr>
                <w:rFonts w:ascii="宋体" w:hAnsi="宋体" w:cs="宋体"/>
                <w:color w:val="000000" w:themeColor="text1"/>
                <w:kern w:val="0"/>
                <w:sz w:val="18"/>
                <w:szCs w:val="18"/>
                <w14:textFill>
                  <w14:solidFill>
                    <w14:schemeClr w14:val="tx1"/>
                  </w14:solidFill>
                </w14:textFill>
              </w:rPr>
            </w:pP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eastAsia="仿宋_GB2312"/>
                <w:color w:val="000000" w:themeColor="text1"/>
                <w:kern w:val="0"/>
                <w:sz w:val="18"/>
                <w:szCs w:val="18"/>
                <w14:textFill>
                  <w14:solidFill>
                    <w14:schemeClr w14:val="tx1"/>
                  </w14:solidFill>
                </w14:textFill>
              </w:rPr>
            </w:pPr>
            <w:r>
              <w:rPr>
                <w:rFonts w:eastAsia="仿宋_GB2312"/>
                <w:color w:val="000000" w:themeColor="text1"/>
                <w:kern w:val="0"/>
                <w:sz w:val="18"/>
                <w:szCs w:val="18"/>
                <w14:textFill>
                  <w14:solidFill>
                    <w14:schemeClr w14:val="tx1"/>
                  </w14:solidFill>
                </w14:textFill>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3907" w:type="dxa"/>
            <w:gridSpan w:val="7"/>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喀什市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一</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场地清理工程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eastAsia="仿宋_GB2312" w:cs="Times New Roman"/>
                <w:color w:val="000000" w:themeColor="text1"/>
                <w:kern w:val="0"/>
                <w:sz w:val="18"/>
                <w:lang w:val="en-US" w:eastAsia="zh-CN"/>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XB40012</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机械拆除无钢筋混凝土</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100立方米</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5.58</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9338.03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5.21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eastAsia="仿宋_GB2312" w:cs="Times New Roman"/>
                <w:color w:val="000000" w:themeColor="text1"/>
                <w:kern w:val="0"/>
                <w:sz w:val="18"/>
                <w:lang w:val="en-US" w:eastAsia="zh-CN"/>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20392</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1m3挖掘机挖装自卸汽车运石碴（10km）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100立方米</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5.58</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6817.11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3.80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lang w:val="en-US" w:eastAsia="zh-CN"/>
                <w14:textFill>
                  <w14:solidFill>
                    <w14:schemeClr w14:val="tx1"/>
                  </w14:solidFill>
                </w14:textFill>
              </w:rPr>
              <w:t>二</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ascii="宋体" w:hAnsi="宋体" w:eastAsia="宋体" w:cs="宋体"/>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lang w:eastAsia="zh-CN"/>
                <w14:textFill>
                  <w14:solidFill>
                    <w14:schemeClr w14:val="tx1"/>
                  </w14:solidFill>
                </w14:textFill>
              </w:rPr>
              <w:t>表土回覆工程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ascii="宋体" w:hAnsi="宋体" w:eastAsia="宋体" w:cs="宋体"/>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ascii="宋体" w:hAnsi="宋体" w:cs="宋体"/>
                <w:color w:val="000000" w:themeColor="text1"/>
                <w:kern w:val="0"/>
                <w:sz w:val="18"/>
                <w:szCs w:val="18"/>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w:t>
            </w:r>
            <w:r>
              <w:rPr>
                <w:rFonts w:hint="eastAsia"/>
                <w:color w:val="000000" w:themeColor="text1"/>
                <w:sz w:val="18"/>
                <w:lang w:eastAsia="zh-CN"/>
                <w14:textFill>
                  <w14:solidFill>
                    <w14:schemeClr w14:val="tx1"/>
                  </w14:solidFill>
                </w14:textFill>
              </w:rPr>
              <w:t>一</w:t>
            </w:r>
            <w:r>
              <w:rPr>
                <w:color w:val="000000" w:themeColor="text1"/>
                <w:sz w:val="18"/>
                <w14:textFill>
                  <w14:solidFill>
                    <w14:schemeClr w14:val="tx1"/>
                  </w14:solidFill>
                </w14:textFill>
              </w:rPr>
              <w:t>）</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14:textFill>
                  <w14:solidFill>
                    <w14:schemeClr w14:val="tx1"/>
                  </w14:solidFill>
                </w14:textFill>
              </w:rPr>
              <w:t>表土回覆</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10</w:t>
            </w:r>
            <w:r>
              <w:rPr>
                <w:rFonts w:hint="eastAsia"/>
                <w:color w:val="000000" w:themeColor="text1"/>
                <w:sz w:val="18"/>
                <w:lang w:val="en-US" w:eastAsia="zh-CN"/>
                <w14:textFill>
                  <w14:solidFill>
                    <w14:schemeClr w14:val="tx1"/>
                  </w14:solidFill>
                </w14:textFill>
              </w:rPr>
              <w:t>303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74kw推土机推</w:t>
            </w: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（一、二类土）运距10-20m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4.12</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color w:val="000000" w:themeColor="text1"/>
                <w:kern w:val="0"/>
                <w:sz w:val="18"/>
                <w:szCs w:val="18"/>
                <w14:textFill>
                  <w14:solidFill>
                    <w14:schemeClr w14:val="tx1"/>
                  </w14:solidFill>
                </w14:textFill>
              </w:rPr>
            </w:pPr>
            <w:r>
              <w:rPr>
                <w:color w:val="000000" w:themeColor="text1"/>
                <w:sz w:val="18"/>
                <w14:textFill>
                  <w14:solidFill>
                    <w14:schemeClr w14:val="tx1"/>
                  </w14:solidFill>
                </w14:textFill>
              </w:rPr>
              <w:t>三</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jc w:val="center"/>
              <w:textAlignment w:val="center"/>
              <w:rPr>
                <w:color w:val="000000" w:themeColor="text1"/>
                <w:kern w:val="0"/>
                <w:sz w:val="18"/>
                <w:szCs w:val="18"/>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土地平整工程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jc w:val="center"/>
              <w:textAlignment w:val="center"/>
              <w:rPr>
                <w:rFonts w:hint="default" w:ascii="Times New Roman" w:hAnsi="Times New Roman" w:cs="Times New Roman"/>
                <w:color w:val="000000" w:themeColor="text1"/>
                <w:kern w:val="0"/>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color w:val="000000" w:themeColor="text1"/>
                <w:kern w:val="0"/>
                <w:sz w:val="18"/>
                <w:szCs w:val="18"/>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color w:val="000000" w:themeColor="text1"/>
                <w:kern w:val="0"/>
                <w:sz w:val="18"/>
                <w:szCs w:val="18"/>
                <w14:textFill>
                  <w14:solidFill>
                    <w14:schemeClr w14:val="tx1"/>
                  </w14:solidFill>
                </w14:textFill>
              </w:rPr>
            </w:pPr>
            <w:r>
              <w:rPr>
                <w:color w:val="000000" w:themeColor="text1"/>
                <w:sz w:val="18"/>
                <w14:textFill>
                  <w14:solidFill>
                    <w14:schemeClr w14:val="tx1"/>
                  </w14:solidFill>
                </w14:textFill>
              </w:rPr>
              <w:t>103</w:t>
            </w:r>
            <w:r>
              <w:rPr>
                <w:rFonts w:hint="eastAsia"/>
                <w:color w:val="000000" w:themeColor="text1"/>
                <w:sz w:val="18"/>
                <w:lang w:val="en-US" w:eastAsia="zh-CN"/>
                <w14:textFill>
                  <w14:solidFill>
                    <w14:schemeClr w14:val="tx1"/>
                  </w14:solidFill>
                </w14:textFill>
              </w:rPr>
              <w:t>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87.81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ascii="Times New Roman" w:hAnsi="Times New Roman" w:eastAsia="宋体" w:cs="Times New Roman"/>
                <w:color w:val="000000" w:themeColor="text1"/>
                <w:kern w:val="2"/>
                <w:sz w:val="18"/>
                <w:szCs w:val="24"/>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四</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其他措施</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10043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土地翻耕</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0.0824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2593.03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lang w:eastAsia="zh-CN"/>
                <w14:textFill>
                  <w14:solidFill>
                    <w14:schemeClr w14:val="tx1"/>
                  </w14:solidFill>
                </w14:textFill>
              </w:rPr>
              <w:t>市场价</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土壤培肥</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0.0824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5677.89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7103" w:type="dxa"/>
            <w:gridSpan w:val="3"/>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合 计</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11.42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3907" w:type="dxa"/>
            <w:gridSpan w:val="7"/>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疏附县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一</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场地清理工程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hint="eastAsia" w:ascii="宋体" w:hAnsi="宋体" w:eastAsia="宋体" w:cs="宋体"/>
                <w:color w:val="000000" w:themeColor="text1"/>
                <w:kern w:val="0"/>
                <w:sz w:val="18"/>
                <w:szCs w:val="18"/>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hint="default" w:ascii="宋体" w:hAnsi="宋体" w:eastAsia="宋体" w:cs="宋体"/>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right"/>
              <w:rPr>
                <w:rFonts w:hint="default" w:ascii="宋体" w:hAnsi="宋体" w:eastAsia="宋体" w:cs="宋体"/>
                <w:color w:val="000000" w:themeColor="text1"/>
                <w:kern w:val="0"/>
                <w:sz w:val="18"/>
                <w:szCs w:val="18"/>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eastAsia="仿宋_GB2312" w:cs="Times New Roman"/>
                <w:color w:val="000000" w:themeColor="text1"/>
                <w:kern w:val="0"/>
                <w:sz w:val="18"/>
                <w:lang w:val="en-US" w:eastAsia="zh-CN"/>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XB40012</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机械拆除无钢筋混凝土</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100立方米</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3.11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9338.03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eastAsia="仿宋_GB2312" w:cs="Times New Roman"/>
                <w:color w:val="000000" w:themeColor="text1"/>
                <w:kern w:val="0"/>
                <w:sz w:val="18"/>
                <w:lang w:val="en-US" w:eastAsia="zh-CN"/>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20392</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1m3挖掘机挖装自卸汽车运石碴（10km）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100立方米</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3.11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eastAsia="仿宋_GB2312" w:cs="Times New Roman"/>
                <w:color w:val="000000" w:themeColor="text1"/>
                <w:kern w:val="0"/>
                <w:sz w:val="18"/>
                <w:szCs w:val="24"/>
                <w:lang w:val="en-US" w:eastAsia="zh-CN" w:bidi="ar-SA"/>
                <w14:textFill>
                  <w14:solidFill>
                    <w14:schemeClr w14:val="tx1"/>
                  </w14:solidFill>
                </w14:textFill>
              </w:rPr>
            </w:pPr>
            <w:r>
              <w:rPr>
                <w:rFonts w:hint="default" w:eastAsia="仿宋_GB2312" w:cs="Times New Roman"/>
                <w:color w:val="000000" w:themeColor="text1"/>
                <w:kern w:val="0"/>
                <w:sz w:val="18"/>
                <w:szCs w:val="24"/>
                <w:lang w:val="en-US" w:eastAsia="zh-CN" w:bidi="ar-SA"/>
                <w14:textFill>
                  <w14:solidFill>
                    <w14:schemeClr w14:val="tx1"/>
                  </w14:solidFill>
                </w14:textFill>
              </w:rPr>
              <w:t xml:space="preserve">6817.11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eastAsia="仿宋_GB2312" w:cs="Times New Roman"/>
                <w:color w:val="000000" w:themeColor="text1"/>
                <w:kern w:val="0"/>
                <w:sz w:val="18"/>
                <w:szCs w:val="24"/>
                <w:lang w:val="en-US" w:eastAsia="zh-CN" w:bidi="ar-SA"/>
                <w14:textFill>
                  <w14:solidFill>
                    <w14:schemeClr w14:val="tx1"/>
                  </w14:solidFill>
                </w14:textFill>
              </w:rPr>
            </w:pPr>
            <w:r>
              <w:rPr>
                <w:rFonts w:hint="default" w:eastAsia="仿宋_GB2312" w:cs="Times New Roman"/>
                <w:color w:val="000000" w:themeColor="text1"/>
                <w:kern w:val="0"/>
                <w:sz w:val="18"/>
                <w:szCs w:val="24"/>
                <w:lang w:val="en-US" w:eastAsia="zh-CN" w:bidi="ar-SA"/>
                <w14:textFill>
                  <w14:solidFill>
                    <w14:schemeClr w14:val="tx1"/>
                  </w14:solidFill>
                </w14:textFill>
              </w:rPr>
              <w:t xml:space="preserve">2.12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lang w:val="en-US" w:eastAsia="zh-CN"/>
                <w14:textFill>
                  <w14:solidFill>
                    <w14:schemeClr w14:val="tx1"/>
                  </w14:solidFill>
                </w14:textFill>
              </w:rPr>
              <w:t>二</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lang w:eastAsia="zh-CN"/>
                <w14:textFill>
                  <w14:solidFill>
                    <w14:schemeClr w14:val="tx1"/>
                  </w14:solidFill>
                </w14:textFill>
              </w:rPr>
              <w:t>表土回覆工程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宋体" w:hAnsi="宋体" w:eastAsia="宋体" w:cs="宋体"/>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w:t>
            </w:r>
            <w:r>
              <w:rPr>
                <w:rFonts w:hint="eastAsia"/>
                <w:color w:val="000000" w:themeColor="text1"/>
                <w:sz w:val="18"/>
                <w:lang w:eastAsia="zh-CN"/>
                <w14:textFill>
                  <w14:solidFill>
                    <w14:schemeClr w14:val="tx1"/>
                  </w14:solidFill>
                </w14:textFill>
              </w:rPr>
              <w:t>一</w:t>
            </w:r>
            <w:r>
              <w:rPr>
                <w:color w:val="000000" w:themeColor="text1"/>
                <w:sz w:val="18"/>
                <w14:textFill>
                  <w14:solidFill>
                    <w14:schemeClr w14:val="tx1"/>
                  </w14:solidFill>
                </w14:textFill>
              </w:rPr>
              <w:t>）</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14:textFill>
                  <w14:solidFill>
                    <w14:schemeClr w14:val="tx1"/>
                  </w14:solidFill>
                </w14:textFill>
              </w:rPr>
              <w:t>表土回覆</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10</w:t>
            </w:r>
            <w:r>
              <w:rPr>
                <w:rFonts w:hint="eastAsia"/>
                <w:color w:val="000000" w:themeColor="text1"/>
                <w:sz w:val="18"/>
                <w:lang w:val="en-US" w:eastAsia="zh-CN"/>
                <w14:textFill>
                  <w14:solidFill>
                    <w14:schemeClr w14:val="tx1"/>
                  </w14:solidFill>
                </w14:textFill>
              </w:rPr>
              <w:t>303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74kw推土机推</w:t>
            </w: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（一、二类土）运距10-20m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39.9</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1.01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三</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土地平整工程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103</w:t>
            </w:r>
            <w:r>
              <w:rPr>
                <w:rFonts w:hint="eastAsia"/>
                <w:color w:val="000000" w:themeColor="text1"/>
                <w:sz w:val="18"/>
                <w:lang w:val="en-US" w:eastAsia="zh-CN"/>
                <w14:textFill>
                  <w14:solidFill>
                    <w14:schemeClr w14:val="tx1"/>
                  </w14:solidFill>
                </w14:textFill>
              </w:rPr>
              <w:t>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18.94</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2"/>
                <w:sz w:val="18"/>
                <w:szCs w:val="24"/>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四</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其他措施</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10043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土地翻耕</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0.7980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2593.03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lang w:eastAsia="zh-CN"/>
                <w14:textFill>
                  <w14:solidFill>
                    <w14:schemeClr w14:val="tx1"/>
                  </w14:solidFill>
                </w14:textFill>
              </w:rPr>
              <w:t>市场价</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土壤培肥</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0.7980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5677.89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7103" w:type="dxa"/>
            <w:gridSpan w:val="3"/>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合 计</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lang w:val="en-US" w:eastAsia="zh-CN"/>
                <w14:textFill>
                  <w14:solidFill>
                    <w14:schemeClr w14:val="tx1"/>
                  </w14:solidFill>
                </w14:textFill>
              </w:rPr>
              <w:t>一</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lang w:eastAsia="zh-CN"/>
                <w14:textFill>
                  <w14:solidFill>
                    <w14:schemeClr w14:val="tx1"/>
                  </w14:solidFill>
                </w14:textFill>
              </w:rPr>
              <w:t>表土回覆工程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宋体" w:hAnsi="宋体" w:eastAsia="宋体" w:cs="宋体"/>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w:t>
            </w:r>
            <w:r>
              <w:rPr>
                <w:rFonts w:hint="eastAsia"/>
                <w:color w:val="000000" w:themeColor="text1"/>
                <w:sz w:val="18"/>
                <w:lang w:eastAsia="zh-CN"/>
                <w14:textFill>
                  <w14:solidFill>
                    <w14:schemeClr w14:val="tx1"/>
                  </w14:solidFill>
                </w14:textFill>
              </w:rPr>
              <w:t>一</w:t>
            </w:r>
            <w:r>
              <w:rPr>
                <w:color w:val="000000" w:themeColor="text1"/>
                <w:sz w:val="18"/>
                <w14:textFill>
                  <w14:solidFill>
                    <w14:schemeClr w14:val="tx1"/>
                  </w14:solidFill>
                </w14:textFill>
              </w:rPr>
              <w:t>）</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仿宋_GB2312" w:hAnsi="仿宋_GB2312" w:eastAsia="仿宋_GB2312" w:cs="仿宋_GB2312"/>
                <w:color w:val="000000" w:themeColor="text1"/>
                <w:kern w:val="0"/>
                <w:sz w:val="18"/>
                <w:szCs w:val="18"/>
                <w:lang w:val="en-US" w:eastAsia="zh-CN" w:bidi="ar-SA"/>
                <w14:textFill>
                  <w14:solidFill>
                    <w14:schemeClr w14:val="tx1"/>
                  </w14:solidFill>
                </w14:textFill>
              </w:rPr>
            </w:pPr>
            <w:r>
              <w:rPr>
                <w:rFonts w:hint="eastAsia" w:ascii="仿宋_GB2312" w:hAnsi="仿宋_GB2312" w:eastAsia="仿宋_GB2312" w:cs="仿宋_GB2312"/>
                <w:color w:val="000000" w:themeColor="text1"/>
                <w:sz w:val="18"/>
                <w14:textFill>
                  <w14:solidFill>
                    <w14:schemeClr w14:val="tx1"/>
                  </w14:solidFill>
                </w14:textFill>
              </w:rPr>
              <w:t>表土回覆</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10</w:t>
            </w:r>
            <w:r>
              <w:rPr>
                <w:rFonts w:hint="eastAsia"/>
                <w:color w:val="000000" w:themeColor="text1"/>
                <w:sz w:val="18"/>
                <w:lang w:val="en-US" w:eastAsia="zh-CN"/>
                <w14:textFill>
                  <w14:solidFill>
                    <w14:schemeClr w14:val="tx1"/>
                  </w14:solidFill>
                </w14:textFill>
              </w:rPr>
              <w:t>303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74kw推土机推</w:t>
            </w: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（一、二类土）运距10-20m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1.9</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lang w:val="en-US" w:eastAsia="zh-CN"/>
                <w14:textFill>
                  <w14:solidFill>
                    <w14:schemeClr w14:val="tx1"/>
                  </w14:solidFill>
                </w14:textFill>
              </w:rPr>
              <w:t>二</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土地平整工程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14:textFill>
                  <w14:solidFill>
                    <w14:schemeClr w14:val="tx1"/>
                  </w14:solidFill>
                </w14:textFill>
              </w:rPr>
              <w:t>103</w:t>
            </w:r>
            <w:r>
              <w:rPr>
                <w:rFonts w:hint="eastAsia"/>
                <w:color w:val="000000" w:themeColor="text1"/>
                <w:sz w:val="18"/>
                <w:lang w:val="en-US" w:eastAsia="zh-CN"/>
                <w14:textFill>
                  <w14:solidFill>
                    <w14:schemeClr w14:val="tx1"/>
                  </w14:solidFill>
                </w14:textFill>
              </w:rPr>
              <w:t>03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74kw推土机（运距10-20m）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w:t>100m</w:t>
            </w:r>
            <w:r>
              <w:rPr>
                <w:rFonts w:hint="default" w:ascii="Times New Roman" w:hAnsi="Times New Roman" w:cs="Times New Roman"/>
                <w:color w:val="000000" w:themeColor="text1"/>
                <w:sz w:val="18"/>
                <w:vertAlign w:val="superscript"/>
                <w14:textFill>
                  <w14:solidFill>
                    <w14:schemeClr w14:val="tx1"/>
                  </w14:solidFill>
                </w14:textFill>
              </w:rPr>
              <w:t>3</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9.3</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254.34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jc w:val="center"/>
              <w:textAlignment w:val="center"/>
              <w:rPr>
                <w:rFonts w:hint="eastAsia" w:ascii="Times New Roman" w:hAnsi="Times New Roman" w:eastAsia="宋体" w:cs="Times New Roman"/>
                <w:color w:val="000000" w:themeColor="text1"/>
                <w:kern w:val="2"/>
                <w:sz w:val="18"/>
                <w:szCs w:val="24"/>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三</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eastAsia"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其他措施</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overflowPunct/>
              <w:topLinePunct w:val="0"/>
              <w:autoSpaceDN w:val="0"/>
              <w:bidi w:val="0"/>
              <w:adjustRightInd w:val="0"/>
              <w:snapToGrid w:val="0"/>
              <w:ind w:right="0" w:rightChars="0" w:firstLine="357" w:firstLineChars="0"/>
              <w:jc w:val="center"/>
              <w:textAlignment w:val="center"/>
              <w:rPr>
                <w:rFonts w:hint="default" w:ascii="Times New Roman" w:hAnsi="Times New Roman" w:eastAsia="宋体" w:cs="Times New Roman"/>
                <w:color w:val="000000" w:themeColor="text1"/>
                <w:kern w:val="2"/>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10043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土地翻耕</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0.0601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2593.03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lang w:val="en-US" w:eastAsia="zh-CN"/>
                <w14:textFill>
                  <w14:solidFill>
                    <w14:schemeClr w14:val="tx1"/>
                  </w14:solidFill>
                </w14:textFill>
              </w:rPr>
              <w:t>2</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lang w:eastAsia="zh-CN"/>
                <w14:textFill>
                  <w14:solidFill>
                    <w14:schemeClr w14:val="tx1"/>
                  </w14:solidFill>
                </w14:textFill>
              </w:rPr>
              <w:t>市场价</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土壤培肥</w:t>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ab/>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t>hm</w:t>
            </w:r>
            <w:r>
              <w:rPr>
                <w:rFonts w:hint="eastAsia" w:ascii="Times New Roman" w:hAnsi="Times New Roman" w:eastAsia="仿宋_GB2312" w:cs="Times New Roman"/>
                <w:color w:val="000000" w:themeColor="text1"/>
                <w:kern w:val="0"/>
                <w:sz w:val="18"/>
                <w:vertAlign w:val="superscript"/>
                <w:lang w:val="en-US" w:eastAsia="zh-CN"/>
                <w14:textFill>
                  <w14:solidFill>
                    <w14:schemeClr w14:val="tx1"/>
                  </w14:solidFill>
                </w14:textFill>
              </w:rPr>
              <w:t>2</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0.0601</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5677.89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3</w:t>
            </w:r>
          </w:p>
        </w:tc>
        <w:tc>
          <w:tcPr>
            <w:tcW w:w="855"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90013</w:t>
            </w:r>
          </w:p>
        </w:tc>
        <w:tc>
          <w:tcPr>
            <w:tcW w:w="52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栽种灌木</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100株</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1.5</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1396.42 </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t xml:space="preserve">0.21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7103" w:type="dxa"/>
            <w:gridSpan w:val="3"/>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18"/>
                <w:szCs w:val="18"/>
                <w14:textFill>
                  <w14:solidFill>
                    <w14:schemeClr w14:val="tx1"/>
                  </w14:solidFill>
                </w14:textFill>
              </w:rPr>
              <w:t>合 计</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Times New Roman" w:hAnsi="Times New Roman" w:eastAsia="仿宋_GB2312" w:cs="Times New Roman"/>
                <w:color w:val="000000" w:themeColor="text1"/>
                <w:kern w:val="0"/>
                <w:sz w:val="18"/>
                <w:lang w:val="en-US" w:eastAsia="zh-CN"/>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18"/>
                <w:szCs w:val="24"/>
                <w:lang w:val="en-US" w:eastAsia="zh-CN" w:bidi="ar-SA"/>
                <w14:textFill>
                  <w14:solidFill>
                    <w14:schemeClr w14:val="tx1"/>
                  </w14:solidFill>
                </w14:textFill>
              </w:rPr>
              <w:t>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jc w:val="center"/>
        </w:trPr>
        <w:tc>
          <w:tcPr>
            <w:tcW w:w="7103" w:type="dxa"/>
            <w:gridSpan w:val="3"/>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eastAsia" w:ascii="宋体" w:hAnsi="宋体" w:eastAsia="宋体" w:cs="宋体"/>
                <w:color w:val="000000" w:themeColor="text1"/>
                <w:kern w:val="0"/>
                <w:sz w:val="18"/>
                <w:szCs w:val="18"/>
                <w:lang w:eastAsia="zh-CN"/>
                <w14:textFill>
                  <w14:solidFill>
                    <w14:schemeClr w14:val="tx1"/>
                  </w14:solidFill>
                </w14:textFill>
              </w:rPr>
            </w:pPr>
            <w:r>
              <w:rPr>
                <w:rFonts w:hint="eastAsia" w:ascii="仿宋_GB2312" w:hAnsi="仿宋_GB2312" w:eastAsia="仿宋_GB2312" w:cs="仿宋_GB2312"/>
                <w:color w:val="000000" w:themeColor="text1"/>
                <w:kern w:val="0"/>
                <w:sz w:val="18"/>
                <w:szCs w:val="18"/>
                <w:lang w:val="en-US" w:eastAsia="zh-CN"/>
                <w14:textFill>
                  <w14:solidFill>
                    <w14:schemeClr w14:val="tx1"/>
                  </w14:solidFill>
                </w14:textFill>
              </w:rPr>
              <w:t>总 计</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napToGrid w:val="0"/>
              <w:ind w:right="0" w:rightChars="0"/>
              <w:jc w:val="center"/>
              <w:rPr>
                <w:rFonts w:hint="default" w:ascii="Times New Roman" w:hAnsi="Times New Roman" w:cs="Times New Roman"/>
                <w:color w:val="000000" w:themeColor="text1"/>
                <w:kern w:val="0"/>
                <w:sz w:val="18"/>
                <w:szCs w:val="18"/>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autoSpaceDN w:val="0"/>
              <w:bidi w:val="0"/>
              <w:adjustRightInd w:val="0"/>
              <w:snapToGrid w:val="0"/>
              <w:jc w:val="center"/>
              <w:textAlignment w:val="center"/>
              <w:rPr>
                <w:rFonts w:hint="default" w:ascii="Times New Roman" w:hAnsi="Times New Roman" w:eastAsia="仿宋_GB2312" w:cs="Times New Roman"/>
                <w:color w:val="000000" w:themeColor="text1"/>
                <w:kern w:val="0"/>
                <w:sz w:val="18"/>
                <w:szCs w:val="24"/>
                <w:lang w:val="en-US" w:eastAsia="zh-CN" w:bidi="ar-SA"/>
                <w14:textFill>
                  <w14:solidFill>
                    <w14:schemeClr w14:val="tx1"/>
                  </w14:solidFill>
                </w14:textFill>
              </w:rPr>
            </w:pPr>
            <w:r>
              <w:rPr>
                <w:rFonts w:hint="eastAsia" w:eastAsia="仿宋_GB2312" w:cs="Times New Roman"/>
                <w:color w:val="000000" w:themeColor="text1"/>
                <w:kern w:val="0"/>
                <w:sz w:val="18"/>
                <w:szCs w:val="24"/>
                <w:lang w:val="en-US" w:eastAsia="zh-CN" w:bidi="ar-SA"/>
                <w14:textFill>
                  <w14:solidFill>
                    <w14:schemeClr w14:val="tx1"/>
                  </w14:solidFill>
                </w14:textFill>
              </w:rPr>
              <w:t>19.14</w:t>
            </w:r>
          </w:p>
        </w:tc>
      </w:tr>
    </w:tbl>
    <w:p>
      <w:pPr>
        <w:pageBreakBefore w:val="0"/>
        <w:kinsoku/>
        <w:wordWrap/>
        <w:topLinePunct w:val="0"/>
        <w:bidi w:val="0"/>
        <w:adjustRightInd w:val="0"/>
        <w:snapToGrid w:val="0"/>
        <w:spacing w:line="360" w:lineRule="auto"/>
        <w:jc w:val="both"/>
        <w:rPr>
          <w:rFonts w:hint="default" w:ascii="Times New Roman" w:hAnsi="Times New Roman" w:eastAsia="黑体" w:cs="Times New Roman"/>
          <w:b w:val="0"/>
          <w:bCs w:val="0"/>
          <w:color w:val="000000" w:themeColor="text1"/>
          <w:szCs w:val="21"/>
          <w14:textFill>
            <w14:solidFill>
              <w14:schemeClr w14:val="tx1"/>
            </w14:solidFill>
          </w14:textFill>
        </w:rPr>
        <w:sectPr>
          <w:pgSz w:w="16838" w:h="11906" w:orient="landscape"/>
          <w:pgMar w:top="1134" w:right="1417" w:bottom="1417" w:left="1134"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p>
    <w:p>
      <w:pPr>
        <w:pageBreakBefore w:val="0"/>
        <w:kinsoku/>
        <w:wordWrap/>
        <w:topLinePunct w:val="0"/>
        <w:bidi w:val="0"/>
        <w:adjustRightInd w:val="0"/>
        <w:snapToGrid w:val="0"/>
        <w:spacing w:line="360" w:lineRule="auto"/>
        <w:jc w:val="center"/>
        <w:rPr>
          <w:rFonts w:hint="default" w:ascii="Times New Roman" w:hAnsi="Times New Roman" w:cs="Times New Roman"/>
          <w:b w:val="0"/>
          <w:bCs w:val="0"/>
          <w:color w:val="000000" w:themeColor="text1"/>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表7-5</w:t>
      </w:r>
      <w:r>
        <w:rPr>
          <w:rFonts w:hint="default" w:ascii="Times New Roman" w:hAnsi="Times New Roman" w:eastAsia="黑体" w:cs="Times New Roman"/>
          <w:b w:val="0"/>
          <w:bCs w:val="0"/>
          <w:color w:val="000000" w:themeColor="text1"/>
          <w:szCs w:val="21"/>
          <w14:textFill>
            <w14:solidFill>
              <w14:schemeClr w14:val="tx1"/>
            </w14:solidFill>
          </w14:textFill>
        </w:rPr>
        <w:t xml:space="preserve"> 其他费用估算表</w:t>
      </w:r>
    </w:p>
    <w:tbl>
      <w:tblPr>
        <w:tblStyle w:val="20"/>
        <w:tblW w:w="96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686"/>
        <w:gridCol w:w="2438"/>
        <w:gridCol w:w="2363"/>
        <w:gridCol w:w="2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序号</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费用名称</w:t>
            </w:r>
          </w:p>
        </w:tc>
        <w:tc>
          <w:tcPr>
            <w:tcW w:w="2438"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基费(万元)</w:t>
            </w:r>
          </w:p>
        </w:tc>
        <w:tc>
          <w:tcPr>
            <w:tcW w:w="2363"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费</w:t>
            </w:r>
            <w:r>
              <w:rPr>
                <w:rFonts w:hint="eastAsia" w:eastAsia="仿宋_GB2312"/>
                <w:color w:val="000000" w:themeColor="text1"/>
                <w:kern w:val="0"/>
                <w:szCs w:val="21"/>
                <w14:textFill>
                  <w14:solidFill>
                    <w14:schemeClr w14:val="tx1"/>
                  </w14:solidFill>
                </w14:textFill>
              </w:rPr>
              <w:t>率</w:t>
            </w:r>
            <w:r>
              <w:rPr>
                <w:rFonts w:eastAsia="仿宋_GB2312"/>
                <w:color w:val="000000" w:themeColor="text1"/>
                <w:kern w:val="0"/>
                <w:szCs w:val="21"/>
                <w14:textFill>
                  <w14:solidFill>
                    <w14:schemeClr w14:val="tx1"/>
                  </w14:solidFill>
                </w14:textFill>
              </w:rPr>
              <w:t>(%)</w:t>
            </w:r>
          </w:p>
        </w:tc>
        <w:tc>
          <w:tcPr>
            <w:tcW w:w="2421"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金 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(1)</w:t>
            </w:r>
          </w:p>
        </w:tc>
        <w:tc>
          <w:tcPr>
            <w:tcW w:w="2438" w:type="dxa"/>
            <w:noWrap w:val="0"/>
            <w:vAlign w:val="center"/>
          </w:tcPr>
          <w:p>
            <w:pPr>
              <w:widowControl/>
              <w:spacing w:before="0" w:beforeAutospacing="0" w:after="0" w:afterAutospacing="0"/>
              <w:ind w:left="0" w:right="0"/>
              <w:jc w:val="center"/>
              <w:rPr>
                <w:rFonts w:hint="eastAsia" w:eastAsia="仿宋_GB2312" w:cs="Times New Roman"/>
                <w:color w:val="000000" w:themeColor="text1"/>
                <w:kern w:val="0"/>
                <w:sz w:val="21"/>
                <w:szCs w:val="21"/>
                <w:lang w:val="en-US" w:eastAsia="zh-CN" w:bidi="ar-SA"/>
                <w14:textFill>
                  <w14:solidFill>
                    <w14:schemeClr w14:val="tx1"/>
                  </w14:solidFill>
                </w14:textFill>
              </w:rPr>
            </w:pPr>
            <w:r>
              <w:rPr>
                <w:rFonts w:hint="eastAsia" w:eastAsia="仿宋_GB2312" w:cs="Times New Roman"/>
                <w:color w:val="000000" w:themeColor="text1"/>
                <w:kern w:val="0"/>
                <w:sz w:val="21"/>
                <w:szCs w:val="21"/>
                <w:lang w:val="en-US" w:eastAsia="zh-CN" w:bidi="ar-SA"/>
                <w14:textFill>
                  <w14:solidFill>
                    <w14:schemeClr w14:val="tx1"/>
                  </w14:solidFill>
                </w14:textFill>
              </w:rPr>
              <w:t>(2)</w:t>
            </w:r>
          </w:p>
        </w:tc>
        <w:tc>
          <w:tcPr>
            <w:tcW w:w="2363" w:type="dxa"/>
            <w:noWrap w:val="0"/>
            <w:vAlign w:val="center"/>
          </w:tcPr>
          <w:p>
            <w:pPr>
              <w:widowControl/>
              <w:spacing w:before="0" w:beforeAutospacing="0" w:after="0" w:afterAutospacing="0"/>
              <w:ind w:left="0" w:right="0"/>
              <w:jc w:val="center"/>
              <w:rPr>
                <w:rFonts w:hint="eastAsia" w:eastAsia="仿宋_GB2312" w:cs="Times New Roman"/>
                <w:color w:val="000000" w:themeColor="text1"/>
                <w:kern w:val="0"/>
                <w:sz w:val="21"/>
                <w:szCs w:val="21"/>
                <w:lang w:val="en-US" w:eastAsia="zh-CN" w:bidi="ar-SA"/>
                <w14:textFill>
                  <w14:solidFill>
                    <w14:schemeClr w14:val="tx1"/>
                  </w14:solidFill>
                </w14:textFill>
              </w:rPr>
            </w:pPr>
            <w:r>
              <w:rPr>
                <w:rFonts w:hint="eastAsia" w:eastAsia="仿宋_GB2312" w:cs="Times New Roman"/>
                <w:color w:val="000000" w:themeColor="text1"/>
                <w:kern w:val="0"/>
                <w:sz w:val="21"/>
                <w:szCs w:val="21"/>
                <w:lang w:val="en-US" w:eastAsia="zh-CN" w:bidi="ar-SA"/>
                <w14:textFill>
                  <w14:solidFill>
                    <w14:schemeClr w14:val="tx1"/>
                  </w14:solidFill>
                </w14:textFill>
              </w:rPr>
              <w:t>(3)</w:t>
            </w:r>
          </w:p>
        </w:tc>
        <w:tc>
          <w:tcPr>
            <w:tcW w:w="2421" w:type="dxa"/>
            <w:noWrap w:val="0"/>
            <w:vAlign w:val="center"/>
          </w:tcPr>
          <w:p>
            <w:pPr>
              <w:widowControl/>
              <w:spacing w:before="0" w:beforeAutospacing="0" w:after="0" w:afterAutospacing="0"/>
              <w:ind w:left="0" w:right="0"/>
              <w:jc w:val="center"/>
              <w:rPr>
                <w:rFonts w:hint="eastAsia" w:eastAsia="仿宋_GB2312" w:cs="Times New Roman"/>
                <w:color w:val="000000" w:themeColor="text1"/>
                <w:kern w:val="0"/>
                <w:sz w:val="21"/>
                <w:szCs w:val="21"/>
                <w:lang w:val="en-US" w:eastAsia="zh-CN" w:bidi="ar-SA"/>
                <w14:textFill>
                  <w14:solidFill>
                    <w14:schemeClr w14:val="tx1"/>
                  </w14:solidFill>
                </w14:textFill>
              </w:rPr>
            </w:pPr>
            <w:r>
              <w:rPr>
                <w:rFonts w:hint="eastAsia" w:eastAsia="仿宋_GB2312" w:cs="Times New Roman"/>
                <w:color w:val="000000" w:themeColor="text1"/>
                <w:kern w:val="0"/>
                <w:sz w:val="21"/>
                <w:szCs w:val="21"/>
                <w:lang w:val="en-US" w:eastAsia="zh-CN" w:bidi="ar-SA"/>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1</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前期工作费</w:t>
            </w:r>
          </w:p>
        </w:tc>
        <w:tc>
          <w:tcPr>
            <w:tcW w:w="2438" w:type="dxa"/>
            <w:noWrap w:val="0"/>
            <w:vAlign w:val="center"/>
          </w:tcPr>
          <w:p>
            <w:pPr>
              <w:pageBreakBefore w:val="0"/>
              <w:widowControl/>
              <w:kinsoku/>
              <w:wordWrap/>
              <w:topLinePunct w:val="0"/>
              <w:bidi w:val="0"/>
              <w:adjustRightInd w:val="0"/>
              <w:snapToGrid w:val="0"/>
              <w:jc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19.14</w:t>
            </w:r>
          </w:p>
        </w:tc>
        <w:tc>
          <w:tcPr>
            <w:tcW w:w="2363"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6%</w:t>
            </w:r>
          </w:p>
        </w:tc>
        <w:tc>
          <w:tcPr>
            <w:tcW w:w="2421"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 xml:space="preserve">1.15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2</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工程监理费</w:t>
            </w:r>
          </w:p>
        </w:tc>
        <w:tc>
          <w:tcPr>
            <w:tcW w:w="2438" w:type="dxa"/>
            <w:noWrap w:val="0"/>
            <w:vAlign w:val="center"/>
          </w:tcPr>
          <w:p>
            <w:pPr>
              <w:pageBreakBefore w:val="0"/>
              <w:widowControl/>
              <w:kinsoku/>
              <w:wordWrap/>
              <w:topLinePunct w:val="0"/>
              <w:bidi w:val="0"/>
              <w:adjustRightInd w:val="0"/>
              <w:snapToGrid w:val="0"/>
              <w:jc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市场价</w:t>
            </w:r>
          </w:p>
        </w:tc>
        <w:tc>
          <w:tcPr>
            <w:tcW w:w="2363"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w:t>
            </w:r>
          </w:p>
        </w:tc>
        <w:tc>
          <w:tcPr>
            <w:tcW w:w="2421"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 xml:space="preserve">0.80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3</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竣工验收费</w:t>
            </w:r>
          </w:p>
        </w:tc>
        <w:tc>
          <w:tcPr>
            <w:tcW w:w="2438"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市场价</w:t>
            </w:r>
          </w:p>
        </w:tc>
        <w:tc>
          <w:tcPr>
            <w:tcW w:w="2363"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w:t>
            </w:r>
          </w:p>
        </w:tc>
        <w:tc>
          <w:tcPr>
            <w:tcW w:w="2421"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 xml:space="preserve">1.20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30"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4</w:t>
            </w:r>
          </w:p>
        </w:tc>
        <w:tc>
          <w:tcPr>
            <w:tcW w:w="1686" w:type="dxa"/>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业主管理费</w:t>
            </w:r>
          </w:p>
        </w:tc>
        <w:tc>
          <w:tcPr>
            <w:tcW w:w="2438" w:type="dxa"/>
            <w:noWrap w:val="0"/>
            <w:vAlign w:val="center"/>
          </w:tcPr>
          <w:p>
            <w:pPr>
              <w:pageBreakBefore w:val="0"/>
              <w:widowControl/>
              <w:kinsoku/>
              <w:wordWrap/>
              <w:topLinePunct w:val="0"/>
              <w:bidi w:val="0"/>
              <w:adjustRightInd w:val="0"/>
              <w:snapToGrid w:val="0"/>
              <w:jc w:val="center"/>
              <w:rPr>
                <w:rFonts w:hint="default"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22.29</w:t>
            </w:r>
          </w:p>
        </w:tc>
        <w:tc>
          <w:tcPr>
            <w:tcW w:w="2363"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2%</w:t>
            </w:r>
          </w:p>
        </w:tc>
        <w:tc>
          <w:tcPr>
            <w:tcW w:w="2421"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 xml:space="preserve">0.45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2416" w:type="dxa"/>
            <w:gridSpan w:val="2"/>
            <w:noWrap w:val="0"/>
            <w:vAlign w:val="center"/>
          </w:tcPr>
          <w:p>
            <w:pPr>
              <w:pageBreakBefore w:val="0"/>
              <w:kinsoku/>
              <w:wordWrap/>
              <w:topLinePunct w:val="0"/>
              <w:bidi w:val="0"/>
              <w:adjustRightInd w:val="0"/>
              <w:snapToGrid w:val="0"/>
              <w:jc w:val="center"/>
              <w:rPr>
                <w:rFonts w:hint="eastAsia" w:ascii="Times New Roman" w:hAnsi="Times New Roman" w:eastAsia="仿宋_GB2312"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vertAlign w:val="baseline"/>
                <w:lang w:val="en-US" w:eastAsia="zh-CN"/>
                <w14:textFill>
                  <w14:solidFill>
                    <w14:schemeClr w14:val="tx1"/>
                  </w14:solidFill>
                </w14:textFill>
              </w:rPr>
              <w:t>总计</w:t>
            </w:r>
          </w:p>
        </w:tc>
        <w:tc>
          <w:tcPr>
            <w:tcW w:w="4801" w:type="dxa"/>
            <w:gridSpan w:val="2"/>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p>
        </w:tc>
        <w:tc>
          <w:tcPr>
            <w:tcW w:w="2421" w:type="dxa"/>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default" w:eastAsia="仿宋_GB2312"/>
                <w:color w:val="000000" w:themeColor="text1"/>
                <w:kern w:val="0"/>
                <w:szCs w:val="21"/>
                <w:lang w:val="en-US" w:eastAsia="zh-CN"/>
                <w14:textFill>
                  <w14:solidFill>
                    <w14:schemeClr w14:val="tx1"/>
                  </w14:solidFill>
                </w14:textFill>
              </w:rPr>
              <w:t xml:space="preserve">3.59 </w:t>
            </w:r>
          </w:p>
        </w:tc>
      </w:tr>
    </w:tbl>
    <w:p>
      <w:pPr>
        <w:pageBreakBefore w:val="0"/>
        <w:kinsoku/>
        <w:wordWrap/>
        <w:topLinePunct w:val="0"/>
        <w:bidi w:val="0"/>
        <w:adjustRightInd w:val="0"/>
        <w:snapToGrid w:val="0"/>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填表说明：</w:t>
      </w:r>
      <w:r>
        <w:rPr>
          <w:rFonts w:eastAsia="仿宋_GB2312"/>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表中：</w:t>
      </w:r>
      <w:r>
        <w:rPr>
          <w:rFonts w:hint="eastAsia" w:eastAsia="仿宋_GB2312"/>
          <w:color w:val="000000" w:themeColor="text1"/>
          <w:sz w:val="18"/>
          <w:szCs w:val="18"/>
          <w14:textFill>
            <w14:solidFill>
              <w14:schemeClr w14:val="tx1"/>
            </w14:solidFill>
          </w14:textFill>
        </w:rPr>
        <w:t>业主管理费</w:t>
      </w:r>
      <w:r>
        <w:rPr>
          <w:color w:val="000000" w:themeColor="text1"/>
          <w:sz w:val="18"/>
          <w:szCs w:val="18"/>
          <w14:textFill>
            <w14:solidFill>
              <w14:schemeClr w14:val="tx1"/>
            </w14:solidFill>
          </w14:textFill>
        </w:rPr>
        <w:t>＝</w:t>
      </w:r>
      <w:r>
        <w:rPr>
          <w:rFonts w:eastAsia="仿宋_GB2312"/>
          <w:color w:val="000000" w:themeColor="text1"/>
          <w:sz w:val="18"/>
          <w:szCs w:val="18"/>
          <w14:textFill>
            <w14:solidFill>
              <w14:schemeClr w14:val="tx1"/>
            </w14:solidFill>
          </w14:textFill>
        </w:rPr>
        <w:t>（</w:t>
      </w:r>
      <w:r>
        <w:rPr>
          <w:rFonts w:hint="eastAsia" w:eastAsia="仿宋_GB2312"/>
          <w:color w:val="000000" w:themeColor="text1"/>
          <w:sz w:val="18"/>
          <w:szCs w:val="18"/>
          <w14:textFill>
            <w14:solidFill>
              <w14:schemeClr w14:val="tx1"/>
            </w14:solidFill>
          </w14:textFill>
        </w:rPr>
        <w:t>工程施工费+前期工作费+工程监理费+竣工验收费</w:t>
      </w:r>
      <w:r>
        <w:rPr>
          <w:rFonts w:eastAsia="仿宋_GB2312"/>
          <w:color w:val="000000" w:themeColor="text1"/>
          <w:sz w:val="18"/>
          <w:szCs w:val="18"/>
          <w14:textFill>
            <w14:solidFill>
              <w14:schemeClr w14:val="tx1"/>
            </w14:solidFill>
          </w14:textFill>
        </w:rPr>
        <w:t>）</w:t>
      </w:r>
      <w:r>
        <w:rPr>
          <w:rFonts w:ascii="Arial" w:hAnsi="Arial" w:cs="Arial"/>
          <w:color w:val="000000" w:themeColor="text1"/>
          <w:sz w:val="18"/>
          <w:szCs w:val="18"/>
          <w14:textFill>
            <w14:solidFill>
              <w14:schemeClr w14:val="tx1"/>
            </w14:solidFill>
          </w14:textFill>
        </w:rPr>
        <w:t>×</w:t>
      </w:r>
      <w:r>
        <w:rPr>
          <w:rFonts w:hint="eastAsia" w:eastAsia="仿宋_GB2312"/>
          <w:color w:val="000000" w:themeColor="text1"/>
          <w:kern w:val="0"/>
          <w:sz w:val="18"/>
          <w:szCs w:val="18"/>
          <w14:textFill>
            <w14:solidFill>
              <w14:schemeClr w14:val="tx1"/>
            </w14:solidFill>
          </w14:textFill>
        </w:rPr>
        <w:t>2</w:t>
      </w:r>
      <w:r>
        <w:rPr>
          <w:rFonts w:eastAsia="仿宋_GB2312"/>
          <w:color w:val="000000" w:themeColor="text1"/>
          <w:kern w:val="0"/>
          <w:sz w:val="18"/>
          <w:szCs w:val="18"/>
          <w14:textFill>
            <w14:solidFill>
              <w14:schemeClr w14:val="tx1"/>
            </w14:solidFill>
          </w14:textFill>
        </w:rPr>
        <w:t>%</w:t>
      </w:r>
      <w:r>
        <w:rPr>
          <w:color w:val="000000" w:themeColor="text1"/>
          <w:sz w:val="18"/>
          <w:szCs w:val="18"/>
          <w14:textFill>
            <w14:solidFill>
              <w14:schemeClr w14:val="tx1"/>
            </w14:solidFill>
          </w14:textFill>
        </w:rPr>
        <w:t>。</w:t>
      </w:r>
    </w:p>
    <w:p>
      <w:pPr>
        <w:pageBreakBefore w:val="0"/>
        <w:kinsoku/>
        <w:wordWrap/>
        <w:topLinePunct w:val="0"/>
        <w:bidi w:val="0"/>
        <w:adjustRightInd w:val="0"/>
        <w:snapToGrid w:val="0"/>
        <w:spacing w:before="156" w:beforeLines="50" w:line="360" w:lineRule="auto"/>
        <w:jc w:val="center"/>
        <w:rPr>
          <w:rFonts w:hint="default" w:ascii="Times New Roman" w:hAnsi="Times New Roman" w:cs="Times New Roman"/>
          <w:b w:val="0"/>
          <w:bCs w:val="0"/>
          <w:color w:val="000000" w:themeColor="text1"/>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表7-6</w:t>
      </w:r>
      <w:r>
        <w:rPr>
          <w:rFonts w:hint="default" w:ascii="Times New Roman" w:hAnsi="Times New Roman" w:eastAsia="黑体" w:cs="Times New Roman"/>
          <w:b w:val="0"/>
          <w:bCs w:val="0"/>
          <w:color w:val="000000" w:themeColor="text1"/>
          <w:szCs w:val="21"/>
          <w14:textFill>
            <w14:solidFill>
              <w14:schemeClr w14:val="tx1"/>
            </w14:solidFill>
          </w14:textFill>
        </w:rPr>
        <w:t xml:space="preserve"> 土地复垦基本预备费估算表</w:t>
      </w:r>
    </w:p>
    <w:tbl>
      <w:tblPr>
        <w:tblStyle w:val="20"/>
        <w:tblW w:w="9638" w:type="dxa"/>
        <w:jc w:val="center"/>
        <w:tblInd w:w="0" w:type="dxa"/>
        <w:tblLayout w:type="fixed"/>
        <w:tblCellMar>
          <w:top w:w="0" w:type="dxa"/>
          <w:left w:w="108" w:type="dxa"/>
          <w:bottom w:w="0" w:type="dxa"/>
          <w:right w:w="108" w:type="dxa"/>
        </w:tblCellMar>
      </w:tblPr>
      <w:tblGrid>
        <w:gridCol w:w="824"/>
        <w:gridCol w:w="1419"/>
        <w:gridCol w:w="1430"/>
        <w:gridCol w:w="1225"/>
        <w:gridCol w:w="1224"/>
        <w:gridCol w:w="1225"/>
        <w:gridCol w:w="1224"/>
        <w:gridCol w:w="1067"/>
      </w:tblGrid>
      <w:tr>
        <w:tblPrEx>
          <w:tblLayout w:type="fixed"/>
          <w:tblCellMar>
            <w:top w:w="0" w:type="dxa"/>
            <w:left w:w="108" w:type="dxa"/>
            <w:bottom w:w="0" w:type="dxa"/>
            <w:right w:w="108" w:type="dxa"/>
          </w:tblCellMar>
        </w:tblPrEx>
        <w:trPr>
          <w:trHeight w:val="312" w:hRule="atLeast"/>
          <w:jc w:val="center"/>
        </w:trPr>
        <w:tc>
          <w:tcPr>
            <w:tcW w:w="824" w:type="dxa"/>
            <w:vMerge w:val="restart"/>
            <w:tcBorders>
              <w:top w:val="single" w:color="auto" w:sz="12" w:space="0"/>
              <w:left w:val="single" w:color="auto" w:sz="12"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序号</w:t>
            </w:r>
          </w:p>
        </w:tc>
        <w:tc>
          <w:tcPr>
            <w:tcW w:w="1419"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费用名称</w:t>
            </w:r>
          </w:p>
        </w:tc>
        <w:tc>
          <w:tcPr>
            <w:tcW w:w="1430"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工程施工费</w:t>
            </w:r>
          </w:p>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(万元)</w:t>
            </w:r>
          </w:p>
        </w:tc>
        <w:tc>
          <w:tcPr>
            <w:tcW w:w="1225"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设备费</w:t>
            </w:r>
          </w:p>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(万元)</w:t>
            </w:r>
          </w:p>
        </w:tc>
        <w:tc>
          <w:tcPr>
            <w:tcW w:w="1224"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其他费用</w:t>
            </w:r>
          </w:p>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(万元)</w:t>
            </w:r>
          </w:p>
        </w:tc>
        <w:tc>
          <w:tcPr>
            <w:tcW w:w="1225"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小计</w:t>
            </w:r>
          </w:p>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(万元)</w:t>
            </w:r>
          </w:p>
        </w:tc>
        <w:tc>
          <w:tcPr>
            <w:tcW w:w="1224" w:type="dxa"/>
            <w:vMerge w:val="restart"/>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费率</w:t>
            </w:r>
            <w:r>
              <w:rPr>
                <w:rFonts w:eastAsia="仿宋_GB2312"/>
                <w:color w:val="000000" w:themeColor="text1"/>
                <w:kern w:val="0"/>
                <w:szCs w:val="21"/>
                <w14:textFill>
                  <w14:solidFill>
                    <w14:schemeClr w14:val="tx1"/>
                  </w14:solidFill>
                </w14:textFill>
              </w:rPr>
              <w:t>(%)</w:t>
            </w:r>
          </w:p>
        </w:tc>
        <w:tc>
          <w:tcPr>
            <w:tcW w:w="1067" w:type="dxa"/>
            <w:vMerge w:val="restart"/>
            <w:tcBorders>
              <w:top w:val="single" w:color="auto" w:sz="12" w:space="0"/>
              <w:left w:val="single" w:color="auto" w:sz="8" w:space="0"/>
              <w:bottom w:val="single" w:color="000000" w:sz="8" w:space="0"/>
              <w:right w:val="single" w:color="auto" w:sz="12" w:space="0"/>
            </w:tcBorders>
            <w:noWrap w:val="0"/>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合计</w:t>
            </w:r>
          </w:p>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(万元)</w:t>
            </w:r>
          </w:p>
        </w:tc>
      </w:tr>
      <w:tr>
        <w:tblPrEx>
          <w:tblLayout w:type="fixed"/>
          <w:tblCellMar>
            <w:top w:w="0" w:type="dxa"/>
            <w:left w:w="108" w:type="dxa"/>
            <w:bottom w:w="0" w:type="dxa"/>
            <w:right w:w="108" w:type="dxa"/>
          </w:tblCellMar>
        </w:tblPrEx>
        <w:trPr>
          <w:trHeight w:val="312" w:hRule="atLeast"/>
          <w:jc w:val="center"/>
        </w:trPr>
        <w:tc>
          <w:tcPr>
            <w:tcW w:w="824" w:type="dxa"/>
            <w:vMerge w:val="continue"/>
            <w:tcBorders>
              <w:top w:val="single" w:color="auto" w:sz="12" w:space="0"/>
              <w:left w:val="single" w:color="auto" w:sz="12"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419"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430"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225"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224"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225"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224" w:type="dxa"/>
            <w:vMerge w:val="continue"/>
            <w:tcBorders>
              <w:top w:val="single" w:color="auto" w:sz="12" w:space="0"/>
              <w:left w:val="single" w:color="auto" w:sz="8" w:space="0"/>
              <w:bottom w:val="single" w:color="000000" w:sz="8" w:space="0"/>
              <w:right w:val="single" w:color="auto" w:sz="8"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c>
          <w:tcPr>
            <w:tcW w:w="1067" w:type="dxa"/>
            <w:vMerge w:val="continue"/>
            <w:tcBorders>
              <w:top w:val="single" w:color="auto" w:sz="12" w:space="0"/>
              <w:left w:val="single" w:color="auto" w:sz="8" w:space="0"/>
              <w:bottom w:val="single" w:color="000000" w:sz="8" w:space="0"/>
              <w:right w:val="single" w:color="auto" w:sz="12" w:space="0"/>
            </w:tcBorders>
            <w:noWrap w:val="0"/>
            <w:vAlign w:val="center"/>
          </w:tcPr>
          <w:p>
            <w:pPr>
              <w:pageBreakBefore w:val="0"/>
              <w:widowControl/>
              <w:kinsoku/>
              <w:wordWrap/>
              <w:topLinePunct w:val="0"/>
              <w:bidi w:val="0"/>
              <w:adjustRightInd w:val="0"/>
              <w:snapToGrid w:val="0"/>
              <w:jc w:val="left"/>
              <w:rPr>
                <w:rFonts w:ascii="仿宋_GB2312" w:hAnsi="宋体" w:eastAsia="仿宋_GB2312" w:cs="宋体"/>
                <w:color w:val="000000" w:themeColor="text1"/>
                <w:kern w:val="0"/>
                <w:szCs w:val="21"/>
                <w14:textFill>
                  <w14:solidFill>
                    <w14:schemeClr w14:val="tx1"/>
                  </w14:solidFill>
                </w14:textFill>
              </w:rPr>
            </w:pPr>
          </w:p>
        </w:tc>
      </w:tr>
      <w:tr>
        <w:tblPrEx>
          <w:tblLayout w:type="fixed"/>
          <w:tblCellMar>
            <w:top w:w="0" w:type="dxa"/>
            <w:left w:w="108" w:type="dxa"/>
            <w:bottom w:w="0" w:type="dxa"/>
            <w:right w:w="108" w:type="dxa"/>
          </w:tblCellMar>
        </w:tblPrEx>
        <w:trPr>
          <w:trHeight w:val="300" w:hRule="atLeast"/>
          <w:jc w:val="center"/>
        </w:trPr>
        <w:tc>
          <w:tcPr>
            <w:tcW w:w="824" w:type="dxa"/>
            <w:tcBorders>
              <w:top w:val="nil"/>
              <w:left w:val="single" w:color="auto" w:sz="12" w:space="0"/>
              <w:bottom w:val="single" w:color="auto" w:sz="8" w:space="0"/>
              <w:right w:val="single" w:color="auto" w:sz="8" w:space="0"/>
            </w:tcBorders>
            <w:noWrap w:val="0"/>
            <w:vAlign w:val="center"/>
          </w:tcPr>
          <w:p>
            <w:pPr>
              <w:pageBreakBefore w:val="0"/>
              <w:widowControl/>
              <w:kinsoku/>
              <w:wordWrap/>
              <w:topLinePunct w:val="0"/>
              <w:bidi w:val="0"/>
              <w:adjustRightInd w:val="0"/>
              <w:snapToGrid w:val="0"/>
              <w:jc w:val="center"/>
              <w:rPr>
                <w:rFonts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419" w:type="dxa"/>
            <w:tcBorders>
              <w:top w:val="nil"/>
              <w:left w:val="nil"/>
              <w:bottom w:val="single" w:color="auto" w:sz="8" w:space="0"/>
              <w:right w:val="single" w:color="auto" w:sz="8" w:space="0"/>
            </w:tcBorders>
            <w:noWrap w:val="0"/>
            <w:vAlign w:val="center"/>
          </w:tcPr>
          <w:p>
            <w:pPr>
              <w:pageBreakBefore w:val="0"/>
              <w:widowControl/>
              <w:kinsoku/>
              <w:wordWrap/>
              <w:topLinePunct w:val="0"/>
              <w:bidi w:val="0"/>
              <w:adjustRightInd w:val="0"/>
              <w:snapToGrid w:val="0"/>
              <w:jc w:val="center"/>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(1)</w:t>
            </w:r>
          </w:p>
        </w:tc>
        <w:tc>
          <w:tcPr>
            <w:tcW w:w="1430" w:type="dxa"/>
            <w:tcBorders>
              <w:top w:val="nil"/>
              <w:left w:val="nil"/>
              <w:bottom w:val="single" w:color="auto" w:sz="8" w:space="0"/>
              <w:right w:val="single" w:color="auto" w:sz="8"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(2)</w:t>
            </w:r>
          </w:p>
        </w:tc>
        <w:tc>
          <w:tcPr>
            <w:tcW w:w="1225" w:type="dxa"/>
            <w:tcBorders>
              <w:top w:val="nil"/>
              <w:left w:val="nil"/>
              <w:bottom w:val="single" w:color="auto" w:sz="8" w:space="0"/>
              <w:right w:val="single" w:color="auto" w:sz="8"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(3)</w:t>
            </w:r>
          </w:p>
        </w:tc>
        <w:tc>
          <w:tcPr>
            <w:tcW w:w="1224" w:type="dxa"/>
            <w:tcBorders>
              <w:top w:val="nil"/>
              <w:left w:val="nil"/>
              <w:bottom w:val="single" w:color="auto" w:sz="8" w:space="0"/>
              <w:right w:val="single" w:color="auto" w:sz="8"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(4)</w:t>
            </w:r>
          </w:p>
        </w:tc>
        <w:tc>
          <w:tcPr>
            <w:tcW w:w="1225" w:type="dxa"/>
            <w:tcBorders>
              <w:top w:val="nil"/>
              <w:left w:val="nil"/>
              <w:bottom w:val="single" w:color="auto" w:sz="8" w:space="0"/>
              <w:right w:val="single" w:color="auto" w:sz="8"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(5)</w:t>
            </w:r>
          </w:p>
        </w:tc>
        <w:tc>
          <w:tcPr>
            <w:tcW w:w="1224" w:type="dxa"/>
            <w:tcBorders>
              <w:top w:val="nil"/>
              <w:left w:val="nil"/>
              <w:bottom w:val="single" w:color="auto" w:sz="8" w:space="0"/>
              <w:right w:val="single" w:color="auto" w:sz="8"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(6)</w:t>
            </w:r>
          </w:p>
        </w:tc>
        <w:tc>
          <w:tcPr>
            <w:tcW w:w="1067" w:type="dxa"/>
            <w:tcBorders>
              <w:top w:val="nil"/>
              <w:left w:val="nil"/>
              <w:bottom w:val="single" w:color="auto" w:sz="8" w:space="0"/>
              <w:right w:val="single" w:color="auto" w:sz="12" w:space="0"/>
            </w:tcBorders>
            <w:noWrap w:val="0"/>
            <w:vAlign w:val="center"/>
          </w:tcPr>
          <w:p>
            <w:pPr>
              <w:widowControl/>
              <w:spacing w:before="0" w:beforeAutospacing="0" w:after="0" w:afterAutospacing="0"/>
              <w:ind w:left="0" w:right="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(7)</w:t>
            </w:r>
          </w:p>
        </w:tc>
      </w:tr>
      <w:tr>
        <w:tblPrEx>
          <w:tblLayout w:type="fixed"/>
          <w:tblCellMar>
            <w:top w:w="0" w:type="dxa"/>
            <w:left w:w="108" w:type="dxa"/>
            <w:bottom w:w="0" w:type="dxa"/>
            <w:right w:w="108" w:type="dxa"/>
          </w:tblCellMar>
        </w:tblPrEx>
        <w:trPr>
          <w:trHeight w:val="300" w:hRule="atLeast"/>
          <w:jc w:val="center"/>
        </w:trPr>
        <w:tc>
          <w:tcPr>
            <w:tcW w:w="824" w:type="dxa"/>
            <w:tcBorders>
              <w:top w:val="nil"/>
              <w:left w:val="single" w:color="auto" w:sz="12" w:space="0"/>
              <w:bottom w:val="single" w:color="auto" w:sz="12" w:space="0"/>
              <w:right w:val="single" w:color="auto" w:sz="8" w:space="0"/>
            </w:tcBorders>
            <w:noWrap w:val="0"/>
            <w:vAlign w:val="center"/>
          </w:tcPr>
          <w:p>
            <w:pPr>
              <w:pageBreakBefore w:val="0"/>
              <w:widowControl/>
              <w:kinsoku/>
              <w:wordWrap/>
              <w:topLinePunct w:val="0"/>
              <w:bidi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419" w:type="dxa"/>
            <w:tcBorders>
              <w:top w:val="nil"/>
              <w:left w:val="nil"/>
              <w:bottom w:val="single" w:color="auto" w:sz="12" w:space="0"/>
              <w:right w:val="single" w:color="auto" w:sz="8" w:space="0"/>
            </w:tcBorders>
            <w:noWrap w:val="0"/>
            <w:vAlign w:val="center"/>
          </w:tcPr>
          <w:p>
            <w:pPr>
              <w:pageBreakBefore w:val="0"/>
              <w:widowControl/>
              <w:kinsoku/>
              <w:wordWrap/>
              <w:topLinePunct w:val="0"/>
              <w:bidi w:val="0"/>
              <w:adjustRightInd w:val="0"/>
              <w:snapToGrid w:val="0"/>
              <w:jc w:val="center"/>
              <w:rPr>
                <w:rFonts w:hint="eastAsia" w:eastAsia="仿宋_GB2312"/>
                <w:color w:val="000000" w:themeColor="text1"/>
                <w:kern w:val="0"/>
                <w:szCs w:val="21"/>
                <w:lang w:val="en-US" w:eastAsia="zh-CN"/>
                <w14:textFill>
                  <w14:solidFill>
                    <w14:schemeClr w14:val="tx1"/>
                  </w14:solidFill>
                </w14:textFill>
              </w:rPr>
            </w:pPr>
            <w:r>
              <w:rPr>
                <w:rFonts w:hint="eastAsia" w:eastAsia="仿宋_GB2312"/>
                <w:color w:val="000000" w:themeColor="text1"/>
                <w:kern w:val="0"/>
                <w:szCs w:val="21"/>
                <w:lang w:val="en-US" w:eastAsia="zh-CN"/>
                <w14:textFill>
                  <w14:solidFill>
                    <w14:schemeClr w14:val="tx1"/>
                  </w14:solidFill>
                </w14:textFill>
              </w:rPr>
              <w:t>基本预备费</w:t>
            </w:r>
          </w:p>
        </w:tc>
        <w:tc>
          <w:tcPr>
            <w:tcW w:w="1430" w:type="dxa"/>
            <w:tcBorders>
              <w:top w:val="nil"/>
              <w:left w:val="nil"/>
              <w:bottom w:val="single" w:color="auto" w:sz="12" w:space="0"/>
              <w:right w:val="single" w:color="auto" w:sz="8"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19.14 </w:t>
            </w:r>
          </w:p>
        </w:tc>
        <w:tc>
          <w:tcPr>
            <w:tcW w:w="1225" w:type="dxa"/>
            <w:tcBorders>
              <w:top w:val="nil"/>
              <w:left w:val="nil"/>
              <w:bottom w:val="single" w:color="auto" w:sz="12" w:space="0"/>
              <w:right w:val="single" w:color="auto" w:sz="8"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0.00 </w:t>
            </w:r>
          </w:p>
        </w:tc>
        <w:tc>
          <w:tcPr>
            <w:tcW w:w="1224" w:type="dxa"/>
            <w:tcBorders>
              <w:top w:val="nil"/>
              <w:left w:val="nil"/>
              <w:bottom w:val="single" w:color="auto" w:sz="12" w:space="0"/>
              <w:right w:val="single" w:color="auto" w:sz="8"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3.59 </w:t>
            </w:r>
          </w:p>
        </w:tc>
        <w:tc>
          <w:tcPr>
            <w:tcW w:w="1225" w:type="dxa"/>
            <w:tcBorders>
              <w:top w:val="nil"/>
              <w:left w:val="nil"/>
              <w:bottom w:val="single" w:color="auto" w:sz="12" w:space="0"/>
              <w:right w:val="single" w:color="auto" w:sz="8"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22.73 </w:t>
            </w:r>
          </w:p>
        </w:tc>
        <w:tc>
          <w:tcPr>
            <w:tcW w:w="1224" w:type="dxa"/>
            <w:tcBorders>
              <w:top w:val="nil"/>
              <w:left w:val="nil"/>
              <w:bottom w:val="single" w:color="auto" w:sz="12" w:space="0"/>
              <w:right w:val="single" w:color="auto" w:sz="8"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0.03 </w:t>
            </w:r>
          </w:p>
        </w:tc>
        <w:tc>
          <w:tcPr>
            <w:tcW w:w="1067" w:type="dxa"/>
            <w:tcBorders>
              <w:top w:val="nil"/>
              <w:left w:val="nil"/>
              <w:bottom w:val="single" w:color="auto" w:sz="12" w:space="0"/>
              <w:right w:val="single" w:color="auto" w:sz="12" w:space="0"/>
            </w:tcBorders>
            <w:noWrap w:val="0"/>
            <w:vAlign w:val="center"/>
          </w:tcPr>
          <w:p>
            <w:pPr>
              <w:keepNext w:val="0"/>
              <w:keepLines w:val="0"/>
              <w:widowControl/>
              <w:suppressLineNumbers w:val="0"/>
              <w:jc w:val="center"/>
              <w:textAlignment w:val="center"/>
              <w:rPr>
                <w:rFonts w:hint="eastAsia" w:eastAsia="仿宋_GB2312"/>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 xml:space="preserve">0.68 </w:t>
            </w:r>
          </w:p>
        </w:tc>
      </w:tr>
    </w:tbl>
    <w:p>
      <w:pPr>
        <w:pageBreakBefore w:val="0"/>
        <w:kinsoku/>
        <w:wordWrap/>
        <w:topLinePunct w:val="0"/>
        <w:bidi w:val="0"/>
        <w:adjustRightInd w:val="0"/>
        <w:snapToGrid w:val="0"/>
        <w:ind w:firstLine="36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填表说明：1.表中的（5）＝（2）+（3）+（4）。</w:t>
      </w:r>
    </w:p>
    <w:p>
      <w:pPr>
        <w:pageBreakBefore w:val="0"/>
        <w:kinsoku/>
        <w:wordWrap/>
        <w:topLinePunct w:val="0"/>
        <w:bidi w:val="0"/>
        <w:adjustRightInd w:val="0"/>
        <w:snapToGrid w:val="0"/>
        <w:ind w:firstLine="36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          2.表中的（7）＝（5）×（6）。</w:t>
      </w:r>
    </w:p>
    <w:p>
      <w:pPr>
        <w:spacing w:before="156" w:beforeLines="50" w:line="360" w:lineRule="auto"/>
        <w:jc w:val="center"/>
        <w:rPr>
          <w:rFonts w:hint="default" w:ascii="Times New Roman" w:hAnsi="Times New Roman" w:eastAsia="黑体" w:cs="Times New Roman"/>
          <w:b w:val="0"/>
          <w:bCs w:val="0"/>
          <w:color w:val="000000" w:themeColor="text1"/>
          <w:szCs w:val="21"/>
          <w:lang w:val="en-US"/>
          <w14:textFill>
            <w14:solidFill>
              <w14:schemeClr w14:val="tx1"/>
            </w14:solidFill>
          </w14:textFill>
        </w:rPr>
      </w:pPr>
      <w:r>
        <w:rPr>
          <w:rFonts w:hint="eastAsia" w:eastAsia="黑体" w:cs="Times New Roman"/>
          <w:b w:val="0"/>
          <w:bCs w:val="0"/>
          <w:color w:val="000000" w:themeColor="text1"/>
          <w:szCs w:val="21"/>
          <w:lang w:val="en-US" w:eastAsia="zh-CN"/>
          <w14:textFill>
            <w14:solidFill>
              <w14:schemeClr w14:val="tx1"/>
            </w14:solidFill>
          </w14:textFill>
        </w:rPr>
        <w:t>表7-7</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 xml:space="preserve"> 复垦监测费估算表</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3"/>
        <w:gridCol w:w="2052"/>
        <w:gridCol w:w="1148"/>
        <w:gridCol w:w="1552"/>
        <w:gridCol w:w="1552"/>
        <w:gridCol w:w="1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89" w:hRule="atLeast"/>
          <w:jc w:val="center"/>
        </w:trPr>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序号</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工程项目</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单位</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数量</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单价（元）</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小计(万元)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1" w:hRule="atLeast"/>
          <w:jc w:val="center"/>
        </w:trPr>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1</w:t>
            </w:r>
          </w:p>
        </w:tc>
        <w:tc>
          <w:tcPr>
            <w:tcW w:w="2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土地损毁监测</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点次</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36</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1" w:hRule="atLeast"/>
          <w:jc w:val="center"/>
        </w:trPr>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2</w:t>
            </w:r>
          </w:p>
        </w:tc>
        <w:tc>
          <w:tcPr>
            <w:tcW w:w="2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植被监测</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点次</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t>600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t xml:space="preserve">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jc w:val="center"/>
        </w:trPr>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3</w:t>
            </w:r>
          </w:p>
        </w:tc>
        <w:tc>
          <w:tcPr>
            <w:tcW w:w="2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土壤质量监测</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点次</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6</w:t>
            </w:r>
          </w:p>
        </w:tc>
        <w:tc>
          <w:tcPr>
            <w:tcW w:w="1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500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 xml:space="preserve">0.30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58" w:hRule="atLeast"/>
          <w:jc w:val="center"/>
        </w:trPr>
        <w:tc>
          <w:tcPr>
            <w:tcW w:w="751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eastAsia" w:ascii="仿宋_GB2312" w:hAnsi="宋体" w:eastAsia="仿宋_GB2312" w:cs="宋体"/>
                <w:color w:val="000000" w:themeColor="text1"/>
                <w:kern w:val="0"/>
                <w:szCs w:val="21"/>
                <w:lang w:val="en-US" w:eastAsia="zh-CN"/>
                <w14:textFill>
                  <w14:solidFill>
                    <w14:schemeClr w14:val="tx1"/>
                  </w14:solidFill>
                </w14:textFill>
              </w:rPr>
            </w:pPr>
            <w:r>
              <w:rPr>
                <w:rFonts w:hint="eastAsia" w:ascii="仿宋_GB2312" w:hAnsi="宋体" w:eastAsia="仿宋_GB2312" w:cs="宋体"/>
                <w:color w:val="000000" w:themeColor="text1"/>
                <w:kern w:val="0"/>
                <w:szCs w:val="21"/>
                <w:lang w:val="en-US" w:eastAsia="zh-CN"/>
                <w14:textFill>
                  <w14:solidFill>
                    <w14:schemeClr w14:val="tx1"/>
                  </w14:solidFill>
                </w14:textFill>
              </w:rPr>
              <w:t>合计</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2.70</w:t>
            </w:r>
          </w:p>
        </w:tc>
      </w:tr>
    </w:tbl>
    <w:p>
      <w:pPr>
        <w:pageBreakBefore w:val="0"/>
        <w:kinsoku/>
        <w:wordWrap/>
        <w:topLinePunct w:val="0"/>
        <w:bidi w:val="0"/>
        <w:adjustRightInd w:val="0"/>
        <w:snapToGrid w:val="0"/>
        <w:spacing w:before="156" w:beforeLines="50" w:line="360" w:lineRule="auto"/>
        <w:jc w:val="center"/>
        <w:rPr>
          <w:rFonts w:hint="eastAsia" w:ascii="Times New Roman" w:hAnsi="Times New Roman" w:eastAsia="黑体" w:cs="Times New Roman"/>
          <w:b w:val="0"/>
          <w:bCs w:val="0"/>
          <w:color w:val="000000" w:themeColor="text1"/>
          <w:szCs w:val="21"/>
          <w:lang w:eastAsia="zh-CN"/>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表7-8</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 xml:space="preserve"> </w:t>
      </w:r>
      <w:r>
        <w:rPr>
          <w:rFonts w:hint="eastAsia" w:ascii="Times New Roman" w:hAnsi="Times New Roman" w:eastAsia="黑体" w:cs="Times New Roman"/>
          <w:b w:val="0"/>
          <w:bCs w:val="0"/>
          <w:color w:val="000000" w:themeColor="text1"/>
          <w:szCs w:val="21"/>
          <w:lang w:eastAsia="zh-CN"/>
          <w14:textFill>
            <w14:solidFill>
              <w14:schemeClr w14:val="tx1"/>
            </w14:solidFill>
          </w14:textFill>
        </w:rPr>
        <w:t>复垦管护费用估算表</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7"/>
        <w:gridCol w:w="1582"/>
        <w:gridCol w:w="1400"/>
        <w:gridCol w:w="1224"/>
        <w:gridCol w:w="1326"/>
        <w:gridCol w:w="1379"/>
        <w:gridCol w:w="13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序号</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工程名称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单位</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工程量</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单价（元）</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一</w:t>
            </w:r>
          </w:p>
        </w:tc>
        <w:tc>
          <w:tcPr>
            <w:tcW w:w="29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洒水</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1</w:t>
            </w:r>
          </w:p>
        </w:tc>
        <w:tc>
          <w:tcPr>
            <w:tcW w:w="29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洒水（林地）</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hm2</w:t>
            </w:r>
          </w:p>
        </w:tc>
        <w:tc>
          <w:tcPr>
            <w:tcW w:w="13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0.0601*4*3</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 xml:space="preserve">1859.57 </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 xml:space="preserve">0.13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二</w:t>
            </w:r>
          </w:p>
        </w:tc>
        <w:tc>
          <w:tcPr>
            <w:tcW w:w="29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补种</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eastAsia="仿宋_GB2312" w:cs="Times New Roman"/>
                <w:color w:val="000000" w:themeColor="text1"/>
                <w:kern w:val="0"/>
                <w:szCs w:val="21"/>
                <w:lang w:val="en-US" w:eastAsia="zh-CN"/>
                <w14:textFill>
                  <w14:solidFill>
                    <w14:schemeClr w14:val="tx1"/>
                  </w14:solidFill>
                </w14:textFill>
              </w:rPr>
              <w:t>1</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90013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栽植灌木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100株</w:t>
            </w: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0.45</w:t>
            </w: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 xml:space="preserve">1396.42 </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t xml:space="preserve">0.06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29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ascii="Times New Roman" w:hAnsi="Times New Roman" w:eastAsia="仿宋_GB2312" w:cs="Times New Roman"/>
                <w:color w:val="000000" w:themeColor="text1"/>
                <w:kern w:val="0"/>
                <w:szCs w:val="21"/>
                <w:lang w:val="en-US" w:eastAsia="zh-CN"/>
                <w14:textFill>
                  <w14:solidFill>
                    <w14:schemeClr w14:val="tx1"/>
                  </w14:solidFill>
                </w14:textFill>
              </w:rPr>
              <w:t>合计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Cs w:val="21"/>
                <w:lang w:val="en-US" w:eastAsia="zh-CN"/>
                <w14:textFill>
                  <w14:solidFill>
                    <w14:schemeClr w14:val="tx1"/>
                  </w14:solidFill>
                </w14:textFill>
              </w:rPr>
            </w:pPr>
            <w:r>
              <w:rPr>
                <w:rFonts w:hint="eastAsia" w:eastAsia="仿宋_GB2312" w:cs="Times New Roman"/>
                <w:color w:val="000000" w:themeColor="text1"/>
                <w:kern w:val="0"/>
                <w:szCs w:val="21"/>
                <w:lang w:val="en-US" w:eastAsia="zh-CN"/>
                <w14:textFill>
                  <w14:solidFill>
                    <w14:schemeClr w14:val="tx1"/>
                  </w14:solidFill>
                </w14:textFill>
              </w:rPr>
              <w:t>0.20</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360" w:firstLineChars="0"/>
        <w:jc w:val="center"/>
        <w:textAlignment w:val="auto"/>
        <w:outlineLvl w:val="9"/>
        <w:rPr>
          <w:rFonts w:hint="eastAsia" w:ascii="Times New Roman" w:hAnsi="Times New Roman" w:eastAsia="黑体" w:cs="Times New Roman"/>
          <w:color w:val="000000" w:themeColor="text1"/>
          <w:sz w:val="18"/>
          <w:szCs w:val="18"/>
          <w:lang w:eastAsia="zh-CN"/>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表7-9</w:t>
      </w:r>
      <w:r>
        <w:rPr>
          <w:rFonts w:hint="default" w:ascii="Times New Roman" w:hAnsi="Times New Roman" w:eastAsia="黑体" w:cs="Times New Roman"/>
          <w:b w:val="0"/>
          <w:bCs w:val="0"/>
          <w:color w:val="000000" w:themeColor="text1"/>
          <w:szCs w:val="21"/>
          <w:lang w:val="en-US" w:eastAsia="zh-CN"/>
          <w14:textFill>
            <w14:solidFill>
              <w14:schemeClr w14:val="tx1"/>
            </w14:solidFill>
          </w14:textFill>
        </w:rPr>
        <w:t>主要</w:t>
      </w:r>
      <w:r>
        <w:rPr>
          <w:rFonts w:hint="default" w:ascii="Times New Roman" w:hAnsi="Times New Roman" w:eastAsia="黑体" w:cs="Times New Roman"/>
          <w:b w:val="0"/>
          <w:bCs w:val="0"/>
          <w:color w:val="000000" w:themeColor="text1"/>
          <w:szCs w:val="21"/>
          <w14:textFill>
            <w14:solidFill>
              <w14:schemeClr w14:val="tx1"/>
            </w14:solidFill>
          </w14:textFill>
        </w:rPr>
        <w:t>材料</w:t>
      </w:r>
      <w:r>
        <w:rPr>
          <w:rFonts w:hint="default" w:ascii="Times New Roman" w:hAnsi="Times New Roman" w:eastAsia="黑体" w:cs="Times New Roman"/>
          <w:b w:val="0"/>
          <w:bCs w:val="0"/>
          <w:color w:val="000000" w:themeColor="text1"/>
          <w:szCs w:val="21"/>
          <w:lang w:eastAsia="zh-CN"/>
          <w14:textFill>
            <w14:solidFill>
              <w14:schemeClr w14:val="tx1"/>
            </w14:solidFill>
          </w14:textFill>
        </w:rPr>
        <w:t>估算价格计</w:t>
      </w:r>
      <w:r>
        <w:rPr>
          <w:rFonts w:hint="default" w:ascii="Times New Roman" w:hAnsi="Times New Roman" w:eastAsia="黑体" w:cs="Times New Roman"/>
          <w:b w:val="0"/>
          <w:bCs w:val="0"/>
          <w:color w:val="000000" w:themeColor="text1"/>
          <w:szCs w:val="21"/>
          <w14:textFill>
            <w14:solidFill>
              <w14:schemeClr w14:val="tx1"/>
            </w14:solidFill>
          </w14:textFill>
        </w:rPr>
        <w:t>算表</w:t>
      </w:r>
    </w:p>
    <w:tbl>
      <w:tblPr>
        <w:tblStyle w:val="20"/>
        <w:tblW w:w="949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9"/>
        <w:gridCol w:w="1077"/>
        <w:gridCol w:w="540"/>
        <w:gridCol w:w="810"/>
        <w:gridCol w:w="1078"/>
        <w:gridCol w:w="1078"/>
        <w:gridCol w:w="1078"/>
        <w:gridCol w:w="1078"/>
        <w:gridCol w:w="1078"/>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编号</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名称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单位</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单位毛重（t）</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除税价（元）</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运杂费（元）</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采购保管费（元）</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预算价格(元）</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主材规定价格(元）</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材料价差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92#汽油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kg</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0.001</w:t>
            </w:r>
          </w:p>
        </w:tc>
        <w:tc>
          <w:tcPr>
            <w:tcW w:w="107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10.02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0.027</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10.06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5.06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0#柴油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kg</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0.001</w:t>
            </w:r>
          </w:p>
        </w:tc>
        <w:tc>
          <w:tcPr>
            <w:tcW w:w="1078"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8.23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0.027</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8.27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3.77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3</w:t>
            </w:r>
          </w:p>
        </w:tc>
        <w:tc>
          <w:tcPr>
            <w:tcW w:w="107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混合肥</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kg</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0.001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0.020</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0.01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xml:space="preserve">2.03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4</w:t>
            </w:r>
          </w:p>
        </w:tc>
        <w:tc>
          <w:tcPr>
            <w:tcW w:w="107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水</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t</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1.18</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1.18 </w:t>
            </w:r>
          </w:p>
        </w:tc>
        <w:tc>
          <w:tcPr>
            <w:tcW w:w="10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w:t>
            </w:r>
          </w:p>
        </w:tc>
      </w:tr>
    </w:tbl>
    <w:p>
      <w:pP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pPr>
      <w:r>
        <w:rPr>
          <w:rFonts w:hint="default" w:ascii="Times New Roman" w:hAnsi="Times New Roman" w:eastAsia="仿宋_GB2312" w:cs="Times New Roman"/>
          <w:color w:val="000000" w:themeColor="text1"/>
          <w:sz w:val="18"/>
          <w:szCs w:val="18"/>
          <w:lang w:eastAsia="zh-CN"/>
          <w14:textFill>
            <w14:solidFill>
              <w14:schemeClr w14:val="tx1"/>
            </w14:solidFill>
          </w14:textFill>
        </w:rPr>
        <w:t>注：</w:t>
      </w:r>
      <w:r>
        <w:rPr>
          <w:rFonts w:hint="eastAsia" w:ascii="Times New Roman" w:hAnsi="Times New Roman" w:eastAsia="仿宋_GB2312" w:cs="Times New Roman"/>
          <w:color w:val="000000" w:themeColor="text1"/>
          <w:sz w:val="18"/>
          <w:szCs w:val="18"/>
          <w:lang w:eastAsia="zh-CN"/>
          <w14:textFill>
            <w14:solidFill>
              <w14:schemeClr w14:val="tx1"/>
            </w14:solidFill>
          </w14:textFill>
        </w:rPr>
        <w:t>综合信息价及综合信息价（扣税）依据《</w:t>
      </w:r>
      <w:r>
        <w:rPr>
          <w:rFonts w:hint="eastAsia" w:eastAsia="仿宋_GB2312" w:cs="Times New Roman"/>
          <w:color w:val="000000" w:themeColor="text1"/>
          <w:sz w:val="18"/>
          <w:szCs w:val="18"/>
          <w:lang w:eastAsia="zh-CN"/>
          <w14:textFill>
            <w14:solidFill>
              <w14:schemeClr w14:val="tx1"/>
            </w14:solidFill>
          </w14:textFill>
        </w:rPr>
        <w:t>喀什地区202</w:t>
      </w:r>
      <w:r>
        <w:rPr>
          <w:rFonts w:hint="eastAsia" w:eastAsia="仿宋_GB2312" w:cs="Times New Roman"/>
          <w:color w:val="000000" w:themeColor="text1"/>
          <w:sz w:val="18"/>
          <w:szCs w:val="18"/>
          <w:lang w:val="en-US" w:eastAsia="zh-CN"/>
          <w14:textFill>
            <w14:solidFill>
              <w14:schemeClr w14:val="tx1"/>
            </w14:solidFill>
          </w14:textFill>
        </w:rPr>
        <w:t>4</w:t>
      </w:r>
      <w:r>
        <w:rPr>
          <w:rFonts w:hint="eastAsia" w:eastAsia="仿宋_GB2312" w:cs="Times New Roman"/>
          <w:color w:val="000000" w:themeColor="text1"/>
          <w:sz w:val="18"/>
          <w:szCs w:val="18"/>
          <w:lang w:eastAsia="zh-CN"/>
          <w14:textFill>
            <w14:solidFill>
              <w14:schemeClr w14:val="tx1"/>
            </w14:solidFill>
          </w14:textFill>
        </w:rPr>
        <w:t>年</w:t>
      </w:r>
      <w:r>
        <w:rPr>
          <w:rFonts w:hint="eastAsia" w:eastAsia="仿宋_GB2312" w:cs="Times New Roman"/>
          <w:color w:val="000000" w:themeColor="text1"/>
          <w:sz w:val="18"/>
          <w:szCs w:val="18"/>
          <w:lang w:val="en-US" w:eastAsia="zh-CN"/>
          <w14:textFill>
            <w14:solidFill>
              <w14:schemeClr w14:val="tx1"/>
            </w14:solidFill>
          </w14:textFill>
        </w:rPr>
        <w:t>1</w:t>
      </w:r>
      <w:r>
        <w:rPr>
          <w:rFonts w:hint="eastAsia" w:eastAsia="仿宋_GB2312" w:cs="Times New Roman"/>
          <w:color w:val="000000" w:themeColor="text1"/>
          <w:sz w:val="18"/>
          <w:szCs w:val="18"/>
          <w:lang w:eastAsia="zh-CN"/>
          <w14:textFill>
            <w14:solidFill>
              <w14:schemeClr w14:val="tx1"/>
            </w14:solidFill>
          </w14:textFill>
        </w:rPr>
        <w:t>月</w:t>
      </w:r>
      <w:r>
        <w:rPr>
          <w:rFonts w:hint="eastAsia" w:ascii="Times New Roman" w:hAnsi="Times New Roman" w:eastAsia="仿宋_GB2312" w:cs="Times New Roman"/>
          <w:color w:val="000000" w:themeColor="text1"/>
          <w:sz w:val="18"/>
          <w:szCs w:val="18"/>
          <w:lang w:eastAsia="zh-CN"/>
          <w14:textFill>
            <w14:solidFill>
              <w14:schemeClr w14:val="tx1"/>
            </w14:solidFill>
          </w14:textFill>
        </w:rPr>
        <w:t>份建设工程价格信息》；</w:t>
      </w:r>
      <w:r>
        <w:rPr>
          <w:rFonts w:hint="default" w:ascii="Times New Roman" w:hAnsi="Times New Roman" w:eastAsia="仿宋_GB2312" w:cs="Times New Roman"/>
          <w:color w:val="000000" w:themeColor="text1"/>
          <w:sz w:val="18"/>
          <w:szCs w:val="18"/>
          <w:lang w:eastAsia="zh-CN"/>
          <w14:textFill>
            <w14:solidFill>
              <w14:schemeClr w14:val="tx1"/>
            </w14:solidFill>
          </w14:textFill>
        </w:rPr>
        <w:t>运杂费计算依据为新疆维吾尔自治区交通厅文件新交造[</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2008</w:t>
      </w:r>
      <w:r>
        <w:rPr>
          <w:rFonts w:hint="default" w:ascii="Times New Roman" w:hAnsi="Times New Roman" w:eastAsia="仿宋_GB2312" w:cs="Times New Roman"/>
          <w:color w:val="000000" w:themeColor="text1"/>
          <w:sz w:val="18"/>
          <w:szCs w:val="18"/>
          <w:lang w:eastAsia="zh-CN"/>
          <w14:textFill>
            <w14:solidFill>
              <w14:schemeClr w14:val="tx1"/>
            </w14:solidFill>
          </w14:textFill>
        </w:rPr>
        <w:t>]</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2号文件，关于发布《新疆维吾尔自治区公路工程基本建设项目概预算编制办法补充规定》和《新疆公路工程预算补充定额》的通知计算</w:t>
      </w:r>
      <w:r>
        <w:rPr>
          <w:rFonts w:hint="eastAsia" w:ascii="Times New Roman" w:hAnsi="Times New Roman" w:eastAsia="仿宋_GB2312" w:cs="Times New Roman"/>
          <w:color w:val="000000" w:themeColor="text1"/>
          <w:sz w:val="18"/>
          <w:szCs w:val="18"/>
          <w:lang w:val="en-US" w:eastAsia="zh-CN"/>
          <w14:textFill>
            <w14:solidFill>
              <w14:schemeClr w14:val="tx1"/>
            </w14:solidFill>
          </w14:textFill>
        </w:rPr>
        <w:t>；采购与保管费计算依据国土资厅发[2017]19号附件《土地整治工程营业税改征增值税计价依据调整过渡实施方案》，材料采购与保管费费率为2.17%</w:t>
      </w:r>
      <w:r>
        <w:rPr>
          <w:rFonts w:hint="default" w:ascii="Times New Roman" w:hAnsi="Times New Roman" w:eastAsia="仿宋_GB2312" w:cs="Times New Roman"/>
          <w:color w:val="000000" w:themeColor="text1"/>
          <w:sz w:val="18"/>
          <w:szCs w:val="1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360" w:firstLineChars="0"/>
        <w:jc w:val="center"/>
        <w:textAlignment w:val="auto"/>
        <w:outlineLvl w:val="9"/>
        <w:rPr>
          <w:rFonts w:hint="eastAsia" w:ascii="Times New Roman" w:hAnsi="Times New Roman" w:eastAsia="黑体" w:cs="Times New Roman"/>
          <w:color w:val="000000" w:themeColor="text1"/>
          <w:sz w:val="18"/>
          <w:szCs w:val="18"/>
          <w:lang w:eastAsia="zh-CN"/>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w:t>
      </w:r>
      <w:r>
        <w:rPr>
          <w:rFonts w:hint="eastAsia" w:eastAsia="黑体" w:cs="Times New Roman"/>
          <w:b w:val="0"/>
          <w:bCs w:val="0"/>
          <w:color w:val="000000" w:themeColor="text1"/>
          <w:szCs w:val="21"/>
          <w:lang w:val="en-US" w:eastAsia="zh-CN"/>
          <w14:textFill>
            <w14:solidFill>
              <w14:schemeClr w14:val="tx1"/>
            </w14:solidFill>
          </w14:textFill>
        </w:rPr>
        <w:t xml:space="preserve">10 </w:t>
      </w:r>
      <w:r>
        <w:rPr>
          <w:rFonts w:hint="default" w:ascii="Times New Roman" w:hAnsi="Times New Roman" w:eastAsia="黑体" w:cs="Times New Roman"/>
          <w:b w:val="0"/>
          <w:bCs w:val="0"/>
          <w:color w:val="000000" w:themeColor="text1"/>
          <w:szCs w:val="21"/>
          <w14:textFill>
            <w14:solidFill>
              <w14:schemeClr w14:val="tx1"/>
            </w14:solidFill>
          </w14:textFill>
        </w:rPr>
        <w:t>材料</w:t>
      </w:r>
      <w:r>
        <w:rPr>
          <w:rFonts w:hint="eastAsia" w:ascii="Times New Roman" w:hAnsi="Times New Roman" w:eastAsia="黑体" w:cs="Times New Roman"/>
          <w:b w:val="0"/>
          <w:bCs w:val="0"/>
          <w:color w:val="000000" w:themeColor="text1"/>
          <w:szCs w:val="21"/>
          <w:lang w:val="en-US" w:eastAsia="zh-CN"/>
          <w14:textFill>
            <w14:solidFill>
              <w14:schemeClr w14:val="tx1"/>
            </w14:solidFill>
          </w14:textFill>
        </w:rPr>
        <w:t>运杂费</w:t>
      </w:r>
      <w:r>
        <w:rPr>
          <w:rFonts w:hint="default" w:ascii="Times New Roman" w:hAnsi="Times New Roman" w:eastAsia="黑体" w:cs="Times New Roman"/>
          <w:b w:val="0"/>
          <w:bCs w:val="0"/>
          <w:color w:val="000000" w:themeColor="text1"/>
          <w:szCs w:val="21"/>
          <w:lang w:eastAsia="zh-CN"/>
          <w14:textFill>
            <w14:solidFill>
              <w14:schemeClr w14:val="tx1"/>
            </w14:solidFill>
          </w14:textFill>
        </w:rPr>
        <w:t>计</w:t>
      </w:r>
      <w:r>
        <w:rPr>
          <w:rFonts w:hint="default" w:ascii="Times New Roman" w:hAnsi="Times New Roman" w:eastAsia="黑体" w:cs="Times New Roman"/>
          <w:b w:val="0"/>
          <w:bCs w:val="0"/>
          <w:color w:val="000000" w:themeColor="text1"/>
          <w:szCs w:val="21"/>
          <w14:textFill>
            <w14:solidFill>
              <w14:schemeClr w14:val="tx1"/>
            </w14:solidFill>
          </w14:textFill>
        </w:rPr>
        <w:t>算表</w:t>
      </w:r>
    </w:p>
    <w:tbl>
      <w:tblPr>
        <w:tblStyle w:val="20"/>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6"/>
        <w:gridCol w:w="1162"/>
        <w:gridCol w:w="582"/>
        <w:gridCol w:w="1184"/>
        <w:gridCol w:w="1097"/>
        <w:gridCol w:w="915"/>
        <w:gridCol w:w="1161"/>
        <w:gridCol w:w="1162"/>
        <w:gridCol w:w="1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序号</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材料名称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单位</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运输起止地点</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运输距离（km）</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运率</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装卸费</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综合运费</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1" w:hRule="atLeast"/>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92#汽油</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t</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加油站-项目区</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0.633</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7.8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26.79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0#柴油</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t</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加油站-项目区</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0.633</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7.8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26.79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混合肥</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t</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县城-项目区</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0.52</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4.4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bidi w:val="0"/>
              <w:snapToGrid w:val="0"/>
              <w:spacing w:line="24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p>
        </w:tc>
      </w:tr>
    </w:tbl>
    <w:p>
      <w:pPr>
        <w:pStyle w:val="19"/>
        <w:rPr>
          <w:rFonts w:hint="default"/>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黑体" w:cs="Times New Roman"/>
          <w:b w:val="0"/>
          <w:bCs w:val="0"/>
          <w:color w:val="000000" w:themeColor="text1"/>
          <w:szCs w:val="21"/>
          <w14:textFill>
            <w14:solidFill>
              <w14:schemeClr w14:val="tx1"/>
            </w14:solidFill>
          </w14:textFill>
        </w:rPr>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r>
        <w:rPr>
          <w:rFonts w:hint="default" w:ascii="Times New Roman" w:hAnsi="Times New Roman" w:eastAsia="黑体" w:cs="Times New Roman"/>
          <w:b w:val="0"/>
          <w:bCs w:val="0"/>
          <w:color w:val="000000" w:themeColor="text1"/>
          <w:szCs w:val="21"/>
          <w14:textFill>
            <w14:solidFill>
              <w14:schemeClr w14:val="tx1"/>
            </w14:solidFill>
          </w14:textFill>
        </w:rPr>
        <w:br w:type="page"/>
      </w:r>
      <w:bookmarkStart w:id="205" w:name="_Toc17153"/>
    </w:p>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eastAsia" w:ascii="Times New Roman" w:hAnsi="Times New Roman" w:eastAsia="黑体" w:cs="Times New Roman"/>
          <w:b w:val="0"/>
          <w:bCs w:val="0"/>
          <w:color w:val="000000" w:themeColor="text1"/>
          <w:szCs w:val="21"/>
          <w:lang w:eastAsia="zh-CN"/>
          <w14:textFill>
            <w14:solidFill>
              <w14:schemeClr w14:val="tx1"/>
            </w14:solidFill>
          </w14:textFill>
        </w:rPr>
      </w:pPr>
      <w:r>
        <w:rPr>
          <w:rFonts w:hint="eastAsia" w:eastAsia="黑体" w:cs="Times New Roman"/>
          <w:b w:val="0"/>
          <w:bCs w:val="0"/>
          <w:color w:val="000000" w:themeColor="text1"/>
          <w:szCs w:val="21"/>
          <w:lang w:eastAsia="zh-CN"/>
          <w14:textFill>
            <w14:solidFill>
              <w14:schemeClr w14:val="tx1"/>
            </w14:solidFill>
          </w14:textFill>
        </w:rPr>
        <w:t>表7-1</w:t>
      </w:r>
      <w:r>
        <w:rPr>
          <w:rFonts w:hint="eastAsia" w:eastAsia="黑体" w:cs="Times New Roman"/>
          <w:b w:val="0"/>
          <w:bCs w:val="0"/>
          <w:color w:val="000000" w:themeColor="text1"/>
          <w:szCs w:val="21"/>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Cs w:val="21"/>
          <w14:textFill>
            <w14:solidFill>
              <w14:schemeClr w14:val="tx1"/>
            </w14:solidFill>
          </w14:textFill>
        </w:rPr>
        <w:t xml:space="preserve"> 机械台班费汇总表</w:t>
      </w:r>
      <w:r>
        <w:rPr>
          <w:rFonts w:hint="eastAsia" w:eastAsia="黑体" w:cs="Times New Roman"/>
          <w:b w:val="0"/>
          <w:bCs w:val="0"/>
          <w:color w:val="000000" w:themeColor="text1"/>
          <w:szCs w:val="21"/>
          <w:lang w:eastAsia="zh-CN"/>
          <w14:textFill>
            <w14:solidFill>
              <w14:schemeClr w14:val="tx1"/>
            </w14:solidFill>
          </w14:textFill>
        </w:rPr>
        <w:t>（</w:t>
      </w:r>
      <w:r>
        <w:rPr>
          <w:rFonts w:hint="eastAsia" w:eastAsia="黑体" w:cs="Times New Roman"/>
          <w:b w:val="0"/>
          <w:bCs w:val="0"/>
          <w:color w:val="000000" w:themeColor="text1"/>
          <w:szCs w:val="21"/>
          <w:lang w:val="en-US" w:eastAsia="zh-CN"/>
          <w14:textFill>
            <w14:solidFill>
              <w14:schemeClr w14:val="tx1"/>
            </w14:solidFill>
          </w14:textFill>
        </w:rPr>
        <w:t>单位：元</w:t>
      </w:r>
      <w:r>
        <w:rPr>
          <w:rFonts w:hint="eastAsia" w:eastAsia="黑体" w:cs="Times New Roman"/>
          <w:b w:val="0"/>
          <w:bCs w:val="0"/>
          <w:color w:val="000000" w:themeColor="text1"/>
          <w:szCs w:val="21"/>
          <w:lang w:eastAsia="zh-CN"/>
          <w14:textFill>
            <w14:solidFill>
              <w14:schemeClr w14:val="tx1"/>
            </w14:solidFill>
          </w14:textFill>
        </w:rPr>
        <w:t>）</w:t>
      </w:r>
    </w:p>
    <w:tbl>
      <w:tblPr>
        <w:tblStyle w:val="20"/>
        <w:tblW w:w="126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923"/>
        <w:gridCol w:w="1662"/>
        <w:gridCol w:w="1026"/>
        <w:gridCol w:w="943"/>
        <w:gridCol w:w="943"/>
        <w:gridCol w:w="682"/>
        <w:gridCol w:w="943"/>
        <w:gridCol w:w="943"/>
        <w:gridCol w:w="675"/>
        <w:gridCol w:w="679"/>
        <w:gridCol w:w="943"/>
        <w:gridCol w:w="679"/>
        <w:gridCol w:w="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序号</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定额编号</w:t>
            </w:r>
          </w:p>
        </w:tc>
        <w:tc>
          <w:tcPr>
            <w:tcW w:w="16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机械名称及规格</w:t>
            </w:r>
          </w:p>
        </w:tc>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台班费</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一类</w:t>
            </w:r>
          </w:p>
        </w:tc>
        <w:tc>
          <w:tcPr>
            <w:tcW w:w="742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二类费用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费用</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二类费</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人工费</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动力</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柴油/汽油</w:t>
            </w:r>
          </w:p>
        </w:tc>
        <w:tc>
          <w:tcPr>
            <w:tcW w:w="16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电</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小计</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合计</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(元/工日)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燃料费</w:t>
            </w: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6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（元/kw.h）</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(元/m3)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工日</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金额</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小计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数量</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数量</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金额</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数量</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JX1004</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单斗挖掘机油动 1m3</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878.97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336.41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542.56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218.56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324</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72</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JX1013</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推土机 59kw</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492.02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75.46</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416.56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218.56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198</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44</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3</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JX1014</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推土机 功率 74kw</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673.55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207.49</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466.06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218.56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247.5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55</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4</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JX1049</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三铧犁</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11.37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11.37</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5</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JX4038</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洒水车4800L</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383.43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104.15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279.28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109.28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170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34</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6</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JX4013</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自卸汽车10t</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691.52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234.46</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457.06 </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218.56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 xml:space="preserve">238.50 </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53</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7</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JX1008</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装载机1立方米</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532.77</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98.21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434.56</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109.28</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216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t>48</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黑体" w:cs="Times New Roman"/>
          <w:b w:val="0"/>
          <w:bCs w:val="0"/>
          <w:color w:val="000000" w:themeColor="text1"/>
          <w:szCs w:val="21"/>
          <w14:textFill>
            <w14:solidFill>
              <w14:schemeClr w14:val="tx1"/>
            </w14:solidFill>
          </w14:textFill>
        </w:rPr>
        <w:sectPr>
          <w:pgSz w:w="16838" w:h="11906" w:orient="landscape"/>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仿宋_GB2312" w:hAnsi="宋体" w:eastAsia="黑体" w:cs="仿宋_GB2312"/>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黑体" w:cs="Times New Roman"/>
          <w:b w:val="0"/>
          <w:bCs w:val="0"/>
          <w:color w:val="000000" w:themeColor="text1"/>
          <w:szCs w:val="21"/>
          <w14:textFill>
            <w14:solidFill>
              <w14:schemeClr w14:val="tx1"/>
            </w14:solidFill>
          </w14:textFill>
        </w:rPr>
        <w:t>表7-1</w:t>
      </w:r>
      <w:r>
        <w:rPr>
          <w:rFonts w:hint="eastAsia" w:eastAsia="黑体" w:cs="Times New Roman"/>
          <w:b w:val="0"/>
          <w:bCs w:val="0"/>
          <w:color w:val="000000" w:themeColor="text1"/>
          <w:szCs w:val="21"/>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Cs w:val="21"/>
          <w:lang w:eastAsia="zh-CN"/>
          <w14:textFill>
            <w14:solidFill>
              <w14:schemeClr w14:val="tx1"/>
            </w14:solidFill>
          </w14:textFill>
        </w:rPr>
        <w:t>工程施工</w:t>
      </w:r>
      <w:r>
        <w:rPr>
          <w:rFonts w:hint="default" w:ascii="Times New Roman" w:hAnsi="Times New Roman" w:eastAsia="黑体" w:cs="Times New Roman"/>
          <w:b w:val="0"/>
          <w:bCs w:val="0"/>
          <w:color w:val="000000" w:themeColor="text1"/>
          <w:szCs w:val="21"/>
          <w14:textFill>
            <w14:solidFill>
              <w14:schemeClr w14:val="tx1"/>
            </w14:solidFill>
          </w14:textFill>
        </w:rPr>
        <w:t>工</w:t>
      </w:r>
      <w:r>
        <w:rPr>
          <w:rFonts w:hint="eastAsia" w:ascii="Times New Roman" w:hAnsi="Times New Roman" w:eastAsia="黑体" w:cs="Times New Roman"/>
          <w:b w:val="0"/>
          <w:bCs w:val="0"/>
          <w:color w:val="000000" w:themeColor="text1"/>
          <w:szCs w:val="21"/>
          <w:lang w:eastAsia="zh-CN"/>
          <w14:textFill>
            <w14:solidFill>
              <w14:schemeClr w14:val="tx1"/>
            </w14:solidFill>
          </w14:textFill>
        </w:rPr>
        <w:t>费单价</w:t>
      </w:r>
      <w:r>
        <w:rPr>
          <w:rFonts w:hint="default" w:ascii="Times New Roman" w:hAnsi="Times New Roman" w:eastAsia="黑体" w:cs="Times New Roman"/>
          <w:b w:val="0"/>
          <w:bCs w:val="0"/>
          <w:color w:val="000000" w:themeColor="text1"/>
          <w:szCs w:val="21"/>
          <w14:textFill>
            <w14:solidFill>
              <w14:schemeClr w14:val="tx1"/>
            </w14:solidFill>
          </w14:textFill>
        </w:rPr>
        <w:t>分析表</w:t>
      </w: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8"/>
        <w:gridCol w:w="2140"/>
        <w:gridCol w:w="1324"/>
        <w:gridCol w:w="1373"/>
        <w:gridCol w:w="1393"/>
        <w:gridCol w:w="13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定额编号：[10303] [74kw推土机推土（一、二类土）]（运距10-20m）（推松、运送、卸载、空回）     单位：100m</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trPr>
        <w:tc>
          <w:tcPr>
            <w:tcW w:w="144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工作内容：</w:t>
            </w:r>
          </w:p>
        </w:tc>
        <w:tc>
          <w:tcPr>
            <w:tcW w:w="7623" w:type="dxa"/>
            <w:gridSpan w:val="5"/>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推松、运送、卸载、空回（一、二类土）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175.53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169.43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0.2</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其他人工费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19.92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148.52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推土机</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功率</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74kw</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0.21</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673.55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141.45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其他机械费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141.45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169.43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175.53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184.31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43.51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柴油</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43.51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推土机</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功率</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74kw</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11.55</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43.51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14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2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233.34 </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678"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254.34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4"/>
        <w:gridCol w:w="2152"/>
        <w:gridCol w:w="1332"/>
        <w:gridCol w:w="1379"/>
        <w:gridCol w:w="1417"/>
        <w:gridCol w:w="14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定额编号：</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[10043]</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土地翻耕</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 xml:space="preserve"> </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（松土）</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 xml:space="preserve">                                                             </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单位：</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100m</w:t>
            </w:r>
            <w:r>
              <w:rPr>
                <w:rFonts w:hint="default" w:ascii="Times New Roman" w:hAnsi="Times New Roman" w:eastAsia="宋体" w:cs="Times New Roman"/>
                <w:i w:val="0"/>
                <w:iCs w:val="0"/>
                <w:color w:val="000000" w:themeColor="text1"/>
                <w:kern w:val="0"/>
                <w:sz w:val="18"/>
                <w:szCs w:val="18"/>
                <w:u w:val="none"/>
                <w:vertAlign w:val="superscript"/>
                <w:lang w:val="en-US" w:eastAsia="zh-CN" w:bidi="ar-SA"/>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1969.78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一</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1901.33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1206.88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甲类工</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0.60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109.28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65.57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11.40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1135.31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其他人工费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0.50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1200.87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694.45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履带式拖拉机59kw</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564.46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677.35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三铧犁</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11.37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其他机械费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0.50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691.00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二</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3.60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1901.33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68.45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1969.78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2068.27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62.05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248.61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柴油</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248.61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 </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履带式拖拉机59kw</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66.00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248.61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74"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1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3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7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9.00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2378.92 </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214.10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654"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4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2593.03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8"/>
        <w:gridCol w:w="2089"/>
        <w:gridCol w:w="1322"/>
        <w:gridCol w:w="1391"/>
        <w:gridCol w:w="1410"/>
        <w:gridCol w:w="1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定额编号：[90013]栽植灌木                                                                     单位：100株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ascii="华文仿宋" w:hAnsi="华文仿宋" w:eastAsia="华文仿宋" w:cs="华文仿宋"/>
                <w:i w:val="0"/>
                <w:iCs w:val="0"/>
                <w:color w:val="000000" w:themeColor="text1"/>
                <w:sz w:val="18"/>
                <w:szCs w:val="18"/>
                <w:u w:val="none"/>
                <w14:textFill>
                  <w14:solidFill>
                    <w14:schemeClr w14:val="tx1"/>
                  </w14:solidFill>
                </w14:textFill>
              </w:rPr>
            </w:pPr>
            <w:r>
              <w:rPr>
                <w:rFonts w:hint="eastAsia" w:ascii="华文仿宋" w:hAnsi="华文仿宋" w:eastAsia="华文仿宋" w:cs="华文仿宋"/>
                <w:i w:val="0"/>
                <w:iCs w:val="0"/>
                <w:color w:val="000000" w:themeColor="text1"/>
                <w:kern w:val="0"/>
                <w:sz w:val="18"/>
                <w:szCs w:val="18"/>
                <w:u w:val="none"/>
                <w:lang w:val="en-US" w:eastAsia="zh-CN" w:bidi="ar"/>
                <w14:textFill>
                  <w14:solidFill>
                    <w14:schemeClr w14:val="tx1"/>
                  </w14:solidFill>
                </w14:textFill>
              </w:rPr>
              <w:t>工作内容：</w:t>
            </w:r>
          </w:p>
        </w:tc>
        <w:tc>
          <w:tcPr>
            <w:tcW w:w="7623" w:type="dxa"/>
            <w:gridSpan w:val="5"/>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44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1184.58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1143.42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320.28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甲</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类工</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3.20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318.68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其他人工费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0.50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318.68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2.00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株</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102.00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8.07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823.14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其他材料费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0.50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301.92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3.60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1143.42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41.16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1184.58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1243.81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448"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08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2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9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9.00 </w:t>
            </w:r>
          </w:p>
        </w:tc>
        <w:tc>
          <w:tcPr>
            <w:tcW w:w="141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1281.12 </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660"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41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1396.42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3"/>
        <w:gridCol w:w="2319"/>
        <w:gridCol w:w="1301"/>
        <w:gridCol w:w="1344"/>
        <w:gridCol w:w="1397"/>
        <w:gridCol w:w="1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定额编号：市场价【土壤培肥】   单位：hm2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工作内容：</w:t>
            </w:r>
          </w:p>
        </w:tc>
        <w:tc>
          <w:tcPr>
            <w:tcW w:w="7758" w:type="dxa"/>
            <w:gridSpan w:val="5"/>
            <w:tcBorders>
              <w:top w:val="single" w:color="auto" w:sz="4" w:space="0"/>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人工培肥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单位</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4816.52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4649.15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2091.35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甲类工</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2"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1991.77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其他人工费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1991.77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4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2557.80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31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有机-无机混合肥</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1200</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2.03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2436.00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其他材料费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2436.00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121.80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4649.15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167.37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4816.52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240.83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5057.35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151.72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313"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319"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0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344"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5209.07 </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468.82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674"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39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5677.89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6"/>
        <w:gridCol w:w="2217"/>
        <w:gridCol w:w="1396"/>
        <w:gridCol w:w="1428"/>
        <w:gridCol w:w="1457"/>
        <w:gridCol w:w="1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157" w:type="dxa"/>
            <w:gridSpan w:val="4"/>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定额编号：</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宋体" w:eastAsia="仿宋_GB2312" w:cs="仿宋_GB2312"/>
                <w:i w:val="0"/>
                <w:iCs w:val="0"/>
                <w:color w:val="000000" w:themeColor="text1"/>
                <w:kern w:val="0"/>
                <w:sz w:val="18"/>
                <w:szCs w:val="18"/>
                <w:u w:val="none"/>
                <w:lang w:val="en-US" w:eastAsia="zh-CN" w:bidi="ar-SA"/>
                <w14:textFill>
                  <w14:solidFill>
                    <w14:schemeClr w14:val="tx1"/>
                  </w14:solidFill>
                </w14:textFill>
              </w:rPr>
              <w:t>浇水</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林地单次</w:t>
            </w:r>
          </w:p>
        </w:tc>
        <w:tc>
          <w:tcPr>
            <w:tcW w:w="2914" w:type="dxa"/>
            <w:gridSpan w:val="2"/>
            <w:tcBorders>
              <w:top w:val="single" w:color="auto" w:sz="4" w:space="0"/>
              <w:left w:val="nil"/>
              <w:bottom w:val="single" w:color="auto" w:sz="4" w:space="0"/>
              <w:right w:val="single" w:color="auto" w:sz="4" w:space="0"/>
            </w:tcBorders>
            <w:shd w:val="clear" w:color="auto" w:fill="auto"/>
            <w:vAlign w:val="bottom"/>
          </w:tcPr>
          <w:p>
            <w:pPr>
              <w:keepNext w:val="0"/>
              <w:keepLines w:val="0"/>
              <w:widowControl/>
              <w:suppressLineNumbers w:val="0"/>
              <w:jc w:val="right"/>
              <w:textAlignment w:val="bottom"/>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单位：hm</w:t>
            </w:r>
            <w:r>
              <w:rPr>
                <w:rFonts w:hint="default" w:ascii="Times New Roman" w:hAnsi="Times New Roman" w:eastAsia="宋体" w:cs="Times New Roman"/>
                <w:i w:val="0"/>
                <w:iCs w:val="0"/>
                <w:color w:val="000000" w:themeColor="text1"/>
                <w:kern w:val="0"/>
                <w:sz w:val="18"/>
                <w:szCs w:val="18"/>
                <w:u w:val="none"/>
                <w:vertAlign w:val="superscript"/>
                <w:lang w:val="en-US" w:eastAsia="zh-CN" w:bidi="ar-SA"/>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ascii="华文仿宋" w:hAnsi="华文仿宋" w:eastAsia="华文仿宋" w:cs="华文仿宋"/>
                <w:i w:val="0"/>
                <w:iCs w:val="0"/>
                <w:color w:val="000000" w:themeColor="text1"/>
                <w:sz w:val="18"/>
                <w:szCs w:val="18"/>
                <w:u w:val="none"/>
                <w14:textFill>
                  <w14:solidFill>
                    <w14:schemeClr w14:val="tx1"/>
                  </w14:solidFill>
                </w14:textFill>
              </w:rPr>
            </w:pPr>
            <w:r>
              <w:rPr>
                <w:rFonts w:hint="eastAsia" w:ascii="华文仿宋" w:hAnsi="华文仿宋" w:eastAsia="华文仿宋" w:cs="华文仿宋"/>
                <w:i w:val="0"/>
                <w:iCs w:val="0"/>
                <w:color w:val="000000" w:themeColor="text1"/>
                <w:kern w:val="0"/>
                <w:sz w:val="18"/>
                <w:szCs w:val="18"/>
                <w:u w:val="none"/>
                <w:lang w:val="en-US" w:eastAsia="zh-CN" w:bidi="ar"/>
                <w14:textFill>
                  <w14:solidFill>
                    <w14:schemeClr w14:val="tx1"/>
                  </w14:solidFill>
                </w14:textFill>
              </w:rPr>
              <w:t>工作内容：</w:t>
            </w:r>
          </w:p>
        </w:tc>
        <w:tc>
          <w:tcPr>
            <w:tcW w:w="7955" w:type="dxa"/>
            <w:gridSpan w:val="5"/>
            <w:tcBorders>
              <w:top w:val="single" w:color="auto" w:sz="4" w:space="0"/>
              <w:left w:val="single" w:color="auto" w:sz="4" w:space="0"/>
              <w:bottom w:val="single" w:color="auto"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抽水、运输、洒水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单价（元）</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1386.69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一</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1338.51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水</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m</w:t>
            </w:r>
            <w:r>
              <w:rPr>
                <w:rFonts w:hint="default" w:ascii="Times New Roman" w:hAnsi="Times New Roman" w:eastAsia="宋体" w:cs="Times New Roman"/>
                <w:i w:val="0"/>
                <w:iCs w:val="0"/>
                <w:color w:val="000000" w:themeColor="text1"/>
                <w:kern w:val="0"/>
                <w:sz w:val="18"/>
                <w:szCs w:val="18"/>
                <w:u w:val="none"/>
                <w:vertAlign w:val="superscript"/>
                <w:lang w:val="en-US" w:eastAsia="zh-CN" w:bidi="ar-SA"/>
                <w14:textFill>
                  <w14:solidFill>
                    <w14:schemeClr w14:val="tx1"/>
                  </w14:solidFill>
                </w14:textFill>
              </w:rPr>
              <w:t>3</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660</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1.180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778.80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机械费</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洒水车</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383.43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460.12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二</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3.60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1338.51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48.19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5.00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1386.69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69.33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1456.03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43.68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206.32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柴油</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206.32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221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洒水车</w:t>
            </w:r>
          </w:p>
        </w:tc>
        <w:tc>
          <w:tcPr>
            <w:tcW w:w="139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2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40.80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5.06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206.32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21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9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9.00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1706.02 </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153.54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761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45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1859.57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6"/>
        <w:gridCol w:w="2228"/>
        <w:gridCol w:w="1386"/>
        <w:gridCol w:w="1437"/>
        <w:gridCol w:w="1452"/>
        <w:gridCol w:w="14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新土补充定额</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定额编号：</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[XB40012]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机械拆除无钢筋混凝土（机械拆除、清理、堆放）</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工作内容：</w:t>
            </w:r>
          </w:p>
        </w:tc>
        <w:tc>
          <w:tcPr>
            <w:tcW w:w="7955" w:type="dxa"/>
            <w:gridSpan w:val="5"/>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破碎、撬移、解小、翻渣、清面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2186.14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7089.41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甲类工</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199.18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其他人工费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6890.24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挖掘机液压</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1m3</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6.95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944.19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6562.13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其他费用</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6562.13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328.11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3.60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7089.41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255.22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7344.63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367.23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7711.86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231.36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623.78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柴油</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165.60</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623.78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228"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8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7"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8567.00 </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771.03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619"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452"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9338.03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tbl>
      <w:tblPr>
        <w:tblStyle w:val="20"/>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6"/>
        <w:gridCol w:w="2236"/>
        <w:gridCol w:w="1383"/>
        <w:gridCol w:w="1435"/>
        <w:gridCol w:w="1450"/>
        <w:gridCol w:w="1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71"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定额编号：[10229]1m3挖掘机自卸汽车运土（9-10km）（二类土）（挖装、运输、卸载、空回）              单位：100m</w:t>
            </w:r>
            <w:r>
              <w:rPr>
                <w:rFonts w:hint="eastAsia" w:ascii="宋体" w:hAnsi="宋体" w:eastAsia="宋体" w:cs="宋体"/>
                <w:i w:val="0"/>
                <w:iCs w:val="0"/>
                <w:color w:val="000000" w:themeColor="text1"/>
                <w:kern w:val="0"/>
                <w:sz w:val="18"/>
                <w:szCs w:val="18"/>
                <w:u w:val="none"/>
                <w:vertAlign w:val="superscript"/>
                <w:lang w:val="en-US" w:eastAsia="zh-CN" w:bidi="ar-SA"/>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2" w:hRule="atLeast"/>
        </w:trPr>
        <w:tc>
          <w:tcPr>
            <w:tcW w:w="1116" w:type="dxa"/>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ascii="华文仿宋" w:hAnsi="华文仿宋" w:eastAsia="华文仿宋" w:cs="华文仿宋"/>
                <w:i w:val="0"/>
                <w:iCs w:val="0"/>
                <w:color w:val="000000" w:themeColor="text1"/>
                <w:sz w:val="18"/>
                <w:szCs w:val="18"/>
                <w:u w:val="none"/>
                <w14:textFill>
                  <w14:solidFill>
                    <w14:schemeClr w14:val="tx1"/>
                  </w14:solidFill>
                </w14:textFill>
              </w:rPr>
            </w:pPr>
            <w:r>
              <w:rPr>
                <w:rFonts w:hint="eastAsia" w:ascii="华文仿宋" w:hAnsi="华文仿宋" w:eastAsia="华文仿宋" w:cs="华文仿宋"/>
                <w:i w:val="0"/>
                <w:iCs w:val="0"/>
                <w:color w:val="000000" w:themeColor="text1"/>
                <w:kern w:val="0"/>
                <w:sz w:val="18"/>
                <w:szCs w:val="18"/>
                <w:u w:val="none"/>
                <w:lang w:val="en-US" w:eastAsia="zh-CN" w:bidi="ar"/>
                <w14:textFill>
                  <w14:solidFill>
                    <w14:schemeClr w14:val="tx1"/>
                  </w14:solidFill>
                </w14:textFill>
              </w:rPr>
              <w:t>工作内容：</w:t>
            </w:r>
          </w:p>
        </w:tc>
        <w:tc>
          <w:tcPr>
            <w:tcW w:w="7955" w:type="dxa"/>
            <w:gridSpan w:val="5"/>
            <w:tcBorders>
              <w:top w:val="single" w:color="auto" w:sz="4" w:space="0"/>
              <w:left w:val="single" w:color="auto" w:sz="4" w:space="0"/>
              <w:bottom w:val="single" w:color="auto"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挖装、运输、卸除、空回（一、二类土）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项目名称</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单位</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单价</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2750.58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一</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直接工程费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2750.58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人工费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甲类工</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109.28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乙类工</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工日</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0.9</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99.59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89.63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其他费用</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0.8</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100.56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材料费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施工机械使用费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元</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2553.64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挖掘机油动1m</w:t>
            </w:r>
            <w:r>
              <w:rPr>
                <w:rStyle w:val="40"/>
                <w:rFonts w:eastAsia="宋体"/>
                <w:color w:val="000000" w:themeColor="text1"/>
                <w:vertAlign w:val="superscript"/>
                <w:lang w:bidi="ar"/>
                <w14:textFill>
                  <w14:solidFill>
                    <w14:schemeClr w14:val="tx1"/>
                  </w14:solidFill>
                </w14:textFill>
              </w:rPr>
              <w:t>3</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0.22</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878.97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193.37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推土机59kw</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0.16</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492.02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78.72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自卸汽车10t</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台班</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3.27</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691.52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2261.27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 xml:space="preserve"> </w:t>
            </w:r>
            <w:r>
              <w:rPr>
                <w:rFonts w:hint="eastAsia" w:ascii="宋体" w:hAnsi="宋体" w:eastAsia="宋体" w:cs="宋体"/>
                <w:i w:val="0"/>
                <w:iCs w:val="0"/>
                <w:color w:val="000000" w:themeColor="text1"/>
                <w:kern w:val="0"/>
                <w:sz w:val="18"/>
                <w:szCs w:val="18"/>
                <w:u w:val="none"/>
                <w:lang w:val="en-US" w:eastAsia="zh-CN" w:bidi="ar-SA"/>
                <w14:textFill>
                  <w14:solidFill>
                    <w14:schemeClr w14:val="tx1"/>
                  </w14:solidFill>
                </w14:textFill>
              </w:rPr>
              <w:t>其他机械费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0.8</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2533.37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20.27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r>
              <w:rPr>
                <w:rFonts w:ascii="仿宋_GB2312" w:hAnsi="Times New Roman" w:eastAsia="仿宋_GB2312" w:cs="仿宋_GB2312"/>
                <w:i w:val="0"/>
                <w:iCs w:val="0"/>
                <w:color w:val="000000" w:themeColor="text1"/>
                <w:kern w:val="0"/>
                <w:sz w:val="18"/>
                <w:szCs w:val="18"/>
                <w:u w:val="none"/>
                <w:lang w:val="en-US" w:eastAsia="zh-CN" w:bidi="ar-SA"/>
                <w14:textFill>
                  <w14:solidFill>
                    <w14:schemeClr w14:val="tx1"/>
                  </w14:solidFill>
                </w14:textFill>
              </w:rPr>
              <w:t>二</w:t>
            </w: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措施费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2655.00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95.58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间接费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2750.58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137.53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利润</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2888.11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86.64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739.01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价差</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739.01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柴油</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739.01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挖掘机油动1m</w:t>
            </w:r>
            <w:r>
              <w:rPr>
                <w:rStyle w:val="40"/>
                <w:rFonts w:eastAsia="宋体"/>
                <w:color w:val="000000" w:themeColor="text1"/>
                <w:vertAlign w:val="superscript"/>
                <w:lang w:bidi="ar"/>
                <w14:textFill>
                  <w14:solidFill>
                    <w14:schemeClr w14:val="tx1"/>
                  </w14:solidFill>
                </w14:textFill>
              </w:rPr>
              <w:t>3</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15.84</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59.67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SA"/>
                <w14:textFill>
                  <w14:solidFill>
                    <w14:schemeClr w14:val="tx1"/>
                  </w14:solidFill>
                </w14:textFill>
              </w:rPr>
              <w:t>推土机59kw</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7.04</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26.52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自卸汽车10t</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kg</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173.31</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3.77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652.82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116" w:type="dxa"/>
            <w:tcBorders>
              <w:top w:val="nil"/>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w:t>
            </w:r>
          </w:p>
        </w:tc>
        <w:tc>
          <w:tcPr>
            <w:tcW w:w="2236"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税金</w:t>
            </w:r>
          </w:p>
        </w:tc>
        <w:tc>
          <w:tcPr>
            <w:tcW w:w="1383"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1435"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1450"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3713.76 </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334.24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7620"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合计</w:t>
            </w:r>
          </w:p>
        </w:tc>
        <w:tc>
          <w:tcPr>
            <w:tcW w:w="1451" w:type="dxa"/>
            <w:tcBorders>
              <w:top w:val="nil"/>
              <w:left w:val="nil"/>
              <w:bottom w:val="single" w:color="auto" w:sz="4" w:space="0"/>
              <w:right w:val="single" w:color="auto" w:sz="4" w:space="0"/>
            </w:tcBorders>
            <w:shd w:val="clear" w:color="000000"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4048.00 </w:t>
            </w:r>
          </w:p>
        </w:tc>
      </w:tr>
    </w:tbl>
    <w:p>
      <w:pPr>
        <w:keepNext w:val="0"/>
        <w:keepLines w:val="0"/>
        <w:widowControl/>
        <w:suppressLineNumbers w:val="0"/>
        <w:jc w:val="center"/>
        <w:textAlignment w:val="center"/>
        <w:rPr>
          <w:rFonts w:hint="default" w:ascii="仿宋_GB2312" w:hAnsi="宋体" w:eastAsia="仿宋_GB2312" w:cs="仿宋_GB2312"/>
          <w:i w:val="0"/>
          <w:iCs w:val="0"/>
          <w:color w:val="000000" w:themeColor="text1"/>
          <w:kern w:val="0"/>
          <w:sz w:val="18"/>
          <w:szCs w:val="18"/>
          <w:u w:val="none"/>
          <w:lang w:val="en-US" w:eastAsia="zh-CN" w:bidi="ar"/>
          <w14:textFill>
            <w14:solidFill>
              <w14:schemeClr w14:val="tx1"/>
            </w14:solidFill>
          </w14:textFill>
        </w:rPr>
      </w:pPr>
    </w:p>
    <w:p>
      <w:pPr>
        <w:pStyle w:val="8"/>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8"/>
        <w:rPr>
          <w:rFonts w:hint="default"/>
          <w:color w:val="000000" w:themeColor="text1"/>
          <w:lang w:val="en-US" w:eastAsia="zh-CN"/>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eastAsia="仿宋_GB2312"/>
          <w:b w:val="0"/>
          <w:bCs w:val="0"/>
          <w:color w:val="000000" w:themeColor="text1"/>
          <w:sz w:val="32"/>
          <w:szCs w:val="32"/>
          <w14:textFill>
            <w14:solidFill>
              <w14:schemeClr w14:val="tx1"/>
            </w14:solidFill>
          </w14:textFill>
        </w:rPr>
      </w:pPr>
    </w:p>
    <w:p>
      <w:pPr>
        <w:pStyle w:val="4"/>
        <w:pageBreakBefore w:val="0"/>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eastAsia="仿宋_GB2312"/>
          <w:b w:val="0"/>
          <w:bCs w:val="0"/>
          <w:color w:val="000000" w:themeColor="text1"/>
          <w:sz w:val="32"/>
          <w:szCs w:val="32"/>
          <w14:textFill>
            <w14:solidFill>
              <w14:schemeClr w14:val="tx1"/>
            </w14:solidFill>
          </w14:textFill>
        </w:rPr>
        <w:br w:type="page"/>
      </w:r>
      <w:bookmarkStart w:id="206" w:name="_Toc28717"/>
      <w:r>
        <w:rPr>
          <w:rFonts w:hint="eastAsia" w:eastAsia="仿宋_GB2312"/>
          <w:b w:val="0"/>
          <w:bCs w:val="0"/>
          <w:color w:val="000000" w:themeColor="text1"/>
          <w:sz w:val="32"/>
          <w:szCs w:val="32"/>
          <w14:textFill>
            <w14:solidFill>
              <w14:schemeClr w14:val="tx1"/>
            </w14:solidFill>
          </w14:textFill>
        </w:rPr>
        <w:t>8</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土地复垦工作计划安排</w:t>
      </w:r>
      <w:bookmarkEnd w:id="205"/>
      <w:bookmarkEnd w:id="206"/>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cs="黑体"/>
          <w:b w:val="0"/>
          <w:color w:val="000000" w:themeColor="text1"/>
          <w:sz w:val="30"/>
          <w:szCs w:val="30"/>
          <w14:textFill>
            <w14:solidFill>
              <w14:schemeClr w14:val="tx1"/>
            </w14:solidFill>
          </w14:textFill>
        </w:rPr>
      </w:pPr>
      <w:bookmarkStart w:id="207" w:name="_Toc27801"/>
      <w:bookmarkStart w:id="208" w:name="_Toc3845"/>
      <w:r>
        <w:rPr>
          <w:rFonts w:hint="eastAsia" w:ascii="Times New Roman" w:hAnsi="Times New Roman" w:eastAsia="仿宋_GB2312"/>
          <w:b w:val="0"/>
          <w:color w:val="000000" w:themeColor="text1"/>
          <w:sz w:val="30"/>
          <w:szCs w:val="30"/>
          <w14:textFill>
            <w14:solidFill>
              <w14:schemeClr w14:val="tx1"/>
            </w14:solidFill>
          </w14:textFill>
        </w:rPr>
        <w:t>8</w:t>
      </w:r>
      <w:r>
        <w:rPr>
          <w:rFonts w:ascii="Times New Roman" w:hAnsi="Times New Roman" w:eastAsia="仿宋_GB2312"/>
          <w:b w:val="0"/>
          <w:color w:val="000000" w:themeColor="text1"/>
          <w:sz w:val="30"/>
          <w:szCs w:val="30"/>
          <w14:textFill>
            <w14:solidFill>
              <w14:schemeClr w14:val="tx1"/>
            </w14:solidFill>
          </w14:textFill>
        </w:rPr>
        <w:t>.1</w:t>
      </w:r>
      <w:r>
        <w:rPr>
          <w:rFonts w:hint="eastAsia" w:ascii="黑体" w:hAnsi="黑体" w:cs="黑体"/>
          <w:b w:val="0"/>
          <w:color w:val="000000" w:themeColor="text1"/>
          <w:sz w:val="30"/>
          <w:szCs w:val="30"/>
          <w14:textFill>
            <w14:solidFill>
              <w14:schemeClr w14:val="tx1"/>
            </w14:solidFill>
          </w14:textFill>
        </w:rPr>
        <w:t xml:space="preserve"> 土地复垦服务年限</w:t>
      </w:r>
      <w:bookmarkEnd w:id="207"/>
      <w:bookmarkEnd w:id="208"/>
    </w:p>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olor w:val="000000" w:themeColor="text1"/>
          <w:sz w:val="24"/>
          <w:lang w:eastAsia="zh-CN"/>
          <w14:textFill>
            <w14:solidFill>
              <w14:schemeClr w14:val="tx1"/>
            </w14:solidFill>
          </w14:textFill>
        </w:rPr>
      </w:pPr>
      <w:bookmarkStart w:id="209" w:name="_Toc24953"/>
      <w:bookmarkStart w:id="210" w:name="_Toc14147"/>
      <w:r>
        <w:rPr>
          <w:rFonts w:hint="default" w:ascii="Times New Roman" w:hAnsi="Times New Roman" w:eastAsia="仿宋_GB2312" w:cs="Times New Roman"/>
          <w:color w:val="000000" w:themeColor="text1"/>
          <w:sz w:val="24"/>
          <w14:textFill>
            <w14:solidFill>
              <w14:schemeClr w14:val="tx1"/>
            </w14:solidFill>
          </w14:textFill>
        </w:rPr>
        <w:t>该项目为</w:t>
      </w:r>
      <w:r>
        <w:rPr>
          <w:rFonts w:hint="eastAsia" w:eastAsia="仿宋_GB2312" w:cs="Times New Roman"/>
          <w:color w:val="000000" w:themeColor="text1"/>
          <w:sz w:val="24"/>
          <w:lang w:eastAsia="zh-CN"/>
          <w14:textFill>
            <w14:solidFill>
              <w14:schemeClr w14:val="tx1"/>
            </w14:solidFill>
          </w14:textFill>
        </w:rPr>
        <w:t>加固水利设施类项目</w:t>
      </w:r>
      <w:r>
        <w:rPr>
          <w:rFonts w:hint="default" w:ascii="Times New Roman" w:hAnsi="Times New Roman" w:eastAsia="仿宋_GB2312" w:cs="Times New Roman"/>
          <w:color w:val="000000" w:themeColor="text1"/>
          <w:sz w:val="24"/>
          <w14:textFill>
            <w14:solidFill>
              <w14:schemeClr w14:val="tx1"/>
            </w14:solidFill>
          </w14:textFill>
        </w:rPr>
        <w:t>，参照《土地复垦条例（2011年3月）》及《土地复垦方案编制规程-第6部分：建设项目</w:t>
      </w:r>
      <w:r>
        <w:rPr>
          <w:rFonts w:hint="default" w:ascii="Times New Roman" w:hAnsi="Times New Roman" w:eastAsia="仿宋_GB2312" w:cs="Times New Roman"/>
          <w:color w:val="000000" w:themeColor="text1"/>
          <w:sz w:val="24"/>
          <w:lang w:eastAsia="zh-CN"/>
          <w14:textFill>
            <w14:solidFill>
              <w14:schemeClr w14:val="tx1"/>
            </w14:solidFill>
          </w14:textFill>
        </w:rPr>
        <w:t>》编制要求，此复垦方案的服务年限为临时用地期限。根据《</w:t>
      </w:r>
      <w:r>
        <w:rPr>
          <w:rFonts w:hint="eastAsia" w:eastAsia="仿宋_GB2312" w:cs="Times New Roman"/>
          <w:color w:val="000000" w:themeColor="text1"/>
          <w:sz w:val="24"/>
          <w:lang w:eastAsia="zh-CN"/>
          <w14:textFill>
            <w14:solidFill>
              <w14:schemeClr w14:val="tx1"/>
            </w14:solidFill>
          </w14:textFill>
        </w:rPr>
        <w:t>新疆克孜河大桥渠首除险加固工程可行性研究报告</w:t>
      </w:r>
      <w:r>
        <w:rPr>
          <w:rFonts w:hint="default" w:ascii="Times New Roman" w:hAnsi="Times New Roman" w:eastAsia="仿宋_GB2312" w:cs="Times New Roman"/>
          <w:color w:val="000000" w:themeColor="text1"/>
          <w:sz w:val="24"/>
          <w:lang w:eastAsia="zh-CN"/>
          <w14:textFill>
            <w14:solidFill>
              <w14:schemeClr w14:val="tx1"/>
            </w14:solidFill>
          </w14:textFill>
        </w:rPr>
        <w:t>》可知，</w:t>
      </w: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default" w:ascii="Times New Roman" w:hAnsi="Times New Roman" w:eastAsia="仿宋_GB2312" w:cs="Times New Roman"/>
          <w:color w:val="000000" w:themeColor="text1"/>
          <w:sz w:val="24"/>
          <w:lang w:eastAsia="zh-CN"/>
          <w14:textFill>
            <w14:solidFill>
              <w14:schemeClr w14:val="tx1"/>
            </w14:solidFill>
          </w14:textFill>
        </w:rPr>
        <w:t>施工总工期为</w:t>
      </w:r>
      <w:r>
        <w:rPr>
          <w:rFonts w:hint="eastAsia" w:eastAsia="仿宋_GB2312" w:cs="Times New Roman"/>
          <w:color w:val="000000" w:themeColor="text1"/>
          <w:sz w:val="24"/>
          <w:lang w:val="en-US" w:eastAsia="zh-CN"/>
          <w14:textFill>
            <w14:solidFill>
              <w14:schemeClr w14:val="tx1"/>
            </w14:solidFill>
          </w14:textFill>
        </w:rPr>
        <w:t>24个月</w:t>
      </w:r>
      <w:r>
        <w:rPr>
          <w:rFonts w:hint="default" w:ascii="Times New Roman" w:hAnsi="Times New Roman" w:eastAsia="仿宋_GB2312" w:cs="Times New Roman"/>
          <w:color w:val="000000" w:themeColor="text1"/>
          <w:sz w:val="24"/>
          <w:lang w:val="zh-CN" w:eastAsia="zh-CN"/>
          <w14:textFill>
            <w14:solidFill>
              <w14:schemeClr w14:val="tx1"/>
            </w14:solidFill>
          </w14:textFill>
        </w:rPr>
        <w:t>。</w:t>
      </w:r>
      <w:r>
        <w:rPr>
          <w:rFonts w:hint="eastAsia" w:ascii="Times New Roman" w:hAnsi="Times New Roman" w:eastAsia="仿宋_GB2312" w:cs="Times New Roman"/>
          <w:color w:val="000000" w:themeColor="text1"/>
          <w:sz w:val="24"/>
          <w:lang w:val="zh-CN" w:eastAsia="zh-CN"/>
          <w14:textFill>
            <w14:solidFill>
              <w14:schemeClr w14:val="tx1"/>
            </w14:solidFill>
          </w14:textFill>
        </w:rPr>
        <w:t>自</w:t>
      </w:r>
      <w:r>
        <w:rPr>
          <w:rFonts w:hint="eastAsia" w:eastAsia="仿宋_GB2312" w:cs="Times New Roman"/>
          <w:color w:val="000000" w:themeColor="text1"/>
          <w:sz w:val="24"/>
          <w:lang w:val="en-US" w:eastAsia="zh-CN"/>
          <w14:textFill>
            <w14:solidFill>
              <w14:schemeClr w14:val="tx1"/>
            </w14:solidFill>
          </w14:textFill>
        </w:rPr>
        <w:t>2024年3月</w:t>
      </w:r>
      <w:r>
        <w:rPr>
          <w:rFonts w:hint="eastAsia" w:ascii="Times New Roman" w:hAnsi="Times New Roman" w:eastAsia="仿宋_GB2312" w:cs="Times New Roman"/>
          <w:color w:val="000000" w:themeColor="text1"/>
          <w:sz w:val="24"/>
          <w:lang w:val="zh-CN" w:eastAsia="zh-CN"/>
          <w14:textFill>
            <w14:solidFill>
              <w14:schemeClr w14:val="tx1"/>
            </w14:solidFill>
          </w14:textFill>
        </w:rPr>
        <w:t>底，完成施工前期准备工作及项目施工招标。从</w:t>
      </w:r>
      <w:r>
        <w:rPr>
          <w:rFonts w:hint="eastAsia" w:eastAsia="仿宋_GB2312" w:cs="Times New Roman"/>
          <w:color w:val="000000" w:themeColor="text1"/>
          <w:sz w:val="24"/>
          <w:lang w:val="en-US" w:eastAsia="zh-CN"/>
          <w14:textFill>
            <w14:solidFill>
              <w14:schemeClr w14:val="tx1"/>
            </w14:solidFill>
          </w14:textFill>
        </w:rPr>
        <w:t>2024年4月初</w:t>
      </w:r>
      <w:r>
        <w:rPr>
          <w:rFonts w:hint="eastAsia" w:ascii="Times New Roman" w:hAnsi="Times New Roman" w:eastAsia="仿宋_GB2312" w:cs="Times New Roman"/>
          <w:color w:val="000000" w:themeColor="text1"/>
          <w:sz w:val="24"/>
          <w:lang w:val="zh-CN" w:eastAsia="zh-CN"/>
          <w14:textFill>
            <w14:solidFill>
              <w14:schemeClr w14:val="tx1"/>
            </w14:solidFill>
          </w14:textFill>
        </w:rPr>
        <w:t>开始，至</w:t>
      </w:r>
      <w:r>
        <w:rPr>
          <w:rFonts w:hint="eastAsia" w:eastAsia="仿宋_GB2312" w:cs="Times New Roman"/>
          <w:color w:val="000000" w:themeColor="text1"/>
          <w:sz w:val="24"/>
          <w:lang w:val="en-US" w:eastAsia="zh-CN"/>
          <w14:textFill>
            <w14:solidFill>
              <w14:schemeClr w14:val="tx1"/>
            </w14:solidFill>
          </w14:textFill>
        </w:rPr>
        <w:t>2026年3月中旬</w:t>
      </w:r>
      <w:r>
        <w:rPr>
          <w:rFonts w:hint="eastAsia" w:ascii="Times New Roman" w:hAnsi="Times New Roman" w:eastAsia="仿宋_GB2312" w:cs="Times New Roman"/>
          <w:color w:val="000000" w:themeColor="text1"/>
          <w:sz w:val="24"/>
          <w:lang w:val="zh-CN" w:eastAsia="zh-CN"/>
          <w14:textFill>
            <w14:solidFill>
              <w14:schemeClr w14:val="tx1"/>
            </w14:solidFill>
          </w14:textFill>
        </w:rPr>
        <w:t>完成施工，</w:t>
      </w:r>
      <w:r>
        <w:rPr>
          <w:rFonts w:hint="eastAsia" w:eastAsia="仿宋_GB2312" w:cs="Times New Roman"/>
          <w:color w:val="000000" w:themeColor="text1"/>
          <w:sz w:val="24"/>
          <w:lang w:eastAsia="zh-CN"/>
          <w14:textFill>
            <w14:solidFill>
              <w14:schemeClr w14:val="tx1"/>
            </w14:solidFill>
          </w14:textFill>
        </w:rPr>
        <w:t>2026年3月</w:t>
      </w:r>
      <w:r>
        <w:rPr>
          <w:rFonts w:hint="eastAsia" w:eastAsia="仿宋_GB2312" w:cs="Times New Roman"/>
          <w:color w:val="000000" w:themeColor="text1"/>
          <w:sz w:val="24"/>
          <w:lang w:val="en-US" w:eastAsia="zh-CN"/>
          <w14:textFill>
            <w14:solidFill>
              <w14:schemeClr w14:val="tx1"/>
            </w14:solidFill>
          </w14:textFill>
        </w:rPr>
        <w:t>底</w:t>
      </w:r>
      <w:r>
        <w:rPr>
          <w:rFonts w:hint="eastAsia" w:ascii="Times New Roman" w:hAnsi="Times New Roman" w:eastAsia="仿宋_GB2312" w:cs="Times New Roman"/>
          <w:color w:val="000000" w:themeColor="text1"/>
          <w:sz w:val="24"/>
          <w:lang w:val="zh-CN" w:eastAsia="zh-CN"/>
          <w14:textFill>
            <w14:solidFill>
              <w14:schemeClr w14:val="tx1"/>
            </w14:solidFill>
          </w14:textFill>
        </w:rPr>
        <w:t>，完成工程的竣工验收工作。</w:t>
      </w:r>
      <w:r>
        <w:rPr>
          <w:rFonts w:hint="default" w:ascii="Times New Roman" w:hAnsi="Times New Roman" w:eastAsia="仿宋_GB2312" w:cs="Times New Roman"/>
          <w:color w:val="000000" w:themeColor="text1"/>
          <w:sz w:val="24"/>
          <w:lang w:eastAsia="zh-CN"/>
          <w14:textFill>
            <w14:solidFill>
              <w14:schemeClr w14:val="tx1"/>
            </w14:solidFill>
          </w14:textFill>
        </w:rPr>
        <w:t>土地复垦工程</w:t>
      </w:r>
      <w:r>
        <w:rPr>
          <w:rFonts w:hint="eastAsia" w:ascii="Times New Roman" w:hAnsi="Times New Roman" w:eastAsia="仿宋_GB2312" w:cs="Times New Roman"/>
          <w:color w:val="000000" w:themeColor="text1"/>
          <w:sz w:val="24"/>
          <w:lang w:val="en-US" w:eastAsia="zh-CN"/>
          <w14:textFill>
            <w14:solidFill>
              <w14:schemeClr w14:val="tx1"/>
            </w14:solidFill>
          </w14:textFill>
        </w:rPr>
        <w:t>施工期</w:t>
      </w:r>
      <w:r>
        <w:rPr>
          <w:rFonts w:hint="eastAsia" w:eastAsia="仿宋_GB2312" w:cs="Times New Roman"/>
          <w:color w:val="000000" w:themeColor="text1"/>
          <w:sz w:val="24"/>
          <w:lang w:val="en-US" w:eastAsia="zh-CN"/>
          <w14:textFill>
            <w14:solidFill>
              <w14:schemeClr w14:val="tx1"/>
            </w14:solidFill>
          </w14:textFill>
        </w:rPr>
        <w:t>2026年4月-2026年7月</w:t>
      </w:r>
      <w:r>
        <w:rPr>
          <w:rFonts w:hint="default" w:ascii="Times New Roman" w:hAnsi="Times New Roman" w:eastAsia="仿宋_GB2312" w:cs="Times New Roman"/>
          <w:color w:val="000000" w:themeColor="text1"/>
          <w:sz w:val="24"/>
          <w:lang w:eastAsia="zh-CN"/>
          <w14:textFill>
            <w14:solidFill>
              <w14:schemeClr w14:val="tx1"/>
            </w14:solidFill>
          </w14:textFill>
        </w:rPr>
        <w:t>，因此该</w:t>
      </w:r>
      <w:r>
        <w:rPr>
          <w:rFonts w:hint="eastAsia" w:eastAsia="仿宋_GB2312" w:cs="Times New Roman"/>
          <w:color w:val="000000" w:themeColor="text1"/>
          <w:sz w:val="24"/>
          <w:lang w:eastAsia="zh-CN"/>
          <w14:textFill>
            <w14:solidFill>
              <w14:schemeClr w14:val="tx1"/>
            </w14:solidFill>
          </w14:textFill>
        </w:rPr>
        <w:t>项目工程</w:t>
      </w:r>
      <w:r>
        <w:rPr>
          <w:rFonts w:hint="default" w:ascii="Times New Roman" w:hAnsi="Times New Roman" w:eastAsia="仿宋_GB2312" w:cs="Times New Roman"/>
          <w:color w:val="000000" w:themeColor="text1"/>
          <w:sz w:val="24"/>
          <w:lang w:eastAsia="zh-CN"/>
          <w14:textFill>
            <w14:solidFill>
              <w14:schemeClr w14:val="tx1"/>
            </w14:solidFill>
          </w14:textFill>
        </w:rPr>
        <w:t>从建设到土地复垦工作结束共用时</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2024年4月-2029年7月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含增设</w:t>
      </w:r>
      <w:r>
        <w:rPr>
          <w:rFonts w:hint="eastAsia" w:eastAsia="仿宋_GB2312" w:cs="Times New Roman"/>
          <w:color w:val="000000" w:themeColor="text1"/>
          <w:sz w:val="24"/>
          <w:lang w:eastAsia="zh-CN"/>
          <w14:textFill>
            <w14:solidFill>
              <w14:schemeClr w14:val="tx1"/>
            </w14:solidFill>
          </w14:textFill>
        </w:rPr>
        <w:t>三年管护期</w:t>
      </w:r>
      <w:r>
        <w:rPr>
          <w:rFonts w:hint="default" w:ascii="Times New Roman" w:hAnsi="Times New Roman" w:eastAsia="仿宋_GB2312" w:cs="Times New Roman"/>
          <w:color w:val="000000" w:themeColor="text1"/>
          <w:sz w:val="24"/>
          <w:lang w:eastAsia="zh-CN"/>
          <w14:textFill>
            <w14:solidFill>
              <w14:schemeClr w14:val="tx1"/>
            </w14:solidFill>
          </w14:textFill>
        </w:rPr>
        <w:t>），故该</w:t>
      </w:r>
      <w:r>
        <w:rPr>
          <w:rFonts w:hint="default" w:ascii="Times New Roman" w:hAnsi="Times New Roman" w:eastAsia="仿宋_GB2312" w:cs="Times New Roman"/>
          <w:color w:val="000000" w:themeColor="text1"/>
          <w:sz w:val="24"/>
          <w:lang w:val="en-US" w:eastAsia="zh-CN"/>
          <w14:textFill>
            <w14:solidFill>
              <w14:schemeClr w14:val="tx1"/>
            </w14:solidFill>
          </w14:textFill>
        </w:rPr>
        <w:t>土地复垦</w:t>
      </w:r>
      <w:r>
        <w:rPr>
          <w:rFonts w:hint="default" w:ascii="Times New Roman" w:hAnsi="Times New Roman" w:eastAsia="仿宋_GB2312" w:cs="Times New Roman"/>
          <w:color w:val="000000" w:themeColor="text1"/>
          <w:sz w:val="24"/>
          <w:lang w:eastAsia="zh-CN"/>
          <w14:textFill>
            <w14:solidFill>
              <w14:schemeClr w14:val="tx1"/>
            </w14:solidFill>
          </w14:textFill>
        </w:rPr>
        <w:t>项目临时用地使用期为</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000000" w:themeColor="text1"/>
          <w:sz w:val="24"/>
          <w14:textFill>
            <w14:solidFill>
              <w14:schemeClr w14:val="tx1"/>
            </w14:solidFill>
          </w14:textFill>
        </w:rPr>
        <w:t>本复垦方案服务期限为</w:t>
      </w:r>
      <w:r>
        <w:rPr>
          <w:rFonts w:hint="eastAsia" w:eastAsia="仿宋_GB2312" w:cs="Times New Roman"/>
          <w:color w:val="000000" w:themeColor="text1"/>
          <w:sz w:val="24"/>
          <w:lang w:val="en-US" w:eastAsia="zh-CN"/>
          <w14:textFill>
            <w14:solidFill>
              <w14:schemeClr w14:val="tx1"/>
            </w14:solidFill>
          </w14:textFill>
        </w:rPr>
        <w:t>64个月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eastAsia="仿宋_GB2312" w:cs="Times New Roman"/>
          <w:color w:val="000000" w:themeColor="text1"/>
          <w:sz w:val="24"/>
          <w:lang w:eastAsia="zh-CN"/>
          <w14:textFill>
            <w14:solidFill>
              <w14:schemeClr w14:val="tx1"/>
            </w14:solidFill>
          </w14:textFill>
        </w:rPr>
        <w:t>2024年4月-2029年7月</w:t>
      </w:r>
      <w:r>
        <w:rPr>
          <w:rFonts w:hint="default" w:ascii="Times New Roman" w:hAnsi="Times New Roman" w:eastAsia="仿宋_GB2312" w:cs="Times New Roman"/>
          <w:color w:val="000000" w:themeColor="text1"/>
          <w:sz w:val="24"/>
          <w:lang w:eastAsia="zh-CN"/>
          <w14:textFill>
            <w14:solidFill>
              <w14:schemeClr w14:val="tx1"/>
            </w14:solidFill>
          </w14:textFill>
        </w:rPr>
        <w:t>，</w:t>
      </w:r>
      <w:r>
        <w:rPr>
          <w:rFonts w:hint="eastAsia" w:ascii="Times New Roman" w:hAnsi="Times New Roman" w:eastAsia="仿宋_GB2312" w:cs="Times New Roman"/>
          <w:color w:val="000000" w:themeColor="text1"/>
          <w:sz w:val="24"/>
          <w:lang w:eastAsia="zh-CN"/>
          <w14:textFill>
            <w14:solidFill>
              <w14:schemeClr w14:val="tx1"/>
            </w14:solidFill>
          </w14:textFill>
        </w:rPr>
        <w:t>含增设</w:t>
      </w:r>
      <w:r>
        <w:rPr>
          <w:rFonts w:hint="eastAsia" w:eastAsia="仿宋_GB2312" w:cs="Times New Roman"/>
          <w:color w:val="000000" w:themeColor="text1"/>
          <w:sz w:val="24"/>
          <w:lang w:eastAsia="zh-CN"/>
          <w14:textFill>
            <w14:solidFill>
              <w14:schemeClr w14:val="tx1"/>
            </w14:solidFill>
          </w14:textFill>
        </w:rPr>
        <w:t>三年管护期</w:t>
      </w:r>
      <w:r>
        <w:rPr>
          <w:rFonts w:hint="default" w:ascii="Times New Roman" w:hAnsi="Times New Roman" w:eastAsia="仿宋_GB2312" w:cs="Times New Roman"/>
          <w:color w:val="000000" w:themeColor="text1"/>
          <w:sz w:val="24"/>
          <w14:textFill>
            <w14:solidFill>
              <w14:schemeClr w14:val="tx1"/>
            </w14:solidFill>
          </w14:textFill>
        </w:rPr>
        <w:t>）。按照土地复垦服务年限的要求，复垦年限应与临时工程服务年限一致</w:t>
      </w:r>
      <w:r>
        <w:rPr>
          <w:rFonts w:hint="default" w:ascii="Times New Roman" w:hAnsi="Times New Roman" w:eastAsia="仿宋_GB2312" w:cs="Times New Roman"/>
          <w:color w:val="000000" w:themeColor="text1"/>
          <w:sz w:val="24"/>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cs="黑体"/>
          <w:b w:val="0"/>
          <w:color w:val="000000" w:themeColor="text1"/>
          <w:sz w:val="30"/>
          <w:szCs w:val="30"/>
          <w14:textFill>
            <w14:solidFill>
              <w14:schemeClr w14:val="tx1"/>
            </w14:solidFill>
          </w14:textFill>
        </w:rPr>
      </w:pPr>
      <w:r>
        <w:rPr>
          <w:rFonts w:hint="eastAsia" w:ascii="Times New Roman" w:hAnsi="Times New Roman" w:eastAsia="仿宋_GB2312"/>
          <w:b w:val="0"/>
          <w:color w:val="000000" w:themeColor="text1"/>
          <w:sz w:val="30"/>
          <w:szCs w:val="30"/>
          <w14:textFill>
            <w14:solidFill>
              <w14:schemeClr w14:val="tx1"/>
            </w14:solidFill>
          </w14:textFill>
        </w:rPr>
        <w:t>8</w:t>
      </w:r>
      <w:r>
        <w:rPr>
          <w:rFonts w:ascii="Times New Roman" w:hAnsi="Times New Roman" w:eastAsia="仿宋_GB2312"/>
          <w:b w:val="0"/>
          <w:color w:val="000000" w:themeColor="text1"/>
          <w:sz w:val="30"/>
          <w:szCs w:val="30"/>
          <w14:textFill>
            <w14:solidFill>
              <w14:schemeClr w14:val="tx1"/>
            </w14:solidFill>
          </w14:textFill>
        </w:rPr>
        <w:t xml:space="preserve">.2 </w:t>
      </w:r>
      <w:r>
        <w:rPr>
          <w:rFonts w:hint="eastAsia" w:ascii="黑体" w:hAnsi="黑体" w:cs="黑体"/>
          <w:b w:val="0"/>
          <w:color w:val="000000" w:themeColor="text1"/>
          <w:sz w:val="30"/>
          <w:szCs w:val="30"/>
          <w14:textFill>
            <w14:solidFill>
              <w14:schemeClr w14:val="tx1"/>
            </w14:solidFill>
          </w14:textFill>
        </w:rPr>
        <w:t>土地复垦工作安排</w:t>
      </w:r>
      <w:bookmarkEnd w:id="209"/>
      <w:bookmarkEnd w:id="210"/>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ascii="Times New Roman" w:hAnsi="Times New Roman" w:eastAsia="仿宋_GB2312" w:cs="Times New Roman"/>
          <w:color w:val="000000" w:themeColor="text1"/>
          <w:sz w:val="24"/>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新疆克孜河大桥渠首除险加固工程</w:t>
      </w:r>
      <w:r>
        <w:rPr>
          <w:rFonts w:hint="eastAsia" w:ascii="Times New Roman" w:hAnsi="Times New Roman" w:eastAsia="仿宋_GB2312" w:cs="Times New Roman"/>
          <w:color w:val="000000" w:themeColor="text1"/>
          <w:sz w:val="24"/>
          <w:lang w:eastAsia="zh-CN"/>
          <w14:textFill>
            <w14:solidFill>
              <w14:schemeClr w14:val="tx1"/>
            </w14:solidFill>
          </w14:textFill>
        </w:rPr>
        <w:t>临时用地土地复垦</w:t>
      </w:r>
      <w:r>
        <w:rPr>
          <w:rFonts w:hint="eastAsia" w:ascii="Times New Roman" w:hAnsi="Times New Roman" w:eastAsia="仿宋_GB2312" w:cs="Times New Roman"/>
          <w:color w:val="000000" w:themeColor="text1"/>
          <w:sz w:val="24"/>
          <w:lang w:val="en-US" w:eastAsia="zh-CN"/>
          <w14:textFill>
            <w14:solidFill>
              <w14:schemeClr w14:val="tx1"/>
            </w14:solidFill>
          </w14:textFill>
        </w:rPr>
        <w:t>工程由建设单位自行实施，</w:t>
      </w:r>
      <w:r>
        <w:rPr>
          <w:rFonts w:ascii="Times New Roman" w:hAnsi="Times New Roman" w:eastAsia="仿宋_GB2312" w:cs="Times New Roman"/>
          <w:color w:val="000000" w:themeColor="text1"/>
          <w:sz w:val="24"/>
          <w14:textFill>
            <w14:solidFill>
              <w14:schemeClr w14:val="tx1"/>
            </w14:solidFill>
          </w14:textFill>
        </w:rPr>
        <w:t>根据相关规定的临时用地服务年限和施工工艺、建设周期、生产活动对土地破坏的特点及区域，制定了土地复垦工作进度，以保证土地复垦目标的实现，复垦任务的完成以及资金的具体安排等。用地区土地复垦的原则是根据本用地计划、土地破坏预测情况，结合当地的土地利用规划合理安排复垦方案，建立起新的土地生态系统，对用地区的生态进行植被的恢复，维持生态现状。</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新疆克孜河大桥渠首除险加固工程</w:t>
      </w:r>
      <w:r>
        <w:rPr>
          <w:rFonts w:eastAsia="仿宋_GB2312"/>
          <w:color w:val="000000" w:themeColor="text1"/>
          <w:sz w:val="24"/>
          <w14:textFill>
            <w14:solidFill>
              <w14:schemeClr w14:val="tx1"/>
            </w14:solidFill>
          </w14:textFill>
        </w:rPr>
        <w:t>临时用地，对地表造成了不同程度的影响，考虑到用地区生态环境的脆弱性，对破坏的土地需要得到及时适当的治理。因此，本复垦方案针对上述特点在复垦时间及空间上进行了有针对性的规划。主要遵循下述原则：</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（1）合理安排复垦的时间和复垦的区域，使被破坏的土地及时得到恢复和利用；</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（2）统一规划，统筹安排的原则，结合用地区总体布置以及临时用地开采的进度，对用地区的土地复垦进行统一的规划，统筹安排各部门的协作关系，合理设计复垦方案；</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（3）因地制宜的原则。因地制宜，从实际出发，针对用地区生态系统的脆弱性，尽量保护周边原有绿色植被，以保护当地生态系统为主要目标。</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ascii="黑体" w:hAnsi="黑体" w:eastAsia="黑体"/>
          <w:b w:val="0"/>
          <w:bCs w:val="0"/>
          <w:color w:val="000000" w:themeColor="text1"/>
          <w:kern w:val="0"/>
          <w:szCs w:val="21"/>
          <w14:textFill>
            <w14:solidFill>
              <w14:schemeClr w14:val="tx1"/>
            </w14:solidFill>
          </w14:textFill>
        </w:rPr>
      </w:pPr>
      <w:r>
        <w:rPr>
          <w:rFonts w:eastAsia="仿宋_GB2312"/>
          <w:color w:val="000000" w:themeColor="text1"/>
          <w:sz w:val="24"/>
          <w14:textFill>
            <w14:solidFill>
              <w14:schemeClr w14:val="tx1"/>
            </w14:solidFill>
          </w14:textFill>
        </w:rPr>
        <w:t>根据</w:t>
      </w:r>
      <w:r>
        <w:rPr>
          <w:rFonts w:hint="eastAsia" w:eastAsia="仿宋_GB2312"/>
          <w:color w:val="000000" w:themeColor="text1"/>
          <w:sz w:val="24"/>
          <w:lang w:eastAsia="zh-CN"/>
          <w14:textFill>
            <w14:solidFill>
              <w14:schemeClr w14:val="tx1"/>
            </w14:solidFill>
          </w14:textFill>
        </w:rPr>
        <w:t>该项目</w:t>
      </w:r>
      <w:r>
        <w:rPr>
          <w:rFonts w:eastAsia="仿宋_GB2312"/>
          <w:color w:val="000000" w:themeColor="text1"/>
          <w:sz w:val="24"/>
          <w14:textFill>
            <w14:solidFill>
              <w14:schemeClr w14:val="tx1"/>
            </w14:solidFill>
          </w14:textFill>
        </w:rPr>
        <w:t>临时用地用地实际情况等因素确定各采区的土地复垦时间，安排土地复垦进度。复垦方案施工进度随用地时间到期为止（表</w:t>
      </w:r>
      <w:r>
        <w:rPr>
          <w:rFonts w:hint="eastAsia" w:eastAsia="仿宋_GB2312"/>
          <w:color w:val="000000" w:themeColor="text1"/>
          <w:sz w:val="24"/>
          <w14:textFill>
            <w14:solidFill>
              <w14:schemeClr w14:val="tx1"/>
            </w14:solidFill>
          </w14:textFill>
        </w:rPr>
        <w:t>8-</w:t>
      </w:r>
      <w:r>
        <w:rPr>
          <w:rFonts w:eastAsia="仿宋_GB2312"/>
          <w:color w:val="000000" w:themeColor="text1"/>
          <w:sz w:val="24"/>
          <w14:textFill>
            <w14:solidFill>
              <w14:schemeClr w14:val="tx1"/>
            </w14:solidFill>
          </w14:textFill>
        </w:rPr>
        <w:t>1）。</w:t>
      </w:r>
      <w:bookmarkStart w:id="211" w:name="_Toc2126"/>
    </w:p>
    <w:p>
      <w:pPr>
        <w:rPr>
          <w:rFonts w:ascii="黑体" w:hAnsi="黑体" w:eastAsia="黑体"/>
          <w:b w:val="0"/>
          <w:bCs w:val="0"/>
          <w:color w:val="000000" w:themeColor="text1"/>
          <w:kern w:val="0"/>
          <w:szCs w:val="21"/>
          <w14:textFill>
            <w14:solidFill>
              <w14:schemeClr w14:val="tx1"/>
            </w14:solidFill>
          </w14:textFill>
        </w:rPr>
      </w:pPr>
      <w:r>
        <w:rPr>
          <w:rFonts w:ascii="黑体" w:hAnsi="黑体" w:eastAsia="黑体"/>
          <w:b w:val="0"/>
          <w:bCs w:val="0"/>
          <w:color w:val="000000" w:themeColor="text1"/>
          <w:kern w:val="0"/>
          <w:szCs w:val="21"/>
          <w14:textFill>
            <w14:solidFill>
              <w14:schemeClr w14:val="tx1"/>
            </w14:solidFill>
          </w14:textFill>
        </w:rPr>
        <w:br w:type="page"/>
      </w:r>
    </w:p>
    <w:p>
      <w:pPr>
        <w:pageBreakBefore w:val="0"/>
        <w:kinsoku/>
        <w:wordWrap/>
        <w:overflowPunct/>
        <w:topLinePunct w:val="0"/>
        <w:autoSpaceDE/>
        <w:autoSpaceDN/>
        <w:bidi w:val="0"/>
        <w:adjustRightInd w:val="0"/>
        <w:snapToGrid w:val="0"/>
        <w:spacing w:line="360" w:lineRule="auto"/>
        <w:ind w:left="0" w:leftChars="0" w:right="0" w:rightChars="0"/>
        <w:jc w:val="center"/>
        <w:textAlignment w:val="auto"/>
        <w:rPr>
          <w:rFonts w:ascii="黑体" w:hAnsi="黑体" w:eastAsia="黑体"/>
          <w:b w:val="0"/>
          <w:bCs w:val="0"/>
          <w:color w:val="000000" w:themeColor="text1"/>
          <w:kern w:val="0"/>
          <w:szCs w:val="21"/>
          <w14:textFill>
            <w14:solidFill>
              <w14:schemeClr w14:val="tx1"/>
            </w14:solidFill>
          </w14:textFill>
        </w:rPr>
      </w:pPr>
      <w:r>
        <w:rPr>
          <w:rFonts w:ascii="黑体" w:hAnsi="黑体" w:eastAsia="黑体"/>
          <w:b w:val="0"/>
          <w:bCs w:val="0"/>
          <w:color w:val="000000" w:themeColor="text1"/>
          <w:kern w:val="0"/>
          <w:szCs w:val="21"/>
          <w14:textFill>
            <w14:solidFill>
              <w14:schemeClr w14:val="tx1"/>
            </w14:solidFill>
          </w14:textFill>
        </w:rPr>
        <w:t>表</w:t>
      </w:r>
      <w:r>
        <w:rPr>
          <w:rFonts w:hint="eastAsia" w:ascii="黑体" w:hAnsi="黑体" w:eastAsia="黑体"/>
          <w:b w:val="0"/>
          <w:bCs w:val="0"/>
          <w:color w:val="000000" w:themeColor="text1"/>
          <w:kern w:val="0"/>
          <w:szCs w:val="21"/>
          <w14:textFill>
            <w14:solidFill>
              <w14:schemeClr w14:val="tx1"/>
            </w14:solidFill>
          </w14:textFill>
        </w:rPr>
        <w:t>8</w:t>
      </w:r>
      <w:r>
        <w:rPr>
          <w:rFonts w:ascii="黑体" w:hAnsi="黑体" w:eastAsia="黑体"/>
          <w:b w:val="0"/>
          <w:bCs w:val="0"/>
          <w:color w:val="000000" w:themeColor="text1"/>
          <w:kern w:val="0"/>
          <w:szCs w:val="21"/>
          <w14:textFill>
            <w14:solidFill>
              <w14:schemeClr w14:val="tx1"/>
            </w14:solidFill>
          </w14:textFill>
        </w:rPr>
        <w:t>-1 土地复垦年度复垦计划安排表</w:t>
      </w:r>
    </w:p>
    <w:tbl>
      <w:tblPr>
        <w:tblStyle w:val="20"/>
        <w:tblW w:w="99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7"/>
        <w:gridCol w:w="2247"/>
        <w:gridCol w:w="4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82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黑体" w:hAnsi="黑体" w:eastAsia="黑体"/>
                <w:b/>
                <w:bCs/>
                <w:color w:val="000000" w:themeColor="text1"/>
                <w:kern w:val="0"/>
                <w:szCs w:val="21"/>
                <w14:textFill>
                  <w14:solidFill>
                    <w14:schemeClr w14:val="tx1"/>
                  </w14:solidFill>
                </w14:textFill>
              </w:rPr>
            </w:pPr>
            <w:r>
              <w:rPr>
                <w:rFonts w:eastAsia="仿宋_GB2312"/>
                <w:color w:val="000000" w:themeColor="text1"/>
                <w:szCs w:val="21"/>
                <w14:textFill>
                  <w14:solidFill>
                    <w14:schemeClr w14:val="tx1"/>
                  </w14:solidFill>
                </w14:textFill>
              </w:rPr>
              <w:t>复垦年度</w:t>
            </w:r>
          </w:p>
        </w:tc>
        <w:tc>
          <w:tcPr>
            <w:tcW w:w="717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黑体" w:hAnsi="黑体" w:eastAsia="黑体"/>
                <w:b/>
                <w:bCs/>
                <w:color w:val="000000" w:themeColor="text1"/>
                <w:kern w:val="0"/>
                <w:szCs w:val="21"/>
                <w14:textFill>
                  <w14:solidFill>
                    <w14:schemeClr w14:val="tx1"/>
                  </w14:solidFill>
                </w14:textFill>
              </w:rPr>
            </w:pPr>
            <w:r>
              <w:rPr>
                <w:rFonts w:eastAsia="仿宋_GB2312"/>
                <w:color w:val="000000" w:themeColor="text1"/>
                <w:szCs w:val="21"/>
                <w14:textFill>
                  <w14:solidFill>
                    <w14:schemeClr w14:val="tx1"/>
                  </w14:solidFill>
                </w14:textFill>
              </w:rPr>
              <w:t>复垦面积及具体复垦工程安排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8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黑体" w:hAnsi="黑体" w:eastAsia="黑体"/>
                <w:b/>
                <w:bCs/>
                <w:color w:val="000000" w:themeColor="text1"/>
                <w:kern w:val="0"/>
                <w:szCs w:val="21"/>
                <w14:textFill>
                  <w14:solidFill>
                    <w14:schemeClr w14:val="tx1"/>
                  </w14:solidFill>
                </w14:textFill>
              </w:rPr>
            </w:pPr>
          </w:p>
        </w:tc>
        <w:tc>
          <w:tcPr>
            <w:tcW w:w="2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黑体" w:hAnsi="黑体" w:eastAsia="黑体"/>
                <w:b/>
                <w:bCs/>
                <w:color w:val="000000" w:themeColor="text1"/>
                <w:kern w:val="0"/>
                <w:szCs w:val="21"/>
                <w14:textFill>
                  <w14:solidFill>
                    <w14:schemeClr w14:val="tx1"/>
                  </w14:solidFill>
                </w14:textFill>
              </w:rPr>
            </w:pPr>
            <w:r>
              <w:rPr>
                <w:rFonts w:eastAsia="仿宋_GB2312"/>
                <w:color w:val="000000" w:themeColor="text1"/>
                <w:szCs w:val="21"/>
                <w14:textFill>
                  <w14:solidFill>
                    <w14:schemeClr w14:val="tx1"/>
                  </w14:solidFill>
                </w14:textFill>
              </w:rPr>
              <w:t>复垦目标</w:t>
            </w:r>
          </w:p>
        </w:tc>
        <w:tc>
          <w:tcPr>
            <w:tcW w:w="4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ascii="黑体" w:hAnsi="黑体" w:eastAsia="黑体"/>
                <w:b/>
                <w:bCs/>
                <w:color w:val="000000" w:themeColor="text1"/>
                <w:kern w:val="0"/>
                <w:szCs w:val="21"/>
                <w14:textFill>
                  <w14:solidFill>
                    <w14:schemeClr w14:val="tx1"/>
                  </w14:solidFill>
                </w14:textFill>
              </w:rPr>
            </w:pPr>
            <w:r>
              <w:rPr>
                <w:rFonts w:eastAsia="仿宋_GB2312"/>
                <w:color w:val="000000" w:themeColor="text1"/>
                <w:szCs w:val="21"/>
                <w14:textFill>
                  <w14:solidFill>
                    <w14:schemeClr w14:val="tx1"/>
                  </w14:solidFill>
                </w14:textFill>
              </w:rPr>
              <w:t>主要复垦措施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8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2024年4月-2026年3月</w:t>
            </w:r>
          </w:p>
        </w:tc>
        <w:tc>
          <w:tcPr>
            <w:tcW w:w="2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eastAsia="zh-CN"/>
                <w14:textFill>
                  <w14:solidFill>
                    <w14:schemeClr w14:val="tx1"/>
                  </w14:solidFill>
                </w14:textFill>
              </w:rPr>
            </w:pPr>
            <w:r>
              <w:rPr>
                <w:rFonts w:hint="eastAsia" w:ascii="Times New Roman" w:hAnsi="Times New Roman" w:eastAsia="仿宋_GB2312" w:cs="Times New Roman"/>
                <w:color w:val="000000" w:themeColor="text1"/>
                <w:szCs w:val="21"/>
                <w:lang w:eastAsia="zh-CN"/>
                <w14:textFill>
                  <w14:solidFill>
                    <w14:schemeClr w14:val="tx1"/>
                  </w14:solidFill>
                </w14:textFill>
              </w:rPr>
              <w:t>建设期仅进行复垦前期工作</w:t>
            </w:r>
          </w:p>
        </w:tc>
        <w:tc>
          <w:tcPr>
            <w:tcW w:w="4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themeColor="text1"/>
                <w:szCs w:val="21"/>
                <w:lang w:val="en-US"/>
                <w14:textFill>
                  <w14:solidFill>
                    <w14:schemeClr w14:val="tx1"/>
                  </w14:solidFill>
                </w14:textFill>
              </w:rPr>
            </w:pPr>
            <w:r>
              <w:rPr>
                <w:rFonts w:hint="eastAsia" w:ascii="Times New Roman" w:hAnsi="Times New Roman" w:eastAsia="仿宋_GB2312" w:cs="Times New Roman"/>
                <w:color w:val="000000" w:themeColor="text1"/>
                <w:szCs w:val="21"/>
                <w:lang w:eastAsia="zh-CN"/>
                <w14:textFill>
                  <w14:solidFill>
                    <w14:schemeClr w14:val="tx1"/>
                  </w14:solidFill>
                </w14:textFill>
              </w:rPr>
              <w:t>该阶段</w:t>
            </w:r>
            <w:r>
              <w:rPr>
                <w:rFonts w:hint="eastAsia" w:eastAsia="仿宋_GB2312" w:cs="Times New Roman"/>
                <w:color w:val="000000" w:themeColor="text1"/>
                <w:szCs w:val="21"/>
                <w:lang w:val="en-US" w:eastAsia="zh-CN"/>
                <w14:textFill>
                  <w14:solidFill>
                    <w14:schemeClr w14:val="tx1"/>
                  </w14:solidFill>
                </w14:textFill>
              </w:rPr>
              <w:t>进行表土剥离，</w:t>
            </w:r>
            <w:r>
              <w:rPr>
                <w:rFonts w:hint="eastAsia" w:ascii="Times New Roman" w:hAnsi="Times New Roman" w:eastAsia="仿宋_GB2312" w:cs="Times New Roman"/>
                <w:color w:val="000000" w:themeColor="text1"/>
                <w:szCs w:val="21"/>
                <w:lang w:eastAsia="zh-CN"/>
                <w14:textFill>
                  <w14:solidFill>
                    <w14:schemeClr w14:val="tx1"/>
                  </w14:solidFill>
                </w14:textFill>
              </w:rPr>
              <w:t>采取相关的预防控制措施，加强管理，严格按照设计施工，避免造成新的土地损毁</w:t>
            </w:r>
            <w:r>
              <w:rPr>
                <w:rFonts w:hint="eastAsia" w:eastAsia="仿宋_GB2312" w:cs="Times New Roman"/>
                <w:color w:val="000000" w:themeColor="text1"/>
                <w:szCs w:val="21"/>
                <w:lang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即进行土地损毁监测工作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8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val="en-US" w:eastAsia="zh-CN"/>
                <w14:textFill>
                  <w14:solidFill>
                    <w14:schemeClr w14:val="tx1"/>
                  </w14:solidFill>
                </w14:textFill>
              </w:rPr>
            </w:pPr>
            <w:r>
              <w:rPr>
                <w:rFonts w:hint="eastAsia" w:eastAsia="仿宋_GB2312" w:cs="Times New Roman"/>
                <w:color w:val="000000" w:themeColor="text1"/>
                <w:szCs w:val="21"/>
                <w:lang w:val="en-US" w:eastAsia="zh-CN"/>
                <w14:textFill>
                  <w14:solidFill>
                    <w14:schemeClr w14:val="tx1"/>
                  </w14:solidFill>
                </w14:textFill>
              </w:rPr>
              <w:t>2026年4月-2026年7月</w:t>
            </w:r>
          </w:p>
        </w:tc>
        <w:tc>
          <w:tcPr>
            <w:tcW w:w="2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仿宋_GB2312"/>
                <w:color w:val="000000" w:themeColor="text1"/>
                <w:kern w:val="2"/>
                <w:sz w:val="21"/>
                <w:szCs w:val="21"/>
                <w:lang w:val="en-US" w:eastAsia="zh-CN" w:bidi="ar-SA"/>
                <w14:textFill>
                  <w14:solidFill>
                    <w14:schemeClr w14:val="tx1"/>
                  </w14:solidFill>
                </w14:textFill>
              </w:rPr>
            </w:pPr>
            <w:r>
              <w:rPr>
                <w:rFonts w:eastAsia="仿宋_GB2312"/>
                <w:color w:val="000000" w:themeColor="text1"/>
                <w:szCs w:val="21"/>
                <w14:textFill>
                  <w14:solidFill>
                    <w14:schemeClr w14:val="tx1"/>
                  </w14:solidFill>
                </w14:textFill>
              </w:rPr>
              <w:t>复垦面积</w:t>
            </w:r>
            <w:r>
              <w:rPr>
                <w:rFonts w:hint="eastAsia" w:eastAsia="仿宋_GB2312"/>
                <w:color w:val="000000" w:themeColor="text1"/>
                <w:szCs w:val="21"/>
                <w:lang w:val="en-US" w:eastAsia="zh-CN"/>
                <w14:textFill>
                  <w14:solidFill>
                    <w14:schemeClr w14:val="tx1"/>
                  </w14:solidFill>
                </w14:textFill>
              </w:rPr>
              <w:t>8.0492</w:t>
            </w:r>
            <w:r>
              <w:rPr>
                <w:rFonts w:hint="eastAsia" w:eastAsia="仿宋_GB2312"/>
                <w:color w:val="000000" w:themeColor="text1"/>
                <w:szCs w:val="21"/>
                <w:lang w:eastAsia="zh-CN"/>
                <w14:textFill>
                  <w14:solidFill>
                    <w14:schemeClr w14:val="tx1"/>
                  </w14:solidFill>
                </w14:textFill>
              </w:rPr>
              <w:t>hm</w:t>
            </w:r>
            <w:r>
              <w:rPr>
                <w:rFonts w:hint="eastAsia" w:eastAsia="仿宋_GB2312"/>
                <w:color w:val="000000" w:themeColor="text1"/>
                <w:szCs w:val="21"/>
                <w:vertAlign w:val="superscript"/>
                <w:lang w:eastAsia="zh-CN"/>
                <w14:textFill>
                  <w14:solidFill>
                    <w14:schemeClr w14:val="tx1"/>
                  </w14:solidFill>
                </w14:textFill>
              </w:rPr>
              <w:t>2</w:t>
            </w:r>
          </w:p>
        </w:tc>
        <w:tc>
          <w:tcPr>
            <w:tcW w:w="4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eastAsia="zh-CN"/>
                <w14:textFill>
                  <w14:solidFill>
                    <w14:schemeClr w14:val="tx1"/>
                  </w14:solidFill>
                </w14:textFill>
              </w:rPr>
              <w:t>主要针对临时施工占地区域</w:t>
            </w:r>
            <w:r>
              <w:rPr>
                <w:rFonts w:hint="eastAsia" w:eastAsia="仿宋_GB2312" w:cs="Times New Roman"/>
                <w:color w:val="000000" w:themeColor="text1"/>
                <w:szCs w:val="21"/>
                <w:lang w:val="en-US" w:eastAsia="zh-CN"/>
                <w14:textFill>
                  <w14:solidFill>
                    <w14:schemeClr w14:val="tx1"/>
                  </w14:solidFill>
                </w14:textFill>
              </w:rPr>
              <w:t>机械拆除硬化物及外运、</w:t>
            </w:r>
            <w:r>
              <w:rPr>
                <w:rFonts w:hint="eastAsia" w:ascii="Times New Roman" w:hAnsi="Times New Roman" w:eastAsia="仿宋_GB2312" w:cs="Times New Roman"/>
                <w:color w:val="000000" w:themeColor="text1"/>
                <w:szCs w:val="21"/>
                <w:lang w:eastAsia="zh-CN"/>
                <w14:textFill>
                  <w14:solidFill>
                    <w14:schemeClr w14:val="tx1"/>
                  </w14:solidFill>
                </w14:textFill>
              </w:rPr>
              <w:t>土壤回覆、土地平整</w:t>
            </w:r>
            <w:r>
              <w:rPr>
                <w:rFonts w:hint="eastAsia" w:eastAsia="仿宋_GB2312" w:cs="Times New Roman"/>
                <w:color w:val="000000" w:themeColor="text1"/>
                <w:szCs w:val="21"/>
                <w:lang w:eastAsia="zh-CN"/>
                <w14:textFill>
                  <w14:solidFill>
                    <w14:schemeClr w14:val="tx1"/>
                  </w14:solidFill>
                </w14:textFill>
              </w:rPr>
              <w:t>、</w:t>
            </w:r>
            <w:r>
              <w:rPr>
                <w:rFonts w:hint="eastAsia" w:eastAsia="仿宋_GB2312" w:cs="Times New Roman"/>
                <w:color w:val="000000" w:themeColor="text1"/>
                <w:szCs w:val="21"/>
                <w:lang w:val="en-US" w:eastAsia="zh-CN"/>
                <w14:textFill>
                  <w14:solidFill>
                    <w14:schemeClr w14:val="tx1"/>
                  </w14:solidFill>
                </w14:textFill>
              </w:rPr>
              <w:t>土地翻耕、土壤培肥</w:t>
            </w:r>
            <w:r>
              <w:rPr>
                <w:rFonts w:hint="eastAsia" w:ascii="Times New Roman" w:hAnsi="Times New Roman" w:eastAsia="仿宋_GB2312" w:cs="Times New Roman"/>
                <w:color w:val="000000" w:themeColor="text1"/>
                <w:szCs w:val="21"/>
                <w:lang w:eastAsia="zh-CN"/>
                <w14:textFill>
                  <w14:solidFill>
                    <w14:schemeClr w14:val="tx1"/>
                  </w14:solidFill>
                </w14:textFill>
              </w:rPr>
              <w:t>及</w:t>
            </w:r>
            <w:r>
              <w:rPr>
                <w:rFonts w:hint="eastAsia" w:eastAsia="仿宋_GB2312" w:cs="Times New Roman"/>
                <w:color w:val="000000" w:themeColor="text1"/>
                <w:szCs w:val="21"/>
                <w:lang w:val="en-US" w:eastAsia="zh-CN"/>
                <w14:textFill>
                  <w14:solidFill>
                    <w14:schemeClr w14:val="tx1"/>
                  </w14:solidFill>
                </w14:textFill>
              </w:rPr>
              <w:t>苗木栽植</w:t>
            </w:r>
            <w:r>
              <w:rPr>
                <w:rFonts w:hint="eastAsia" w:ascii="Times New Roman" w:hAnsi="Times New Roman" w:eastAsia="仿宋_GB2312" w:cs="Times New Roman"/>
                <w:color w:val="000000" w:themeColor="text1"/>
                <w:szCs w:val="21"/>
                <w:lang w:eastAsia="zh-CN"/>
                <w14:textFill>
                  <w14:solidFill>
                    <w14:schemeClr w14:val="tx1"/>
                  </w14:solidFill>
                </w14:textFill>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8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Cs w:val="21"/>
                <w:lang w:val="en-US" w:eastAsia="zh-CN"/>
                <w14:textFill>
                  <w14:solidFill>
                    <w14:schemeClr w14:val="tx1"/>
                  </w14:solidFill>
                </w14:textFill>
              </w:rPr>
              <w:t>202</w:t>
            </w:r>
            <w:r>
              <w:rPr>
                <w:rFonts w:hint="eastAsia" w:eastAsia="仿宋_GB2312" w:cs="Times New Roman"/>
                <w:color w:val="000000" w:themeColor="text1"/>
                <w:szCs w:val="21"/>
                <w:lang w:val="en-US" w:eastAsia="zh-CN"/>
                <w14:textFill>
                  <w14:solidFill>
                    <w14:schemeClr w14:val="tx1"/>
                  </w14:solidFill>
                </w14:textFill>
              </w:rPr>
              <w:t>6</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年</w:t>
            </w:r>
            <w:r>
              <w:rPr>
                <w:rFonts w:hint="eastAsia" w:eastAsia="仿宋_GB2312" w:cs="Times New Roman"/>
                <w:color w:val="000000" w:themeColor="text1"/>
                <w:szCs w:val="21"/>
                <w:lang w:val="en-US" w:eastAsia="zh-CN"/>
                <w14:textFill>
                  <w14:solidFill>
                    <w14:schemeClr w14:val="tx1"/>
                  </w14:solidFill>
                </w14:textFill>
              </w:rPr>
              <w:t>8</w:t>
            </w:r>
            <w:r>
              <w:rPr>
                <w:rFonts w:hint="eastAsia" w:ascii="Times New Roman" w:hAnsi="Times New Roman" w:eastAsia="仿宋_GB2312" w:cs="Times New Roman"/>
                <w:color w:val="000000" w:themeColor="text1"/>
                <w:szCs w:val="21"/>
                <w:lang w:val="en-US" w:eastAsia="zh-CN"/>
                <w14:textFill>
                  <w14:solidFill>
                    <w14:schemeClr w14:val="tx1"/>
                  </w14:solidFill>
                </w14:textFill>
              </w:rPr>
              <w:t>月</w:t>
            </w:r>
            <w:r>
              <w:rPr>
                <w:rFonts w:hint="eastAsia" w:eastAsia="仿宋_GB2312" w:cs="Times New Roman"/>
                <w:color w:val="000000" w:themeColor="text1"/>
                <w:szCs w:val="21"/>
                <w:lang w:val="en-US" w:eastAsia="zh-CN"/>
                <w14:textFill>
                  <w14:solidFill>
                    <w14:schemeClr w14:val="tx1"/>
                  </w14:solidFill>
                </w14:textFill>
              </w:rPr>
              <w:t>-2029年7月</w:t>
            </w:r>
          </w:p>
        </w:tc>
        <w:tc>
          <w:tcPr>
            <w:tcW w:w="2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仿宋_GB2312"/>
                <w:color w:val="000000" w:themeColor="text1"/>
                <w:szCs w:val="21"/>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管护</w:t>
            </w:r>
            <w:r>
              <w:rPr>
                <w:rFonts w:eastAsia="仿宋_GB2312"/>
                <w:color w:val="000000" w:themeColor="text1"/>
                <w:szCs w:val="21"/>
                <w14:textFill>
                  <w14:solidFill>
                    <w14:schemeClr w14:val="tx1"/>
                  </w14:solidFill>
                </w14:textFill>
              </w:rPr>
              <w:t>面积</w:t>
            </w:r>
            <w:r>
              <w:rPr>
                <w:rFonts w:hint="eastAsia" w:eastAsia="仿宋_GB2312"/>
                <w:color w:val="000000" w:themeColor="text1"/>
                <w:szCs w:val="21"/>
                <w:lang w:val="en-US" w:eastAsia="zh-CN"/>
                <w14:textFill>
                  <w14:solidFill>
                    <w14:schemeClr w14:val="tx1"/>
                  </w14:solidFill>
                </w14:textFill>
              </w:rPr>
              <w:t>8.0492</w:t>
            </w:r>
            <w:r>
              <w:rPr>
                <w:rFonts w:hint="eastAsia" w:eastAsia="仿宋_GB2312"/>
                <w:color w:val="000000" w:themeColor="text1"/>
                <w:szCs w:val="21"/>
                <w:lang w:eastAsia="zh-CN"/>
                <w14:textFill>
                  <w14:solidFill>
                    <w14:schemeClr w14:val="tx1"/>
                  </w14:solidFill>
                </w14:textFill>
              </w:rPr>
              <w:t>hm</w:t>
            </w:r>
            <w:r>
              <w:rPr>
                <w:rFonts w:hint="eastAsia" w:eastAsia="仿宋_GB2312"/>
                <w:color w:val="000000" w:themeColor="text1"/>
                <w:szCs w:val="21"/>
                <w:vertAlign w:val="superscript"/>
                <w:lang w:eastAsia="zh-CN"/>
                <w14:textFill>
                  <w14:solidFill>
                    <w14:schemeClr w14:val="tx1"/>
                  </w14:solidFill>
                </w14:textFill>
              </w:rPr>
              <w:t>2</w:t>
            </w:r>
          </w:p>
        </w:tc>
        <w:tc>
          <w:tcPr>
            <w:tcW w:w="4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Times New Roman" w:hAnsi="Times New Roman" w:eastAsia="仿宋_GB2312" w:cs="Times New Roman"/>
                <w:color w:val="000000" w:themeColor="text1"/>
                <w:szCs w:val="21"/>
                <w:lang w:eastAsia="zh-CN"/>
                <w14:textFill>
                  <w14:solidFill>
                    <w14:schemeClr w14:val="tx1"/>
                  </w14:solidFill>
                </w14:textFill>
              </w:rPr>
            </w:pPr>
            <w:r>
              <w:rPr>
                <w:rFonts w:hint="eastAsia" w:ascii="Times New Roman" w:hAnsi="Times New Roman" w:eastAsia="仿宋_GB2312" w:cs="Times New Roman"/>
                <w:color w:val="000000" w:themeColor="text1"/>
                <w:szCs w:val="21"/>
                <w:lang w:eastAsia="zh-CN"/>
                <w14:textFill>
                  <w14:solidFill>
                    <w14:schemeClr w14:val="tx1"/>
                  </w14:solidFill>
                </w14:textFill>
              </w:rPr>
              <w:t>主要针对临时施工占地区域</w:t>
            </w:r>
            <w:r>
              <w:rPr>
                <w:rFonts w:hint="eastAsia" w:ascii="Times New Roman" w:hAnsi="Times New Roman" w:eastAsia="仿宋_GB2312" w:cs="Times New Roman"/>
                <w:color w:val="000000" w:themeColor="text1"/>
                <w:szCs w:val="21"/>
                <w:lang w:val="en-US" w:eastAsia="zh-CN"/>
                <w14:textFill>
                  <w14:solidFill>
                    <w14:schemeClr w14:val="tx1"/>
                  </w14:solidFill>
                </w14:textFill>
              </w:rPr>
              <w:t>土壤的监测措施和</w:t>
            </w:r>
            <w:r>
              <w:rPr>
                <w:rFonts w:hint="eastAsia" w:eastAsia="仿宋_GB2312" w:cs="Times New Roman"/>
                <w:color w:val="000000" w:themeColor="text1"/>
                <w:szCs w:val="21"/>
                <w:lang w:val="en-US" w:eastAsia="zh-CN"/>
                <w14:textFill>
                  <w14:solidFill>
                    <w14:schemeClr w14:val="tx1"/>
                  </w14:solidFill>
                </w14:textFill>
              </w:rPr>
              <w:t>林地</w:t>
            </w:r>
            <w:r>
              <w:rPr>
                <w:rFonts w:hint="eastAsia" w:ascii="Times New Roman" w:hAnsi="Times New Roman" w:eastAsia="仿宋_GB2312" w:cs="Times New Roman"/>
                <w:color w:val="000000" w:themeColor="text1"/>
                <w:szCs w:val="21"/>
                <w:lang w:val="en-US" w:eastAsia="zh-CN"/>
                <w14:textFill>
                  <w14:solidFill>
                    <w14:schemeClr w14:val="tx1"/>
                  </w14:solidFill>
                </w14:textFill>
              </w:rPr>
              <w:t>抚育管理、</w:t>
            </w:r>
            <w:r>
              <w:rPr>
                <w:rFonts w:hint="eastAsia" w:eastAsia="仿宋_GB2312" w:cs="Times New Roman"/>
                <w:color w:val="000000" w:themeColor="text1"/>
                <w:szCs w:val="21"/>
                <w:lang w:val="en-US" w:eastAsia="zh-CN"/>
                <w14:textFill>
                  <w14:solidFill>
                    <w14:schemeClr w14:val="tx1"/>
                  </w14:solidFill>
                </w14:textFill>
              </w:rPr>
              <w:t>补植苗木</w:t>
            </w:r>
            <w:r>
              <w:rPr>
                <w:rFonts w:hint="eastAsia" w:ascii="Times New Roman" w:hAnsi="Times New Roman" w:eastAsia="仿宋_GB2312" w:cs="Times New Roman"/>
                <w:color w:val="000000" w:themeColor="text1"/>
                <w:szCs w:val="21"/>
                <w:lang w:val="en-US" w:eastAsia="zh-CN"/>
                <w14:textFill>
                  <w14:solidFill>
                    <w14:schemeClr w14:val="tx1"/>
                  </w14:solidFill>
                </w14:textFill>
              </w:rPr>
              <w:t>、浇水灌溉等管</w:t>
            </w:r>
            <w:r>
              <w:rPr>
                <w:rFonts w:hint="eastAsia" w:ascii="Times New Roman" w:hAnsi="Times New Roman" w:eastAsia="仿宋_GB2312" w:cs="Times New Roman"/>
                <w:color w:val="000000" w:themeColor="text1"/>
                <w:szCs w:val="21"/>
                <w:lang w:eastAsia="zh-CN"/>
                <w14:textFill>
                  <w14:solidFill>
                    <w14:schemeClr w14:val="tx1"/>
                  </w14:solidFill>
                </w14:textFill>
              </w:rPr>
              <w:t>护措施</w:t>
            </w:r>
          </w:p>
        </w:tc>
      </w:tr>
    </w:tbl>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ascii="Times New Roman" w:hAnsi="Times New Roman" w:eastAsia="仿宋_GB2312"/>
          <w:b w:val="0"/>
          <w:color w:val="000000" w:themeColor="text1"/>
          <w:sz w:val="30"/>
          <w:szCs w:val="30"/>
          <w14:textFill>
            <w14:solidFill>
              <w14:schemeClr w14:val="tx1"/>
            </w14:solidFill>
          </w14:textFill>
        </w:rPr>
      </w:pPr>
      <w:bookmarkStart w:id="212" w:name="_Toc25725"/>
      <w:bookmarkStart w:id="213" w:name="_Toc15111"/>
      <w:bookmarkStart w:id="214" w:name="_Toc19117"/>
      <w:bookmarkStart w:id="215" w:name="_Toc13264"/>
      <w:r>
        <w:rPr>
          <w:rFonts w:hint="eastAsia" w:ascii="Times New Roman" w:hAnsi="Times New Roman" w:eastAsia="仿宋_GB2312"/>
          <w:b w:val="0"/>
          <w:color w:val="000000" w:themeColor="text1"/>
          <w:sz w:val="30"/>
          <w:szCs w:val="30"/>
          <w14:textFill>
            <w14:solidFill>
              <w14:schemeClr w14:val="tx1"/>
            </w14:solidFill>
          </w14:textFill>
        </w:rPr>
        <w:t>8.3</w:t>
      </w:r>
      <w:bookmarkEnd w:id="212"/>
      <w:r>
        <w:rPr>
          <w:rFonts w:hint="eastAsia" w:ascii="Times New Roman" w:hAnsi="Times New Roman" w:eastAsia="仿宋_GB2312"/>
          <w:b w:val="0"/>
          <w:color w:val="000000" w:themeColor="text1"/>
          <w:sz w:val="30"/>
          <w:szCs w:val="30"/>
          <w14:textFill>
            <w14:solidFill>
              <w14:schemeClr w14:val="tx1"/>
            </w14:solidFill>
          </w14:textFill>
        </w:rPr>
        <w:t xml:space="preserve"> </w:t>
      </w:r>
      <w:r>
        <w:rPr>
          <w:rFonts w:hint="eastAsia" w:ascii="黑体" w:hAnsi="黑体" w:cs="黑体"/>
          <w:b w:val="0"/>
          <w:color w:val="000000" w:themeColor="text1"/>
          <w:sz w:val="30"/>
          <w:szCs w:val="30"/>
          <w14:textFill>
            <w14:solidFill>
              <w14:schemeClr w14:val="tx1"/>
            </w14:solidFill>
          </w14:textFill>
        </w:rPr>
        <w:t>土地复垦费用安排</w:t>
      </w:r>
      <w:bookmarkEnd w:id="213"/>
      <w:bookmarkEnd w:id="214"/>
      <w:bookmarkEnd w:id="215"/>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该项目</w:t>
      </w:r>
      <w:r>
        <w:rPr>
          <w:rFonts w:hint="eastAsia" w:eastAsia="仿宋_GB2312"/>
          <w:color w:val="000000" w:themeColor="text1"/>
          <w:sz w:val="24"/>
          <w14:textFill>
            <w14:solidFill>
              <w14:schemeClr w14:val="tx1"/>
            </w14:solidFill>
          </w14:textFill>
        </w:rPr>
        <w:t>土地复垦方案中的复垦</w:t>
      </w:r>
      <w:r>
        <w:rPr>
          <w:rFonts w:hint="eastAsia" w:eastAsia="仿宋_GB2312"/>
          <w:color w:val="000000" w:themeColor="text1"/>
          <w:sz w:val="24"/>
          <w:lang w:eastAsia="zh-CN"/>
          <w14:textFill>
            <w14:solidFill>
              <w14:schemeClr w14:val="tx1"/>
            </w14:solidFill>
          </w14:textFill>
        </w:rPr>
        <w:t>静态</w:t>
      </w:r>
      <w:r>
        <w:rPr>
          <w:rFonts w:hint="eastAsia" w:eastAsia="仿宋_GB2312"/>
          <w:color w:val="000000" w:themeColor="text1"/>
          <w:sz w:val="24"/>
          <w14:textFill>
            <w14:solidFill>
              <w14:schemeClr w14:val="tx1"/>
            </w14:solidFill>
          </w14:textFill>
        </w:rPr>
        <w:t>总投资共计</w:t>
      </w:r>
      <w:r>
        <w:rPr>
          <w:rFonts w:hint="eastAsia" w:eastAsia="仿宋_GB2312"/>
          <w:color w:val="000000" w:themeColor="text1"/>
          <w:sz w:val="24"/>
          <w:lang w:val="en-US" w:eastAsia="zh-CN"/>
          <w14:textFill>
            <w14:solidFill>
              <w14:schemeClr w14:val="tx1"/>
            </w14:solidFill>
          </w14:textFill>
        </w:rPr>
        <w:t>26.31</w:t>
      </w:r>
      <w:r>
        <w:rPr>
          <w:rFonts w:hint="eastAsia" w:eastAsia="仿宋_GB2312"/>
          <w:color w:val="000000" w:themeColor="text1"/>
          <w:sz w:val="24"/>
          <w14:textFill>
            <w14:solidFill>
              <w14:schemeClr w14:val="tx1"/>
            </w14:solidFill>
          </w14:textFill>
        </w:rPr>
        <w:t>万元，资金由</w:t>
      </w:r>
      <w:r>
        <w:rPr>
          <w:rFonts w:hint="default" w:eastAsia="仿宋_GB2312"/>
          <w:color w:val="000000" w:themeColor="text1"/>
          <w:sz w:val="24"/>
          <w14:textFill>
            <w14:solidFill>
              <w14:schemeClr w14:val="tx1"/>
            </w14:solidFill>
          </w14:textFill>
        </w:rPr>
        <w:t>由国家投资和地方配套</w:t>
      </w:r>
      <w:r>
        <w:rPr>
          <w:rFonts w:hint="eastAsia" w:eastAsia="仿宋_GB2312"/>
          <w:color w:val="000000" w:themeColor="text1"/>
          <w:sz w:val="24"/>
          <w14:textFill>
            <w14:solidFill>
              <w14:schemeClr w14:val="tx1"/>
            </w14:solidFill>
          </w14:textFill>
        </w:rPr>
        <w:t xml:space="preserve">。将该项目土地复垦费用全额列入项目建设总投资，并按照《土地复垦方案编制规程》要求，在项目建设服务年限结束前预存完毕，后期分阶段、加大前期提取资金进度的原则对复垦资金进行计提。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具体实施过程如下：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首先，</w:t>
      </w: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在该项目建设总投资中进行资金提取，并分摊到建设总投资中，土地复垦费用存入由</w:t>
      </w: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 xml:space="preserve">建立的复垦资金共管专用帐户。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为保证土地复垦方案按计划实施，保证土地复垦资金的落实，企业将严格按照土地复垦方案的制定进行资金提取。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为保证能够足额、提前计提复垦资金，结合该项目建设期限及复垦工作计划安排。本复垦方案计划将复垦资金</w:t>
      </w:r>
      <w:r>
        <w:rPr>
          <w:rFonts w:hint="eastAsia" w:eastAsia="仿宋_GB2312"/>
          <w:color w:val="000000" w:themeColor="text1"/>
          <w:sz w:val="24"/>
          <w:lang w:eastAsia="zh-CN"/>
          <w14:textFill>
            <w14:solidFill>
              <w14:schemeClr w14:val="tx1"/>
            </w14:solidFill>
          </w14:textFill>
        </w:rPr>
        <w:t>于建设项目施工开始前一个月一次性</w:t>
      </w:r>
      <w:r>
        <w:rPr>
          <w:rFonts w:hint="eastAsia" w:eastAsia="仿宋_GB2312"/>
          <w:color w:val="000000" w:themeColor="text1"/>
          <w:sz w:val="24"/>
          <w14:textFill>
            <w14:solidFill>
              <w14:schemeClr w14:val="tx1"/>
            </w14:solidFill>
          </w14:textFill>
        </w:rPr>
        <w:t>预存完毕，提取复垦静态总投资</w:t>
      </w:r>
      <w:r>
        <w:rPr>
          <w:rFonts w:hint="eastAsia" w:eastAsia="仿宋_GB2312"/>
          <w:color w:val="000000" w:themeColor="text1"/>
          <w:sz w:val="24"/>
          <w:lang w:val="en-US" w:eastAsia="zh-CN"/>
          <w14:textFill>
            <w14:solidFill>
              <w14:schemeClr w14:val="tx1"/>
            </w14:solidFill>
          </w14:textFill>
        </w:rPr>
        <w:t>26.31</w:t>
      </w:r>
      <w:r>
        <w:rPr>
          <w:rFonts w:hint="eastAsia" w:eastAsia="仿宋_GB2312"/>
          <w:color w:val="000000" w:themeColor="text1"/>
          <w:sz w:val="24"/>
          <w14:textFill>
            <w14:solidFill>
              <w14:schemeClr w14:val="tx1"/>
            </w14:solidFill>
          </w14:textFill>
        </w:rPr>
        <w:t>万元，存入由</w:t>
      </w: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建立的复垦资金共管专用帐户。土地复垦费用安排见表</w:t>
      </w:r>
      <w:r>
        <w:rPr>
          <w:rFonts w:eastAsia="仿宋_GB2312"/>
          <w:color w:val="000000" w:themeColor="text1"/>
          <w:sz w:val="24"/>
          <w14:textFill>
            <w14:solidFill>
              <w14:schemeClr w14:val="tx1"/>
            </w14:solidFill>
          </w14:textFill>
        </w:rPr>
        <w:t>8-2</w:t>
      </w:r>
      <w:r>
        <w:rPr>
          <w:rFonts w:hint="eastAsia" w:eastAsia="仿宋_GB2312"/>
          <w:color w:val="000000" w:themeColor="text1"/>
          <w:sz w:val="24"/>
          <w14:textFill>
            <w14:solidFill>
              <w14:schemeClr w14:val="tx1"/>
            </w14:solidFill>
          </w14:textFill>
        </w:rPr>
        <w:t>。</w:t>
      </w:r>
    </w:p>
    <w:p>
      <w:pPr>
        <w:pageBreakBefore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黑体" w:hAnsi="黑体" w:eastAsia="黑体"/>
          <w:b w:val="0"/>
          <w:bCs w:val="0"/>
          <w:color w:val="000000" w:themeColor="text1"/>
          <w:kern w:val="0"/>
          <w:szCs w:val="21"/>
          <w14:textFill>
            <w14:solidFill>
              <w14:schemeClr w14:val="tx1"/>
            </w14:solidFill>
          </w14:textFill>
        </w:rPr>
      </w:pPr>
      <w:r>
        <w:rPr>
          <w:rFonts w:hint="eastAsia" w:ascii="黑体" w:hAnsi="黑体" w:eastAsia="黑体"/>
          <w:b w:val="0"/>
          <w:bCs w:val="0"/>
          <w:color w:val="000000" w:themeColor="text1"/>
          <w:kern w:val="0"/>
          <w:szCs w:val="21"/>
          <w14:textFill>
            <w14:solidFill>
              <w14:schemeClr w14:val="tx1"/>
            </w14:solidFill>
          </w14:textFill>
        </w:rPr>
        <w:t>表8-2 土地复垦费用安排表</w:t>
      </w:r>
    </w:p>
    <w:tbl>
      <w:tblPr>
        <w:tblStyle w:val="20"/>
        <w:tblW w:w="9071" w:type="dxa"/>
        <w:jc w:val="center"/>
        <w:tblInd w:w="0" w:type="dxa"/>
        <w:shd w:val="clear" w:color="auto" w:fill="auto"/>
        <w:tblLayout w:type="fixed"/>
        <w:tblCellMar>
          <w:top w:w="0" w:type="dxa"/>
          <w:left w:w="0" w:type="dxa"/>
          <w:bottom w:w="0" w:type="dxa"/>
          <w:right w:w="0" w:type="dxa"/>
        </w:tblCellMar>
      </w:tblPr>
      <w:tblGrid>
        <w:gridCol w:w="1011"/>
        <w:gridCol w:w="1484"/>
        <w:gridCol w:w="906"/>
        <w:gridCol w:w="2268"/>
        <w:gridCol w:w="2268"/>
        <w:gridCol w:w="1134"/>
      </w:tblGrid>
      <w:tr>
        <w:tblPrEx>
          <w:shd w:val="clear" w:color="auto" w:fill="auto"/>
          <w:tblLayout w:type="fixed"/>
          <w:tblCellMar>
            <w:top w:w="0" w:type="dxa"/>
            <w:left w:w="0" w:type="dxa"/>
            <w:bottom w:w="0" w:type="dxa"/>
            <w:right w:w="0" w:type="dxa"/>
          </w:tblCellMar>
        </w:tblPrEx>
        <w:trPr>
          <w:trHeight w:val="23" w:hRule="atLeast"/>
          <w:jc w:val="center"/>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阶段</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年份</w:t>
            </w:r>
          </w:p>
        </w:tc>
        <w:tc>
          <w:tcPr>
            <w:tcW w:w="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总投资（万元）</w:t>
            </w:r>
          </w:p>
        </w:tc>
        <w:tc>
          <w:tcPr>
            <w:tcW w:w="45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复垦投资分区明细</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复垦费用总预存额（万元）</w:t>
            </w:r>
          </w:p>
        </w:tc>
      </w:tr>
      <w:tr>
        <w:tblPrEx>
          <w:tblLayout w:type="fixed"/>
          <w:tblCellMar>
            <w:top w:w="0" w:type="dxa"/>
            <w:left w:w="0" w:type="dxa"/>
            <w:bottom w:w="0" w:type="dxa"/>
            <w:right w:w="0" w:type="dxa"/>
          </w:tblCellMar>
        </w:tblPrEx>
        <w:trPr>
          <w:trHeight w:val="23" w:hRule="atLeast"/>
          <w:jc w:val="center"/>
        </w:trPr>
        <w:tc>
          <w:tcPr>
            <w:tcW w:w="10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第</w:t>
            </w: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1</w:t>
            </w:r>
            <w:r>
              <w:rPr>
                <w:rFonts w:hint="eastAsia"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阶段</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eastAsia="仿宋_GB2312" w:cs="仿宋_GB2312"/>
                <w:i w:val="0"/>
                <w:color w:val="000000" w:themeColor="text1"/>
                <w:kern w:val="0"/>
                <w:sz w:val="21"/>
                <w:szCs w:val="21"/>
                <w:u w:val="none"/>
                <w:lang w:val="en-US" w:eastAsia="zh-CN" w:bidi="ar-SA"/>
                <w14:textFill>
                  <w14:solidFill>
                    <w14:schemeClr w14:val="tx1"/>
                  </w14:solidFill>
                </w14:textFill>
              </w:rPr>
              <w:t>2024年4月-2026年3月</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eastAsia="仿宋_GB2312" w:cs="仿宋_GB2312"/>
                <w:i w:val="0"/>
                <w:color w:val="000000" w:themeColor="text1"/>
                <w:kern w:val="0"/>
                <w:sz w:val="21"/>
                <w:szCs w:val="21"/>
                <w:u w:val="none"/>
                <w:lang w:val="en-US" w:eastAsia="zh-CN" w:bidi="ar-SA"/>
                <w14:textFill>
                  <w14:solidFill>
                    <w14:schemeClr w14:val="tx1"/>
                  </w14:solidFill>
                </w14:textFill>
              </w:rPr>
              <w:t>20.74</w:t>
            </w:r>
          </w:p>
        </w:tc>
        <w:tc>
          <w:tcPr>
            <w:tcW w:w="2268"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工程施工费</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 xml:space="preserve">16.74 </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eastAsia="仿宋_GB2312" w:cs="仿宋_GB2312"/>
                <w:i w:val="0"/>
                <w:color w:val="000000" w:themeColor="text1"/>
                <w:kern w:val="0"/>
                <w:sz w:val="21"/>
                <w:szCs w:val="21"/>
                <w:u w:val="none"/>
                <w:lang w:val="en-US" w:eastAsia="zh-CN" w:bidi="ar-SA"/>
                <w14:textFill>
                  <w14:solidFill>
                    <w14:schemeClr w14:val="tx1"/>
                  </w14:solidFill>
                </w14:textFill>
              </w:rPr>
              <w:t>26.31</w:t>
            </w:r>
          </w:p>
        </w:tc>
      </w:tr>
      <w:tr>
        <w:tblPrEx>
          <w:tblLayout w:type="fixed"/>
          <w:tblCellMar>
            <w:top w:w="0" w:type="dxa"/>
            <w:left w:w="0" w:type="dxa"/>
            <w:bottom w:w="0" w:type="dxa"/>
            <w:right w:w="0" w:type="dxa"/>
          </w:tblCellMar>
        </w:tblPrEx>
        <w:trPr>
          <w:trHeight w:val="23" w:hRule="atLeast"/>
          <w:jc w:val="center"/>
        </w:trPr>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其他费用</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 xml:space="preserve">3.40 </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r>
      <w:tr>
        <w:tblPrEx>
          <w:tblLayout w:type="fixed"/>
          <w:tblCellMar>
            <w:top w:w="0" w:type="dxa"/>
            <w:left w:w="0" w:type="dxa"/>
            <w:bottom w:w="0" w:type="dxa"/>
            <w:right w:w="0" w:type="dxa"/>
          </w:tblCellMar>
        </w:tblPrEx>
        <w:trPr>
          <w:trHeight w:val="23" w:hRule="atLeast"/>
          <w:jc w:val="center"/>
        </w:trPr>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预备费</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 xml:space="preserve">0.60 </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r>
      <w:tr>
        <w:tblPrEx>
          <w:tblLayout w:type="fixed"/>
          <w:tblCellMar>
            <w:top w:w="0" w:type="dxa"/>
            <w:left w:w="0" w:type="dxa"/>
            <w:bottom w:w="0" w:type="dxa"/>
            <w:right w:w="0" w:type="dxa"/>
          </w:tblCellMar>
        </w:tblPrEx>
        <w:trPr>
          <w:trHeight w:val="23" w:hRule="atLeast"/>
          <w:jc w:val="center"/>
        </w:trPr>
        <w:tc>
          <w:tcPr>
            <w:tcW w:w="10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第</w:t>
            </w: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2</w:t>
            </w:r>
            <w:r>
              <w:rPr>
                <w:rFonts w:hint="eastAsia"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阶段</w:t>
            </w:r>
          </w:p>
        </w:tc>
        <w:tc>
          <w:tcPr>
            <w:tcW w:w="14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eastAsia="仿宋_GB2312" w:cs="仿宋_GB2312"/>
                <w:i w:val="0"/>
                <w:color w:val="000000" w:themeColor="text1"/>
                <w:kern w:val="0"/>
                <w:sz w:val="21"/>
                <w:szCs w:val="21"/>
                <w:u w:val="none"/>
                <w:lang w:val="en-US" w:eastAsia="zh-CN" w:bidi="ar-SA"/>
                <w14:textFill>
                  <w14:solidFill>
                    <w14:schemeClr w14:val="tx1"/>
                  </w14:solidFill>
                </w14:textFill>
              </w:rPr>
              <w:t>2026年4月-2029年7月</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eastAsia" w:ascii="仿宋_GB2312" w:eastAsia="仿宋_GB2312" w:cs="仿宋_GB2312"/>
                <w:i w:val="0"/>
                <w:color w:val="000000" w:themeColor="text1"/>
                <w:kern w:val="0"/>
                <w:sz w:val="21"/>
                <w:szCs w:val="21"/>
                <w:u w:val="none"/>
                <w:lang w:val="en-US" w:eastAsia="zh-CN" w:bidi="ar-SA"/>
                <w14:textFill>
                  <w14:solidFill>
                    <w14:schemeClr w14:val="tx1"/>
                  </w14:solidFill>
                </w14:textFill>
              </w:rPr>
              <w:t>5.57</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监测费</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 xml:space="preserve">3.90 </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r>
      <w:tr>
        <w:tblPrEx>
          <w:tblLayout w:type="fixed"/>
          <w:tblCellMar>
            <w:top w:w="0" w:type="dxa"/>
            <w:left w:w="0" w:type="dxa"/>
            <w:bottom w:w="0" w:type="dxa"/>
            <w:right w:w="0" w:type="dxa"/>
          </w:tblCellMar>
        </w:tblPrEx>
        <w:trPr>
          <w:trHeight w:val="23" w:hRule="atLeast"/>
          <w:jc w:val="center"/>
        </w:trPr>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14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管护费</w:t>
            </w:r>
          </w:p>
        </w:tc>
        <w:tc>
          <w:tcPr>
            <w:tcW w:w="22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t xml:space="preserve">0.20 </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Times New Roman" w:eastAsia="仿宋_GB2312" w:cs="仿宋_GB2312"/>
                <w:i w:val="0"/>
                <w:color w:val="000000" w:themeColor="text1"/>
                <w:kern w:val="0"/>
                <w:sz w:val="21"/>
                <w:szCs w:val="21"/>
                <w:u w:val="none"/>
                <w:lang w:val="en-US" w:eastAsia="zh-CN" w:bidi="ar-SA"/>
                <w14:textFill>
                  <w14:solidFill>
                    <w14:schemeClr w14:val="tx1"/>
                  </w14:solidFill>
                </w14:textFill>
              </w:rPr>
            </w:pPr>
          </w:p>
        </w:tc>
      </w:tr>
    </w:tbl>
    <w:p>
      <w:pPr>
        <w:pStyle w:val="4"/>
        <w:pageBreakBefore w:val="0"/>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eastAsia="仿宋_GB2312"/>
          <w:b w:val="0"/>
          <w:bCs w:val="0"/>
          <w:color w:val="000000" w:themeColor="text1"/>
          <w:sz w:val="32"/>
          <w:szCs w:val="32"/>
          <w14:textFill>
            <w14:solidFill>
              <w14:schemeClr w14:val="tx1"/>
            </w14:solidFill>
          </w14:textFill>
        </w:rPr>
      </w:pPr>
      <w:bookmarkStart w:id="216" w:name="_Toc22551"/>
      <w:r>
        <w:rPr>
          <w:rFonts w:hint="eastAsia" w:eastAsia="仿宋_GB2312"/>
          <w:b w:val="0"/>
          <w:bCs w:val="0"/>
          <w:color w:val="000000" w:themeColor="text1"/>
          <w:sz w:val="32"/>
          <w:szCs w:val="32"/>
          <w14:textFill>
            <w14:solidFill>
              <w14:schemeClr w14:val="tx1"/>
            </w14:solidFill>
          </w14:textFill>
        </w:rPr>
        <w:br w:type="page"/>
      </w:r>
      <w:bookmarkStart w:id="217" w:name="_Toc23729"/>
      <w:r>
        <w:rPr>
          <w:rFonts w:hint="eastAsia" w:eastAsia="仿宋_GB2312"/>
          <w:b w:val="0"/>
          <w:bCs w:val="0"/>
          <w:color w:val="000000" w:themeColor="text1"/>
          <w:sz w:val="32"/>
          <w:szCs w:val="32"/>
          <w14:textFill>
            <w14:solidFill>
              <w14:schemeClr w14:val="tx1"/>
            </w14:solidFill>
          </w14:textFill>
        </w:rPr>
        <w:t>9</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土地复垦效益分析</w:t>
      </w:r>
      <w:bookmarkEnd w:id="211"/>
      <w:bookmarkEnd w:id="216"/>
      <w:bookmarkEnd w:id="217"/>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cs="黑体"/>
          <w:b/>
          <w:color w:val="000000" w:themeColor="text1"/>
          <w:sz w:val="30"/>
          <w:szCs w:val="30"/>
          <w14:textFill>
            <w14:solidFill>
              <w14:schemeClr w14:val="tx1"/>
            </w14:solidFill>
          </w14:textFill>
        </w:rPr>
      </w:pPr>
      <w:bookmarkStart w:id="218" w:name="_Toc9887"/>
      <w:bookmarkStart w:id="219" w:name="_Toc20167"/>
      <w:bookmarkStart w:id="220" w:name="_Toc12237"/>
      <w:bookmarkStart w:id="221" w:name="_Toc7345"/>
      <w:bookmarkStart w:id="222" w:name="_Toc20518"/>
      <w:r>
        <w:rPr>
          <w:rFonts w:hint="default" w:ascii="黑体" w:hAnsi="黑体" w:cs="黑体"/>
          <w:b/>
          <w:color w:val="000000" w:themeColor="text1"/>
          <w:sz w:val="30"/>
          <w:szCs w:val="30"/>
          <w14:textFill>
            <w14:solidFill>
              <w14:schemeClr w14:val="tx1"/>
            </w14:solidFill>
          </w14:textFill>
        </w:rPr>
        <w:t>9.</w:t>
      </w:r>
      <w:r>
        <w:rPr>
          <w:rFonts w:hint="default" w:ascii="黑体" w:hAnsi="黑体" w:cs="黑体"/>
          <w:b/>
          <w:color w:val="000000" w:themeColor="text1"/>
          <w:sz w:val="30"/>
          <w:szCs w:val="30"/>
          <w:lang w:val="en-US" w:eastAsia="zh-CN"/>
          <w14:textFill>
            <w14:solidFill>
              <w14:schemeClr w14:val="tx1"/>
            </w14:solidFill>
          </w14:textFill>
        </w:rPr>
        <w:t>1</w:t>
      </w:r>
      <w:r>
        <w:rPr>
          <w:rFonts w:hint="eastAsia" w:ascii="黑体" w:hAnsi="黑体" w:cs="黑体"/>
          <w:b/>
          <w:color w:val="000000" w:themeColor="text1"/>
          <w:sz w:val="30"/>
          <w:szCs w:val="30"/>
          <w14:textFill>
            <w14:solidFill>
              <w14:schemeClr w14:val="tx1"/>
            </w14:solidFill>
          </w14:textFill>
        </w:rPr>
        <w:t>社会效益</w:t>
      </w:r>
      <w:bookmarkEnd w:id="218"/>
      <w:bookmarkEnd w:id="219"/>
      <w:bookmarkEnd w:id="220"/>
      <w:bookmarkEnd w:id="221"/>
      <w:bookmarkEnd w:id="222"/>
      <w:r>
        <w:rPr>
          <w:rFonts w:hint="eastAsia" w:ascii="黑体" w:hAnsi="黑体" w:cs="黑体"/>
          <w:b/>
          <w:color w:val="000000" w:themeColor="text1"/>
          <w:sz w:val="30"/>
          <w:szCs w:val="30"/>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（1）按照土地复垦规划，通过对土地损毁地区的综合整治，恢复了</w:t>
      </w:r>
      <w:r>
        <w:rPr>
          <w:rFonts w:hint="eastAsia" w:eastAsia="仿宋_GB2312"/>
          <w:color w:val="000000" w:themeColor="text1"/>
          <w:sz w:val="24"/>
          <w:lang w:eastAsia="zh-CN"/>
          <w14:textFill>
            <w14:solidFill>
              <w14:schemeClr w14:val="tx1"/>
            </w14:solidFill>
          </w14:textFill>
        </w:rPr>
        <w:t>项目区土地原有功能</w:t>
      </w:r>
      <w:r>
        <w:rPr>
          <w:rFonts w:eastAsia="仿宋_GB2312"/>
          <w:color w:val="000000" w:themeColor="text1"/>
          <w:sz w:val="24"/>
          <w14:textFill>
            <w14:solidFill>
              <w14:schemeClr w14:val="tx1"/>
            </w14:solidFill>
          </w14:textFill>
        </w:rPr>
        <w:t>，改善了用地区的生态环境，防止了水土流失的继续发展。</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（2）该复垦方案实施后，不仅防止了水土流失，还有效地提高了土地的防沙化能力，调整了土地利用结构，并增加了环境容量。</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（3）该复垦方案实施后，对用地区损毁区域的有效治理，可以很好的保证用地区的安全生产。</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（4）该复垦方案实施后，保障了区内</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面积没有减少，实现了</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占补平衡，对促进社会安定、经济发展同样具有积极的现实意义。</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cs="黑体"/>
          <w:b/>
          <w:color w:val="000000" w:themeColor="text1"/>
          <w:sz w:val="30"/>
          <w:szCs w:val="30"/>
          <w14:textFill>
            <w14:solidFill>
              <w14:schemeClr w14:val="tx1"/>
            </w14:solidFill>
          </w14:textFill>
        </w:rPr>
      </w:pPr>
      <w:bookmarkStart w:id="223" w:name="_Toc29153"/>
      <w:bookmarkStart w:id="224" w:name="_Toc4400"/>
      <w:bookmarkStart w:id="225" w:name="_Toc31784"/>
      <w:bookmarkStart w:id="226" w:name="_Toc24540"/>
      <w:bookmarkStart w:id="227" w:name="_Toc31063"/>
      <w:r>
        <w:rPr>
          <w:rFonts w:hint="default" w:ascii="黑体" w:hAnsi="黑体" w:cs="黑体"/>
          <w:b/>
          <w:color w:val="000000" w:themeColor="text1"/>
          <w:sz w:val="30"/>
          <w:szCs w:val="30"/>
          <w14:textFill>
            <w14:solidFill>
              <w14:schemeClr w14:val="tx1"/>
            </w14:solidFill>
          </w14:textFill>
        </w:rPr>
        <w:t>9.</w:t>
      </w:r>
      <w:r>
        <w:rPr>
          <w:rFonts w:hint="default" w:ascii="黑体" w:hAnsi="黑体" w:cs="黑体"/>
          <w:b/>
          <w:color w:val="000000" w:themeColor="text1"/>
          <w:sz w:val="30"/>
          <w:szCs w:val="30"/>
          <w:lang w:val="en-US" w:eastAsia="zh-CN"/>
          <w14:textFill>
            <w14:solidFill>
              <w14:schemeClr w14:val="tx1"/>
            </w14:solidFill>
          </w14:textFill>
        </w:rPr>
        <w:t>2</w:t>
      </w:r>
      <w:r>
        <w:rPr>
          <w:rFonts w:hint="eastAsia" w:ascii="黑体" w:hAnsi="黑体" w:cs="黑体"/>
          <w:b/>
          <w:color w:val="000000" w:themeColor="text1"/>
          <w:sz w:val="30"/>
          <w:szCs w:val="30"/>
          <w14:textFill>
            <w14:solidFill>
              <w14:schemeClr w14:val="tx1"/>
            </w14:solidFill>
          </w14:textFill>
        </w:rPr>
        <w:t xml:space="preserve"> 生态效益</w:t>
      </w:r>
      <w:bookmarkEnd w:id="223"/>
      <w:bookmarkEnd w:id="224"/>
      <w:bookmarkEnd w:id="225"/>
      <w:bookmarkEnd w:id="226"/>
      <w:bookmarkEnd w:id="227"/>
      <w:r>
        <w:rPr>
          <w:rFonts w:hint="eastAsia" w:ascii="黑体" w:hAnsi="黑体" w:cs="黑体"/>
          <w:b/>
          <w:color w:val="000000" w:themeColor="text1"/>
          <w:sz w:val="30"/>
          <w:szCs w:val="30"/>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对生产损毁和扰动土地及植被进行土地复垦是实现生态效益的重要措施。因此在本方案中，要对生产损毁的</w:t>
      </w:r>
      <w:r>
        <w:rPr>
          <w:rFonts w:hint="eastAsia" w:eastAsia="仿宋_GB2312"/>
          <w:color w:val="000000" w:themeColor="text1"/>
          <w:sz w:val="24"/>
          <w:lang w:val="en-US" w:eastAsia="zh-CN"/>
          <w14:textFill>
            <w14:solidFill>
              <w14:schemeClr w14:val="tx1"/>
            </w14:solidFill>
          </w14:textFill>
        </w:rPr>
        <w:t>林地</w:t>
      </w:r>
      <w:r>
        <w:rPr>
          <w:rFonts w:eastAsia="仿宋_GB2312"/>
          <w:color w:val="000000" w:themeColor="text1"/>
          <w:sz w:val="24"/>
          <w14:textFill>
            <w14:solidFill>
              <w14:schemeClr w14:val="tx1"/>
            </w14:solidFill>
          </w14:textFill>
        </w:rPr>
        <w:t>尽量恢复其原有功能。对于损毁区根据整治后的形状设计，按照“合理布局、因地制宜”的原则进行治理，建立起新的土地利用生态体系，形成新的人工和自然绿色景观，尽量使用地区开采对生态环境的影响减小到最低，使用地区周边的生态环境有大的改观。</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1"/>
        <w:rPr>
          <w:rFonts w:hint="eastAsia" w:ascii="黑体" w:hAnsi="黑体" w:cs="黑体"/>
          <w:b/>
          <w:color w:val="000000" w:themeColor="text1"/>
          <w:sz w:val="30"/>
          <w:szCs w:val="30"/>
          <w14:textFill>
            <w14:solidFill>
              <w14:schemeClr w14:val="tx1"/>
            </w14:solidFill>
          </w14:textFill>
        </w:rPr>
      </w:pPr>
      <w:r>
        <w:rPr>
          <w:rFonts w:hint="eastAsia" w:ascii="黑体" w:hAnsi="黑体" w:cs="黑体"/>
          <w:b/>
          <w:color w:val="000000" w:themeColor="text1"/>
          <w:sz w:val="30"/>
          <w:szCs w:val="30"/>
          <w:lang w:val="en-US" w:eastAsia="zh-CN"/>
          <w14:textFill>
            <w14:solidFill>
              <w14:schemeClr w14:val="tx1"/>
            </w14:solidFill>
          </w14:textFill>
        </w:rPr>
        <w:t xml:space="preserve">9.3 </w:t>
      </w:r>
      <w:r>
        <w:rPr>
          <w:rFonts w:hint="eastAsia" w:ascii="黑体" w:hAnsi="黑体" w:cs="黑体"/>
          <w:b/>
          <w:color w:val="000000" w:themeColor="text1"/>
          <w:sz w:val="30"/>
          <w:szCs w:val="30"/>
          <w14:textFill>
            <w14:solidFill>
              <w14:schemeClr w14:val="tx1"/>
            </w14:solidFill>
          </w14:textFill>
        </w:rPr>
        <w:t>经济效益</w:t>
      </w:r>
    </w:p>
    <w:p>
      <w:pPr>
        <w:pStyle w:val="17"/>
        <w:pageBreakBefore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对本项目用地经过土地复垦，拟复垦为</w:t>
      </w:r>
      <w:r>
        <w:rPr>
          <w:rFonts w:hint="eastAsia" w:eastAsia="仿宋_GB2312" w:cs="Times New Roman"/>
          <w:color w:val="000000" w:themeColor="text1"/>
          <w:sz w:val="24"/>
          <w:lang w:val="en-US" w:eastAsia="zh-CN"/>
          <w14:textFill>
            <w14:solidFill>
              <w14:schemeClr w14:val="tx1"/>
            </w14:solidFill>
          </w14:textFill>
        </w:rPr>
        <w:t>水浇地0.1754公顷、果园0.7050公顷、林地0.0601</w:t>
      </w:r>
      <w:r>
        <w:rPr>
          <w:rFonts w:hint="eastAsia" w:ascii="Times New Roman" w:hAnsi="Times New Roman" w:eastAsia="仿宋_GB2312" w:cs="Times New Roman"/>
          <w:color w:val="000000" w:themeColor="text1"/>
          <w:sz w:val="24"/>
          <w14:textFill>
            <w14:solidFill>
              <w14:schemeClr w14:val="tx1"/>
            </w14:solidFill>
          </w14:textFill>
        </w:rPr>
        <w:t>公顷，可为当地带来较大的经济价值。</w:t>
      </w:r>
    </w:p>
    <w:p>
      <w:pPr>
        <w:pStyle w:val="17"/>
        <w:pageBreakBefore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80" w:firstLineChars="200"/>
        <w:jc w:val="both"/>
        <w:textAlignment w:val="auto"/>
        <w:rPr>
          <w:rFonts w:hint="eastAsia" w:ascii="仿宋_GB2312" w:hAnsi="仿宋_GB2312" w:eastAsia="仿宋_GB2312" w:cs="仿宋_GB2312"/>
          <w:color w:val="000000" w:themeColor="text1"/>
          <w14:textFill>
            <w14:solidFill>
              <w14:schemeClr w14:val="tx1"/>
            </w14:solidFill>
          </w14:textFill>
        </w:rPr>
      </w:pPr>
    </w:p>
    <w:p>
      <w:pPr>
        <w:pageBreakBefore w:val="0"/>
        <w:kinsoku/>
        <w:wordWrap/>
        <w:overflowPunct/>
        <w:topLinePunct w:val="0"/>
        <w:autoSpaceDE/>
        <w:autoSpaceDN/>
        <w:bidi w:val="0"/>
        <w:adjustRightInd w:val="0"/>
        <w:snapToGrid w:val="0"/>
        <w:spacing w:line="360" w:lineRule="auto"/>
        <w:ind w:left="0" w:leftChars="0" w:right="0" w:rightChars="0"/>
        <w:jc w:val="left"/>
        <w:textAlignment w:val="auto"/>
        <w:rPr>
          <w:rFonts w:eastAsia="仿宋_GB2312"/>
          <w:color w:val="000000" w:themeColor="text1"/>
          <w:szCs w:val="21"/>
          <w14:textFill>
            <w14:solidFill>
              <w14:schemeClr w14:val="tx1"/>
            </w14:solidFill>
          </w14:textFill>
        </w:rPr>
      </w:pPr>
    </w:p>
    <w:p>
      <w:pPr>
        <w:pStyle w:val="4"/>
        <w:pageBreakBefore w:val="0"/>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228" w:name="_Toc7764"/>
      <w:r>
        <w:rPr>
          <w:rFonts w:eastAsia="仿宋_GB2312"/>
          <w:b w:val="0"/>
          <w:bCs w:val="0"/>
          <w:color w:val="000000" w:themeColor="text1"/>
          <w:sz w:val="32"/>
          <w:szCs w:val="32"/>
          <w14:textFill>
            <w14:solidFill>
              <w14:schemeClr w14:val="tx1"/>
            </w14:solidFill>
          </w14:textFill>
        </w:rPr>
        <w:br w:type="page"/>
      </w:r>
      <w:bookmarkStart w:id="229" w:name="_Toc14927"/>
      <w:bookmarkStart w:id="230" w:name="_Toc11811"/>
      <w:r>
        <w:rPr>
          <w:rFonts w:eastAsia="仿宋_GB2312"/>
          <w:b w:val="0"/>
          <w:bCs w:val="0"/>
          <w:color w:val="000000" w:themeColor="text1"/>
          <w:sz w:val="32"/>
          <w:szCs w:val="32"/>
          <w14:textFill>
            <w14:solidFill>
              <w14:schemeClr w14:val="tx1"/>
            </w14:solidFill>
          </w14:textFill>
        </w:rPr>
        <w:t>1</w:t>
      </w:r>
      <w:r>
        <w:rPr>
          <w:rFonts w:hint="eastAsia" w:eastAsia="仿宋_GB2312"/>
          <w:b w:val="0"/>
          <w:bCs w:val="0"/>
          <w:color w:val="000000" w:themeColor="text1"/>
          <w:sz w:val="32"/>
          <w:szCs w:val="32"/>
          <w14:textFill>
            <w14:solidFill>
              <w14:schemeClr w14:val="tx1"/>
            </w14:solidFill>
          </w14:textFill>
        </w:rPr>
        <w:t>0</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保障措施</w:t>
      </w:r>
      <w:bookmarkEnd w:id="228"/>
      <w:bookmarkEnd w:id="229"/>
      <w:bookmarkEnd w:id="230"/>
    </w:p>
    <w:p>
      <w:pPr>
        <w:pStyle w:val="5"/>
        <w:pageBreakBefore w:val="0"/>
        <w:kinsoku/>
        <w:wordWrap/>
        <w:overflowPunct/>
        <w:topLinePunct w:val="0"/>
        <w:autoSpaceDE/>
        <w:autoSpaceDN/>
        <w:bidi w:val="0"/>
        <w:adjustRightInd w:val="0"/>
        <w:snapToGrid w:val="0"/>
        <w:spacing w:before="162" w:beforeLines="50" w:after="0" w:line="360" w:lineRule="auto"/>
        <w:ind w:left="0" w:leftChars="0" w:right="0" w:rightChars="0"/>
        <w:textAlignment w:val="auto"/>
        <w:rPr>
          <w:rFonts w:hint="eastAsia" w:ascii="黑体" w:hAnsi="黑体" w:cs="黑体"/>
          <w:b w:val="0"/>
          <w:color w:val="000000" w:themeColor="text1"/>
          <w:sz w:val="30"/>
          <w:szCs w:val="30"/>
          <w14:textFill>
            <w14:solidFill>
              <w14:schemeClr w14:val="tx1"/>
            </w14:solidFill>
          </w14:textFill>
        </w:rPr>
      </w:pPr>
      <w:bookmarkStart w:id="231" w:name="_Toc23532"/>
      <w:bookmarkStart w:id="232" w:name="_Toc309127560"/>
      <w:bookmarkStart w:id="233" w:name="_Toc32463"/>
      <w:bookmarkStart w:id="234" w:name="_Toc13918"/>
      <w:r>
        <w:rPr>
          <w:rFonts w:hint="eastAsia" w:ascii="Times New Roman" w:hAnsi="Times New Roman" w:eastAsia="仿宋_GB2312"/>
          <w:b w:val="0"/>
          <w:color w:val="000000" w:themeColor="text1"/>
          <w:sz w:val="30"/>
          <w:szCs w:val="30"/>
          <w14:textFill>
            <w14:solidFill>
              <w14:schemeClr w14:val="tx1"/>
            </w14:solidFill>
          </w14:textFill>
        </w:rPr>
        <w:t xml:space="preserve">10.1 </w:t>
      </w:r>
      <w:r>
        <w:rPr>
          <w:rFonts w:hint="eastAsia" w:ascii="黑体" w:hAnsi="黑体" w:cs="黑体"/>
          <w:b w:val="0"/>
          <w:color w:val="000000" w:themeColor="text1"/>
          <w:sz w:val="30"/>
          <w:szCs w:val="30"/>
          <w14:textFill>
            <w14:solidFill>
              <w14:schemeClr w14:val="tx1"/>
            </w14:solidFill>
          </w14:textFill>
        </w:rPr>
        <w:t>定制保障措施的重要性</w:t>
      </w:r>
      <w:bookmarkEnd w:id="231"/>
      <w:bookmarkEnd w:id="232"/>
      <w:bookmarkEnd w:id="233"/>
      <w:bookmarkEnd w:id="234"/>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10.1.1 组织保障</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需设立土地复垦实施管理机构，全面负责本方案土地复垦工作，按照</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14:textFill>
            <w14:solidFill>
              <w14:schemeClr w14:val="tx1"/>
            </w14:solidFill>
          </w14:textFill>
        </w:rPr>
        <w:t>建设规模，土地复垦管理机构设专职工作人员。明确分工、责任到人，同时制定本复垦方案实施的领导责任制，制定企业内部自我检查、监督制，杜绝边复垦、边损毁的现象发生，定期向主管领导汇报复垦进展情况，接受当地县级以上</w:t>
      </w:r>
      <w:r>
        <w:rPr>
          <w:rFonts w:hint="eastAsia" w:eastAsia="仿宋_GB2312"/>
          <w:color w:val="000000" w:themeColor="text1"/>
          <w:sz w:val="24"/>
          <w:lang w:eastAsia="zh-CN"/>
          <w14:textFill>
            <w14:solidFill>
              <w14:schemeClr w14:val="tx1"/>
            </w14:solidFill>
          </w14:textFill>
        </w:rPr>
        <w:t>自然资源主管部门</w:t>
      </w:r>
      <w:r>
        <w:rPr>
          <w:rFonts w:hint="eastAsia" w:eastAsia="仿宋_GB2312"/>
          <w:color w:val="000000" w:themeColor="text1"/>
          <w:sz w:val="24"/>
          <w14:textFill>
            <w14:solidFill>
              <w14:schemeClr w14:val="tx1"/>
            </w14:solidFill>
          </w14:textFill>
        </w:rPr>
        <w:t xml:space="preserve">对本方案复垦工作的监督检查。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14:textFill>
            <w14:solidFill>
              <w14:schemeClr w14:val="tx1"/>
            </w14:solidFill>
          </w14:textFill>
        </w:rPr>
        <w:t xml:space="preserve">企业管理机构应严格按照建设工程招投标制度选择和确定施工队伍，并对施工队伍的资质、人员的素质乃至项目经理、工程师的经历、能力进行必要的严格的考核。一方面保证工程质量，另一方面使土地复垦投资合理化。同时，加强规章制度建设和业务学习培训，防止质量事故、安全事故的发生。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hint="eastAsia" w:ascii="黑体" w:hAnsi="黑体" w:eastAsia="黑体" w:cs="黑体"/>
          <w:color w:val="000000" w:themeColor="text1"/>
          <w:sz w:val="24"/>
          <w14:textFill>
            <w14:solidFill>
              <w14:schemeClr w14:val="tx1"/>
            </w14:solidFill>
          </w14:textFill>
        </w:rPr>
      </w:pPr>
      <w:r>
        <w:rPr>
          <w:rFonts w:eastAsia="黑体"/>
          <w:color w:val="000000" w:themeColor="text1"/>
          <w:sz w:val="28"/>
          <w14:textFill>
            <w14:solidFill>
              <w14:schemeClr w14:val="tx1"/>
            </w14:solidFill>
          </w14:textFill>
        </w:rPr>
        <w:t>10.1.2 管理保障</w:t>
      </w:r>
      <w:r>
        <w:rPr>
          <w:rFonts w:hint="eastAsia" w:ascii="黑体" w:hAnsi="黑体" w:eastAsia="黑体" w:cs="黑体"/>
          <w:color w:val="000000" w:themeColor="text1"/>
          <w:sz w:val="24"/>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a）加强对复垦后土地的管理，严格执行《新疆克孜河大桥渠首除险加固工程临时用地土地复垦方案报告书》中的相关复垦责任义务；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b）按照方案确定的年度复垦方案逐地块落实，对土地复垦实行统一管理；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c）保护土地复垦单位的利益，调动土地复垦的积极性；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d）坚持全面规划，综合治理，要治理一片见效一片，不搞半截子工程。</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e）同时对施工单位组织学习、宣传工作，提高工程建设者的土地复垦自觉行动意识。同时应配备土地复垦专业人员，以解决措施实施过程中的技术问题，接受当地主管部门的监督检查。 </w:t>
      </w:r>
      <w:bookmarkStart w:id="235" w:name="_Toc15410"/>
    </w:p>
    <w:p>
      <w:pPr>
        <w:pStyle w:val="5"/>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hint="eastAsia" w:ascii="Times New Roman" w:hAnsi="Times New Roman" w:eastAsia="仿宋_GB2312"/>
          <w:b w:val="0"/>
          <w:color w:val="000000" w:themeColor="text1"/>
          <w:sz w:val="30"/>
          <w:szCs w:val="30"/>
          <w14:textFill>
            <w14:solidFill>
              <w14:schemeClr w14:val="tx1"/>
            </w14:solidFill>
          </w14:textFill>
        </w:rPr>
      </w:pPr>
      <w:bookmarkStart w:id="236" w:name="_Toc28964"/>
      <w:bookmarkStart w:id="237" w:name="_Toc15013"/>
      <w:r>
        <w:rPr>
          <w:rFonts w:hint="eastAsia" w:ascii="Times New Roman" w:hAnsi="Times New Roman" w:eastAsia="仿宋_GB2312"/>
          <w:b w:val="0"/>
          <w:color w:val="000000" w:themeColor="text1"/>
          <w:sz w:val="30"/>
          <w:szCs w:val="30"/>
          <w14:textFill>
            <w14:solidFill>
              <w14:schemeClr w14:val="tx1"/>
            </w14:solidFill>
          </w14:textFill>
        </w:rPr>
        <w:t xml:space="preserve">10.2 </w:t>
      </w:r>
      <w:r>
        <w:rPr>
          <w:rFonts w:hint="eastAsia" w:ascii="黑体" w:hAnsi="黑体" w:cs="黑体"/>
          <w:b w:val="0"/>
          <w:color w:val="000000" w:themeColor="text1"/>
          <w:sz w:val="30"/>
          <w:szCs w:val="30"/>
          <w14:textFill>
            <w14:solidFill>
              <w14:schemeClr w14:val="tx1"/>
            </w14:solidFill>
          </w14:textFill>
        </w:rPr>
        <w:t>费用保障措施</w:t>
      </w:r>
      <w:bookmarkEnd w:id="235"/>
      <w:bookmarkEnd w:id="236"/>
      <w:bookmarkEnd w:id="237"/>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 xml:space="preserve">10.2.1 资金来源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复垦资金的保证是土地复垦工作顺利开展和取得成功的重要保证。没有资金支持，即使拥有再好的复垦技术和复垦条件，要想取得良好的治理效果也是非常困难的。根据我国《土地复垦条例》（国务院令[2011]第592号）第3条和15条的规定：生产建设活动损毁的土地，按照“谁损毁、谁复垦”的原则，由生产建设单位或者个人（土地复垦义务人）负责复垦；土地复垦义务人应当将土地复垦费用列入生产成本或者建设项目总投资。另《关于加强生产建设项目土地复垦管理工作的通知》（国土资发[2006]225号）也明确规定：“土地复垦费要列入生产成本或建设项目总投资并足额预算”。这都表明了土地复垦费用应由生产或建设单位全部承担并将其计入生产成本或建设总投资。该项目土地复垦工程静态总投资</w:t>
      </w:r>
      <w:r>
        <w:rPr>
          <w:rFonts w:hint="eastAsia" w:eastAsia="仿宋_GB2312"/>
          <w:color w:val="000000" w:themeColor="text1"/>
          <w:sz w:val="24"/>
          <w:lang w:val="en-US" w:eastAsia="zh-CN"/>
          <w14:textFill>
            <w14:solidFill>
              <w14:schemeClr w14:val="tx1"/>
            </w14:solidFill>
          </w14:textFill>
        </w:rPr>
        <w:t>26.31</w:t>
      </w:r>
      <w:r>
        <w:rPr>
          <w:rFonts w:hint="eastAsia" w:eastAsia="仿宋_GB2312"/>
          <w:color w:val="000000" w:themeColor="text1"/>
          <w:sz w:val="24"/>
          <w:lang w:eastAsia="zh-CN"/>
          <w14:textFill>
            <w14:solidFill>
              <w14:schemeClr w14:val="tx1"/>
            </w14:solidFill>
          </w14:textFill>
        </w:rPr>
        <w:t>万元，全部为建设单位自筹资金，列入该项目建设总投资，由喀什地区盖孜库山河流域管理处承担。</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10.2.</w:t>
      </w:r>
      <w:r>
        <w:rPr>
          <w:rFonts w:hint="eastAsia" w:eastAsia="黑体"/>
          <w:color w:val="000000" w:themeColor="text1"/>
          <w:sz w:val="28"/>
          <w:lang w:val="en-US" w:eastAsia="zh-CN"/>
          <w14:textFill>
            <w14:solidFill>
              <w14:schemeClr w14:val="tx1"/>
            </w14:solidFill>
          </w14:textFill>
        </w:rPr>
        <w:t>2</w:t>
      </w:r>
      <w:r>
        <w:rPr>
          <w:rFonts w:eastAsia="黑体"/>
          <w:color w:val="000000" w:themeColor="text1"/>
          <w:sz w:val="28"/>
          <w14:textFill>
            <w14:solidFill>
              <w14:schemeClr w14:val="tx1"/>
            </w14:solidFill>
          </w14:textFill>
        </w:rPr>
        <w:t xml:space="preserve"> 费用存放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 xml:space="preserve">喀什地区盖孜库山河流域管理处在当地银行建立“新疆克孜河大桥渠首除险加固工程土地复垦资金专用账户”，将土地复垦费用存入复垦费用专用账户中，结合复垦工作计划安排，并与当地自然资源主管部门、银行三方签订“土地复垦费用监管协议”，协议中需明确各方的责任，复垦费用的具体监管手段。土地复垦费用专用账户按照“企业所有，政府监管，专户存储、专款专用”的原则管理。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每年年初企业应根据当年的土地复垦费用计提计划对复垦费用进行提取，并及时存入企业在当地银行建立的“该项目土地复垦资金专用账户”中。自然资源主管部门将按照每年土地复垦计划，对</w:t>
      </w:r>
      <w:r>
        <w:rPr>
          <w:rFonts w:hint="eastAsia" w:eastAsia="仿宋_GB2312"/>
          <w:color w:val="000000" w:themeColor="text1"/>
          <w:kern w:val="2"/>
          <w:sz w:val="24"/>
          <w:szCs w:val="24"/>
          <w:lang w:val="en-US" w:eastAsia="zh-CN" w:bidi="ar-SA"/>
          <w14:textFill>
            <w14:solidFill>
              <w14:schemeClr w14:val="tx1"/>
            </w14:solidFill>
          </w14:textFill>
        </w:rPr>
        <w:t>土地</w:t>
      </w:r>
      <w:r>
        <w:rPr>
          <w:rFonts w:hint="eastAsia" w:eastAsia="仿宋_GB2312"/>
          <w:color w:val="000000" w:themeColor="text1"/>
          <w:sz w:val="24"/>
          <w:lang w:eastAsia="zh-CN"/>
          <w14:textFill>
            <w14:solidFill>
              <w14:schemeClr w14:val="tx1"/>
            </w14:solidFill>
          </w14:textFill>
        </w:rPr>
        <w:t xml:space="preserve">复垦资金专用账户中的资金存储、使用情况进行监督管理。银行协助当地自然资源主管部门对该项目土地复垦费用的存储、支取进行监督管理。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10.2.</w:t>
      </w:r>
      <w:r>
        <w:rPr>
          <w:rFonts w:hint="eastAsia" w:eastAsia="黑体"/>
          <w:color w:val="000000" w:themeColor="text1"/>
          <w:sz w:val="28"/>
          <w:lang w:val="en-US" w:eastAsia="zh-CN"/>
          <w14:textFill>
            <w14:solidFill>
              <w14:schemeClr w14:val="tx1"/>
            </w14:solidFill>
          </w14:textFill>
        </w:rPr>
        <w:t>3</w:t>
      </w:r>
      <w:r>
        <w:rPr>
          <w:rFonts w:eastAsia="黑体"/>
          <w:color w:val="000000" w:themeColor="text1"/>
          <w:sz w:val="28"/>
          <w14:textFill>
            <w14:solidFill>
              <w14:schemeClr w14:val="tx1"/>
            </w14:solidFill>
          </w14:textFill>
        </w:rPr>
        <w:t xml:space="preserve"> 费用使用与管理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喀什地区盖孜库山河流域管理处根据新疆克孜河大桥渠首除险加固工程土地复垦工程的进度安排合理使用土地复垦资金，服从接受上级自然资源主管部门对该项目复垦资金的提取、使用的监管与监督。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10.2.</w:t>
      </w:r>
      <w:r>
        <w:rPr>
          <w:rFonts w:hint="eastAsia" w:eastAsia="黑体"/>
          <w:color w:val="000000" w:themeColor="text1"/>
          <w:sz w:val="28"/>
          <w:lang w:val="en-US" w:eastAsia="zh-CN"/>
          <w14:textFill>
            <w14:solidFill>
              <w14:schemeClr w14:val="tx1"/>
            </w14:solidFill>
          </w14:textFill>
        </w:rPr>
        <w:t>4</w:t>
      </w:r>
      <w:r>
        <w:rPr>
          <w:rFonts w:eastAsia="黑体"/>
          <w:color w:val="000000" w:themeColor="text1"/>
          <w:sz w:val="28"/>
          <w14:textFill>
            <w14:solidFill>
              <w14:schemeClr w14:val="tx1"/>
            </w14:solidFill>
          </w14:textFill>
        </w:rPr>
        <w:t xml:space="preserve"> 费用审计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土地复垦资金审计，由喀什地区盖孜库山河流域管理处土地复垦管理机构申请，自然资源主管部门组织和监督，委托中介机构（如：会计师事务所）进行复垦费用审计。审计内容包括费用规模、用途、时间进度等。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a）审计复垦年度资金预算是否合理；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b）审计复垦资金使用情况月度报表是否真实；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c）审计复垦年度资金预算执行情况，以及年度复垦资金收支情况；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d）审计阶段复垦资金收支及使用情况；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e）确定资金的会计记录正确无误，金额正确，计量无误，明细帐和总帐一致，是否有被贪污或挪用现象。</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jc w:val="left"/>
        <w:textAlignment w:val="auto"/>
        <w:rPr>
          <w:rFonts w:ascii="Times New Roman" w:hAnsi="Times New Roman"/>
          <w:b w:val="0"/>
          <w:bCs w:val="0"/>
          <w:color w:val="000000" w:themeColor="text1"/>
          <w:sz w:val="30"/>
          <w:szCs w:val="30"/>
          <w14:textFill>
            <w14:solidFill>
              <w14:schemeClr w14:val="tx1"/>
            </w14:solidFill>
          </w14:textFill>
        </w:rPr>
      </w:pPr>
      <w:bookmarkStart w:id="238" w:name="_Toc23671"/>
      <w:bookmarkStart w:id="239" w:name="_Toc20556"/>
      <w:bookmarkStart w:id="240" w:name="_Toc18992"/>
      <w:bookmarkStart w:id="241" w:name="_Toc11115"/>
      <w:r>
        <w:rPr>
          <w:rFonts w:ascii="Times New Roman" w:hAnsi="Times New Roman"/>
          <w:b w:val="0"/>
          <w:bCs w:val="0"/>
          <w:color w:val="000000" w:themeColor="text1"/>
          <w:sz w:val="30"/>
          <w:szCs w:val="30"/>
          <w14:textFill>
            <w14:solidFill>
              <w14:schemeClr w14:val="tx1"/>
            </w14:solidFill>
          </w14:textFill>
        </w:rPr>
        <w:t>10.3 监管保障措施</w:t>
      </w:r>
      <w:bookmarkEnd w:id="238"/>
      <w:bookmarkEnd w:id="239"/>
      <w:bookmarkEnd w:id="240"/>
      <w:bookmarkEnd w:id="241"/>
      <w:r>
        <w:rPr>
          <w:rFonts w:ascii="Times New Roman" w:hAnsi="Times New Roman"/>
          <w:b w:val="0"/>
          <w:bCs w:val="0"/>
          <w:color w:val="000000" w:themeColor="text1"/>
          <w:sz w:val="30"/>
          <w:szCs w:val="30"/>
          <w14:textFill>
            <w14:solidFill>
              <w14:schemeClr w14:val="tx1"/>
            </w14:solidFill>
          </w14:textFill>
        </w:rPr>
        <w:t xml:space="preserve">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 xml:space="preserve">10.3.1 土地复垦监测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本项目土地复垦过程中的监测包括三个方面：一是复垦前后植被状况监测，内容包括植被成活率、长势的监测；二是复垦前后土壤侵蚀监测，通过对土壤侵蚀过程的监测，及时采取措施，防止土地沙化对项目区复垦工作的不利影响及对周边地区的影响；三是复垦前后土壤质量监测，监测内容包括土壤有机质含量、土壤pH值等，通过监测，及时掌握复垦土地质量情况。通过严格监测，使复垦土地符合土地复垦质量要求和环境保护标准，保护土壤质量与生态环境。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新疆克孜河大桥渠首除险加固工程土地复垦监测实施以喀什地区盖孜库山河流域管理处土地复垦管理部门为主，不定期请当地的植物学、生态学、土壤学等专家进行。土地复垦管理部门应当于每年12月31日前向当地县级以上地方人民政府自然资源主管部门报告该项目当年的土地损毁情况、土地复垦费用使用情况及土地复垦工程实施情况，积极配合当地国土部门对土地复垦费用的使用和土地复垦工程实施情况的监督检查。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若该项目土地复垦管理部门拒绝、阻碍上级自然资源主管部门监督检查，或者在接受监督检查时弄虚作假的，由上级自然资源主管部门责令改正，处2万元以上5万元以下的罚款；有关责任人员构成违反治安管理行为的，由公安机关依法予以治安管理处罚；有关责任人员构成犯罪的，依法追究刑事责任。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 xml:space="preserve">10.3.2 土地复垦验收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参与项目勘察、设计、施工及管理的单位，必须具备国家规定的资质条件，取得相应的资质证书；项目质量管理必须严格按照有关规范、规程执行，做到责任明确，奖罚分明，施工所需材料须经质检部门验收合格后方可使用。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喀什地区盖孜库山河流域管理处按照土地复垦方案的要求完成该项目土地复垦任务后，应当按照国务院自然资源主管部门的规定向所在地县级以上地方人民政府自然资源主管部门申请验收，接到申请的自然资源主管部门将会同同级农业、林业、环境保护等有关部门邀请有关专家进行现场踏勘，查验复垦后的土地是否符合土地复垦质量要求以及土地复垦方案的要求，核实复垦后的土地类型、面积和质量等情况，并将初步验收结果公告，听取相关权利人的意见。相关权利人对土地复垦完成情况提出异议的，自然资源主管部门将会同有关部门进一步核查，并将核查情况向相关权利人反馈；情况属实的，应当向土地复垦义务人提出整改意见。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该项目土地复垦验收分两个阶段进行。第一个阶段验收时间为复垦工程完工之后，重点验收对象为采取工程措施复垦的内容，验收标准为工程措施标准；第二阶段验收时间为生态系统基本稳定之后，一般为管护期3年结束之后，重点验收对象为生态系统中的生物因子，验收标准主要为植物生长情况、植被覆盖度、覆盖度等生物指标。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土地复垦经验收合格的，自然资源主管部门将向该项目土地复垦机构出具验收合格确认书；经验收不合格的，将向该公司出具书面整改意见，公司应按照整改意见进行整改，整改完成后重新申请验收。若整改后仍不合格的，应当缴纳土地复垦费，由有关自然资源主管部门代为组织复垦。若该公司未按规定缴纳该项目土地复垦费的，由县级以上地方人民政府自然资源主管部门责令限期缴纳；逾期不缴纳的，根据国家相关规定处罚。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若疏勒县自然资源局未按照规定报告该项目土地损毁情况、土地复垦费用使用情况或者土地复垦工程实施情况的，由上级自然资源主管部门责令限期改正；逾期不改正的，根据国家相关规定处罚。 </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jc w:val="left"/>
        <w:textAlignment w:val="auto"/>
        <w:rPr>
          <w:rFonts w:ascii="Times New Roman" w:hAnsi="Times New Roman"/>
          <w:b w:val="0"/>
          <w:bCs w:val="0"/>
          <w:color w:val="000000" w:themeColor="text1"/>
          <w:sz w:val="30"/>
          <w:szCs w:val="30"/>
          <w14:textFill>
            <w14:solidFill>
              <w14:schemeClr w14:val="tx1"/>
            </w14:solidFill>
          </w14:textFill>
        </w:rPr>
      </w:pPr>
      <w:bookmarkStart w:id="242" w:name="_Toc21854"/>
      <w:bookmarkStart w:id="243" w:name="_Toc18124"/>
      <w:bookmarkStart w:id="244" w:name="_Toc17790"/>
      <w:bookmarkStart w:id="245" w:name="_Toc17483"/>
      <w:r>
        <w:rPr>
          <w:rFonts w:ascii="Times New Roman" w:hAnsi="Times New Roman"/>
          <w:b w:val="0"/>
          <w:bCs w:val="0"/>
          <w:color w:val="000000" w:themeColor="text1"/>
          <w:sz w:val="30"/>
          <w:szCs w:val="30"/>
          <w14:textFill>
            <w14:solidFill>
              <w14:schemeClr w14:val="tx1"/>
            </w14:solidFill>
          </w14:textFill>
        </w:rPr>
        <w:t>10.4 技术保障措施</w:t>
      </w:r>
      <w:bookmarkEnd w:id="242"/>
      <w:bookmarkEnd w:id="243"/>
      <w:bookmarkEnd w:id="244"/>
      <w:bookmarkEnd w:id="245"/>
      <w:r>
        <w:rPr>
          <w:rFonts w:ascii="Times New Roman" w:hAnsi="Times New Roman"/>
          <w:b w:val="0"/>
          <w:bCs w:val="0"/>
          <w:color w:val="000000" w:themeColor="text1"/>
          <w:sz w:val="30"/>
          <w:szCs w:val="30"/>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土地复垦工作人员须掌握土地复垦基础知识，受过相关专业的专门训练；在施工过程中技术人员要亲临现场进行施工监理，确保工程施工的质量及标准，及时解决复垦过程中的问题。本项目区的土地复垦工程与项目所在地区的相关规划和生态环境综合治理工作密切结合，在实际的复垦过程中，喀什地区盖孜库山河流域管理处将联合相关科研机构及当地的自然资源、环保、农业等政府部门，进行多方联手攻关，保证复垦生态系统向良性方向发展。</w:t>
      </w:r>
    </w:p>
    <w:p>
      <w:pPr>
        <w:pStyle w:val="5"/>
        <w:pageBreakBefore w:val="0"/>
        <w:kinsoku/>
        <w:wordWrap/>
        <w:overflowPunct/>
        <w:topLinePunct w:val="0"/>
        <w:autoSpaceDE/>
        <w:autoSpaceDN/>
        <w:bidi w:val="0"/>
        <w:adjustRightInd w:val="0"/>
        <w:snapToGrid w:val="0"/>
        <w:spacing w:before="0" w:after="0" w:line="360" w:lineRule="auto"/>
        <w:ind w:left="0" w:leftChars="0" w:right="0" w:rightChars="0"/>
        <w:jc w:val="left"/>
        <w:textAlignment w:val="auto"/>
        <w:rPr>
          <w:rFonts w:ascii="Times New Roman" w:hAnsi="Times New Roman"/>
          <w:b w:val="0"/>
          <w:bCs w:val="0"/>
          <w:color w:val="000000" w:themeColor="text1"/>
          <w:sz w:val="30"/>
          <w:szCs w:val="30"/>
          <w14:textFill>
            <w14:solidFill>
              <w14:schemeClr w14:val="tx1"/>
            </w14:solidFill>
          </w14:textFill>
        </w:rPr>
      </w:pPr>
      <w:bookmarkStart w:id="246" w:name="_Toc17812"/>
      <w:bookmarkStart w:id="247" w:name="_Toc22563"/>
      <w:bookmarkStart w:id="248" w:name="_Toc3629"/>
      <w:bookmarkStart w:id="249" w:name="_Toc30811"/>
      <w:r>
        <w:rPr>
          <w:rFonts w:ascii="Times New Roman" w:hAnsi="Times New Roman"/>
          <w:b w:val="0"/>
          <w:bCs w:val="0"/>
          <w:color w:val="000000" w:themeColor="text1"/>
          <w:sz w:val="30"/>
          <w:szCs w:val="30"/>
          <w14:textFill>
            <w14:solidFill>
              <w14:schemeClr w14:val="tx1"/>
            </w14:solidFill>
          </w14:textFill>
        </w:rPr>
        <w:t>10.5 公众参与</w:t>
      </w:r>
      <w:bookmarkEnd w:id="246"/>
      <w:bookmarkEnd w:id="247"/>
      <w:bookmarkEnd w:id="248"/>
      <w:bookmarkEnd w:id="249"/>
      <w:r>
        <w:rPr>
          <w:rFonts w:ascii="Times New Roman" w:hAnsi="Times New Roman"/>
          <w:b w:val="0"/>
          <w:bCs w:val="0"/>
          <w:color w:val="000000" w:themeColor="text1"/>
          <w:sz w:val="30"/>
          <w:szCs w:val="30"/>
          <w14:textFill>
            <w14:solidFill>
              <w14:schemeClr w14:val="tx1"/>
            </w14:solidFill>
          </w14:textFill>
        </w:rPr>
        <w:t xml:space="preserve"> </w:t>
      </w:r>
    </w:p>
    <w:p>
      <w:pPr>
        <w:pStyle w:val="6"/>
        <w:pageBreakBefore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eastAsia="黑体"/>
          <w:color w:val="000000" w:themeColor="text1"/>
          <w:sz w:val="28"/>
          <w14:textFill>
            <w14:solidFill>
              <w14:schemeClr w14:val="tx1"/>
            </w14:solidFill>
          </w14:textFill>
        </w:rPr>
      </w:pPr>
      <w:r>
        <w:rPr>
          <w:rFonts w:eastAsia="黑体"/>
          <w:color w:val="000000" w:themeColor="text1"/>
          <w:sz w:val="28"/>
          <w14:textFill>
            <w14:solidFill>
              <w14:schemeClr w14:val="tx1"/>
            </w14:solidFill>
          </w14:textFill>
        </w:rPr>
        <w:t>10.5.1 复垦方案编制中的公众参与</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本复垦方案编制过程中，为使评价工作更具民主化、公众化，遵循公众广泛参与的原则，多次征求当地群众、专家领导以及当地自然资源、环保、林业、农业等相关部门的意见，以保证本方案的合理性以及适用性。公众参与调查表的发放对象为该项目沿线居民、及喀什市自然资源局、疏附县自然资源局、疏勒县自然资源局工作人员等。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a）现场问卷调查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在喀什地区盖孜库山河流域管理处工作人员陪同下，方案编制人员认真实地踏勘了项目建设损毁土地区域，听取了调查对象的意见，通过调查，调查对象主要提出了以下几点问题和意见：一是担心工程施工期废水、噪声等污染问题；二是希望能改善当地的自然环境，尽快恢复土地生产功能。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1）调查问卷回收情况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eastAsia="仿宋_GB2312"/>
          <w:color w:val="000000" w:themeColor="text1"/>
          <w:kern w:val="2"/>
          <w:sz w:val="24"/>
          <w:szCs w:val="24"/>
          <w:lang w:val="en-US" w:eastAsia="zh-CN" w:bidi="ar-SA"/>
          <w14:textFill>
            <w14:solidFill>
              <w14:schemeClr w14:val="tx1"/>
            </w14:solidFill>
          </w14:textFill>
        </w:rPr>
      </w:pPr>
      <w:r>
        <w:rPr>
          <w:rFonts w:hint="default" w:eastAsia="仿宋_GB2312"/>
          <w:color w:val="000000" w:themeColor="text1"/>
          <w:kern w:val="2"/>
          <w:sz w:val="24"/>
          <w:szCs w:val="24"/>
          <w:lang w:val="en-US" w:eastAsia="zh-CN" w:bidi="ar-SA"/>
          <w14:textFill>
            <w14:solidFill>
              <w14:schemeClr w14:val="tx1"/>
            </w14:solidFill>
          </w14:textFill>
        </w:rPr>
        <w:t>调查问卷共</w:t>
      </w:r>
      <w:r>
        <w:rPr>
          <w:rFonts w:hint="eastAsia" w:eastAsia="仿宋_GB2312"/>
          <w:color w:val="000000" w:themeColor="text1"/>
          <w:kern w:val="2"/>
          <w:sz w:val="24"/>
          <w:szCs w:val="24"/>
          <w:lang w:val="en-US" w:eastAsia="zh-CN" w:bidi="ar-SA"/>
          <w14:textFill>
            <w14:solidFill>
              <w14:schemeClr w14:val="tx1"/>
            </w14:solidFill>
          </w14:textFill>
        </w:rPr>
        <w:t>10</w:t>
      </w:r>
      <w:r>
        <w:rPr>
          <w:rFonts w:hint="default" w:eastAsia="仿宋_GB2312"/>
          <w:color w:val="000000" w:themeColor="text1"/>
          <w:kern w:val="2"/>
          <w:sz w:val="24"/>
          <w:szCs w:val="24"/>
          <w:lang w:val="en-US" w:eastAsia="zh-CN" w:bidi="ar-SA"/>
          <w14:textFill>
            <w14:solidFill>
              <w14:schemeClr w14:val="tx1"/>
            </w14:solidFill>
          </w14:textFill>
        </w:rPr>
        <w:t>份，回收有效问卷</w:t>
      </w:r>
      <w:r>
        <w:rPr>
          <w:rFonts w:hint="eastAsia" w:eastAsia="仿宋_GB2312"/>
          <w:color w:val="000000" w:themeColor="text1"/>
          <w:kern w:val="2"/>
          <w:sz w:val="24"/>
          <w:szCs w:val="24"/>
          <w:lang w:val="en-US" w:eastAsia="zh-CN" w:bidi="ar-SA"/>
          <w14:textFill>
            <w14:solidFill>
              <w14:schemeClr w14:val="tx1"/>
            </w14:solidFill>
          </w14:textFill>
        </w:rPr>
        <w:t>10</w:t>
      </w:r>
      <w:r>
        <w:rPr>
          <w:rFonts w:hint="default" w:eastAsia="仿宋_GB2312"/>
          <w:color w:val="000000" w:themeColor="text1"/>
          <w:kern w:val="2"/>
          <w:sz w:val="24"/>
          <w:szCs w:val="24"/>
          <w:lang w:val="en-US" w:eastAsia="zh-CN" w:bidi="ar-SA"/>
          <w14:textFill>
            <w14:solidFill>
              <w14:schemeClr w14:val="tx1"/>
            </w14:solidFill>
          </w14:textFill>
        </w:rPr>
        <w:t>份。调查对象为</w:t>
      </w:r>
      <w:r>
        <w:rPr>
          <w:rFonts w:hint="eastAsia" w:eastAsia="仿宋_GB2312"/>
          <w:color w:val="000000" w:themeColor="text1"/>
          <w:kern w:val="2"/>
          <w:sz w:val="24"/>
          <w:szCs w:val="24"/>
          <w:lang w:val="en-US" w:eastAsia="zh-CN" w:bidi="ar-SA"/>
          <w14:textFill>
            <w14:solidFill>
              <w14:schemeClr w14:val="tx1"/>
            </w14:solidFill>
          </w14:textFill>
        </w:rPr>
        <w:t>喀什市自然资源局、疏附县自然资源局、疏勒县自然资源局</w:t>
      </w:r>
      <w:r>
        <w:rPr>
          <w:rFonts w:hint="default" w:eastAsia="仿宋_GB2312"/>
          <w:color w:val="000000" w:themeColor="text1"/>
          <w:kern w:val="2"/>
          <w:sz w:val="24"/>
          <w:szCs w:val="24"/>
          <w:lang w:val="en-US" w:eastAsia="zh-CN" w:bidi="ar-SA"/>
          <w14:textFill>
            <w14:solidFill>
              <w14:schemeClr w14:val="tx1"/>
            </w14:solidFill>
          </w14:textFill>
        </w:rPr>
        <w:t>工作人员</w:t>
      </w:r>
      <w:r>
        <w:rPr>
          <w:rFonts w:hint="eastAsia" w:eastAsia="仿宋_GB2312"/>
          <w:color w:val="000000" w:themeColor="text1"/>
          <w:kern w:val="2"/>
          <w:sz w:val="24"/>
          <w:szCs w:val="24"/>
          <w:lang w:val="en-US" w:eastAsia="zh-CN" w:bidi="ar-SA"/>
          <w14:textFill>
            <w14:solidFill>
              <w14:schemeClr w14:val="tx1"/>
            </w14:solidFill>
          </w14:textFill>
        </w:rPr>
        <w:t>3</w:t>
      </w:r>
      <w:r>
        <w:rPr>
          <w:rFonts w:hint="default" w:eastAsia="仿宋_GB2312"/>
          <w:color w:val="000000" w:themeColor="text1"/>
          <w:kern w:val="2"/>
          <w:sz w:val="24"/>
          <w:szCs w:val="24"/>
          <w:lang w:val="en-US" w:eastAsia="zh-CN" w:bidi="ar-SA"/>
          <w14:textFill>
            <w14:solidFill>
              <w14:schemeClr w14:val="tx1"/>
            </w14:solidFill>
          </w14:textFill>
        </w:rPr>
        <w:t>名、</w:t>
      </w:r>
      <w:r>
        <w:rPr>
          <w:rFonts w:hint="eastAsia" w:eastAsia="仿宋_GB2312"/>
          <w:color w:val="000000" w:themeColor="text1"/>
          <w:kern w:val="2"/>
          <w:sz w:val="24"/>
          <w:szCs w:val="24"/>
          <w:lang w:val="en-US" w:eastAsia="zh-CN" w:bidi="ar-SA"/>
          <w14:textFill>
            <w14:solidFill>
              <w14:schemeClr w14:val="tx1"/>
            </w14:solidFill>
          </w14:textFill>
        </w:rPr>
        <w:t>喀什地区盖孜库山河流域管理处</w:t>
      </w:r>
      <w:r>
        <w:rPr>
          <w:rFonts w:hint="default" w:eastAsia="仿宋_GB2312"/>
          <w:color w:val="000000" w:themeColor="text1"/>
          <w:kern w:val="2"/>
          <w:sz w:val="24"/>
          <w:szCs w:val="24"/>
          <w:lang w:val="en-US" w:eastAsia="zh-CN" w:bidi="ar-SA"/>
          <w14:textFill>
            <w14:solidFill>
              <w14:schemeClr w14:val="tx1"/>
            </w14:solidFill>
          </w14:textFill>
        </w:rPr>
        <w:t>工作人员</w:t>
      </w:r>
      <w:r>
        <w:rPr>
          <w:rFonts w:hint="eastAsia" w:eastAsia="仿宋_GB2312"/>
          <w:color w:val="000000" w:themeColor="text1"/>
          <w:kern w:val="2"/>
          <w:sz w:val="24"/>
          <w:szCs w:val="24"/>
          <w:lang w:val="en-US" w:eastAsia="zh-CN" w:bidi="ar-SA"/>
          <w14:textFill>
            <w14:solidFill>
              <w14:schemeClr w14:val="tx1"/>
            </w14:solidFill>
          </w14:textFill>
        </w:rPr>
        <w:t>2</w:t>
      </w:r>
      <w:r>
        <w:rPr>
          <w:rFonts w:hint="default" w:eastAsia="仿宋_GB2312"/>
          <w:color w:val="000000" w:themeColor="text1"/>
          <w:kern w:val="2"/>
          <w:sz w:val="24"/>
          <w:szCs w:val="24"/>
          <w:lang w:val="en-US" w:eastAsia="zh-CN" w:bidi="ar-SA"/>
          <w14:textFill>
            <w14:solidFill>
              <w14:schemeClr w14:val="tx1"/>
            </w14:solidFill>
          </w14:textFill>
        </w:rPr>
        <w:t>名，该项目</w:t>
      </w:r>
      <w:r>
        <w:rPr>
          <w:rFonts w:hint="eastAsia" w:eastAsia="仿宋_GB2312"/>
          <w:color w:val="000000" w:themeColor="text1"/>
          <w:kern w:val="2"/>
          <w:sz w:val="24"/>
          <w:szCs w:val="24"/>
          <w:lang w:val="en-US" w:eastAsia="zh-CN" w:bidi="ar-SA"/>
          <w14:textFill>
            <w14:solidFill>
              <w14:schemeClr w14:val="tx1"/>
            </w14:solidFill>
          </w14:textFill>
        </w:rPr>
        <w:t>区</w:t>
      </w:r>
      <w:r>
        <w:rPr>
          <w:rFonts w:hint="default" w:eastAsia="仿宋_GB2312"/>
          <w:color w:val="000000" w:themeColor="text1"/>
          <w:kern w:val="2"/>
          <w:sz w:val="24"/>
          <w:szCs w:val="24"/>
          <w:lang w:val="en-US" w:eastAsia="zh-CN" w:bidi="ar-SA"/>
          <w14:textFill>
            <w14:solidFill>
              <w14:schemeClr w14:val="tx1"/>
            </w14:solidFill>
          </w14:textFill>
        </w:rPr>
        <w:t>居民</w:t>
      </w:r>
      <w:r>
        <w:rPr>
          <w:rFonts w:hint="eastAsia" w:eastAsia="仿宋_GB2312"/>
          <w:color w:val="000000" w:themeColor="text1"/>
          <w:kern w:val="2"/>
          <w:sz w:val="24"/>
          <w:szCs w:val="24"/>
          <w:lang w:val="en-US" w:eastAsia="zh-CN" w:bidi="ar-SA"/>
          <w14:textFill>
            <w14:solidFill>
              <w14:schemeClr w14:val="tx1"/>
            </w14:solidFill>
          </w14:textFill>
        </w:rPr>
        <w:t>5</w:t>
      </w:r>
      <w:r>
        <w:rPr>
          <w:rFonts w:hint="default" w:eastAsia="仿宋_GB2312"/>
          <w:color w:val="000000" w:themeColor="text1"/>
          <w:kern w:val="2"/>
          <w:sz w:val="24"/>
          <w:szCs w:val="24"/>
          <w:lang w:val="en-US" w:eastAsia="zh-CN" w:bidi="ar-SA"/>
          <w14:textFill>
            <w14:solidFill>
              <w14:schemeClr w14:val="tx1"/>
            </w14:solidFill>
          </w14:textFill>
        </w:rPr>
        <w:t>名，共</w:t>
      </w:r>
      <w:r>
        <w:rPr>
          <w:rFonts w:hint="eastAsia" w:eastAsia="仿宋_GB2312"/>
          <w:color w:val="000000" w:themeColor="text1"/>
          <w:kern w:val="2"/>
          <w:sz w:val="24"/>
          <w:szCs w:val="24"/>
          <w:lang w:val="en-US" w:eastAsia="zh-CN" w:bidi="ar-SA"/>
          <w14:textFill>
            <w14:solidFill>
              <w14:schemeClr w14:val="tx1"/>
            </w14:solidFill>
          </w14:textFill>
        </w:rPr>
        <w:t>10</w:t>
      </w:r>
      <w:r>
        <w:rPr>
          <w:rFonts w:hint="default" w:eastAsia="仿宋_GB2312"/>
          <w:color w:val="000000" w:themeColor="text1"/>
          <w:kern w:val="2"/>
          <w:sz w:val="24"/>
          <w:szCs w:val="24"/>
          <w:lang w:val="en-US" w:eastAsia="zh-CN" w:bidi="ar-SA"/>
          <w14:textFill>
            <w14:solidFill>
              <w14:schemeClr w14:val="tx1"/>
            </w14:solidFill>
          </w14:textFill>
        </w:rPr>
        <w:t>人。</w:t>
      </w:r>
      <w:r>
        <w:rPr>
          <w:rFonts w:hint="eastAsia" w:eastAsia="仿宋_GB2312"/>
          <w:color w:val="000000" w:themeColor="text1"/>
          <w:kern w:val="2"/>
          <w:sz w:val="24"/>
          <w:szCs w:val="24"/>
          <w:lang w:val="en-US" w:eastAsia="zh-CN" w:bidi="ar-SA"/>
          <w14:textFill>
            <w14:solidFill>
              <w14:schemeClr w14:val="tx1"/>
            </w14:solidFill>
          </w14:textFill>
        </w:rPr>
        <w:t>调查形式为抽样调查，随机选取喀什市自然资源局、疏附县自然资源局、疏勒县自然资源局</w:t>
      </w:r>
      <w:r>
        <w:rPr>
          <w:rFonts w:hint="default" w:eastAsia="仿宋_GB2312"/>
          <w:color w:val="000000" w:themeColor="text1"/>
          <w:kern w:val="2"/>
          <w:sz w:val="24"/>
          <w:szCs w:val="24"/>
          <w:lang w:val="en-US" w:eastAsia="zh-CN" w:bidi="ar-SA"/>
          <w14:textFill>
            <w14:solidFill>
              <w14:schemeClr w14:val="tx1"/>
            </w14:solidFill>
          </w14:textFill>
        </w:rPr>
        <w:t>、</w:t>
      </w:r>
      <w:r>
        <w:rPr>
          <w:rFonts w:hint="eastAsia" w:eastAsia="仿宋_GB2312"/>
          <w:color w:val="000000" w:themeColor="text1"/>
          <w:kern w:val="2"/>
          <w:sz w:val="24"/>
          <w:szCs w:val="24"/>
          <w:lang w:val="en-US" w:eastAsia="zh-CN" w:bidi="ar-SA"/>
          <w14:textFill>
            <w14:solidFill>
              <w14:schemeClr w14:val="tx1"/>
            </w14:solidFill>
          </w14:textFill>
        </w:rPr>
        <w:t>喀什地区盖孜库山河流域管理处及项目区居民作为调查对象，土地复垦公众参与调查表见表10-1。</w:t>
      </w:r>
    </w:p>
    <w:p>
      <w:pPr>
        <w:pStyle w:val="17"/>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14:textFill>
            <w14:solidFill>
              <w14:schemeClr w14:val="tx1"/>
            </w14:solidFill>
          </w14:textFill>
        </w:rPr>
      </w:pPr>
    </w:p>
    <w:p>
      <w:pPr>
        <w:pStyle w:val="17"/>
        <w:pageBreakBefore w:val="0"/>
        <w:kinsoku/>
        <w:wordWrap/>
        <w:topLinePunct w:val="0"/>
        <w:bidi w:val="0"/>
        <w:adjustRightInd w:val="0"/>
        <w:snapToGrid w:val="0"/>
        <w:spacing w:line="360" w:lineRule="auto"/>
        <w:ind w:firstLine="480" w:firstLineChars="200"/>
        <w:rPr>
          <w:rFonts w:hint="default" w:ascii="Times New Roman" w:hAnsi="Times New Roman" w:eastAsia="仿宋_GB2312" w:cs="Times New Roman"/>
          <w:color w:val="000000" w:themeColor="text1"/>
          <w14:textFill>
            <w14:solidFill>
              <w14:schemeClr w14:val="tx1"/>
            </w14:solidFill>
          </w14:textFill>
        </w:rPr>
      </w:pPr>
    </w:p>
    <w:p>
      <w:pPr>
        <w:pStyle w:val="1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center"/>
        <w:textAlignment w:val="auto"/>
        <w:outlineLvl w:val="9"/>
        <w:rPr>
          <w:rFonts w:hint="eastAsia" w:ascii="黑体" w:hAnsi="黑体" w:eastAsia="黑体" w:cs="黑体"/>
          <w:b w:val="0"/>
          <w:bCs w:val="0"/>
          <w:color w:val="000000" w:themeColor="text1"/>
          <w:spacing w:val="0"/>
          <w:sz w:val="21"/>
          <w:szCs w:val="21"/>
          <w:lang w:eastAsia="zh-CN"/>
          <w14:textFill>
            <w14:solidFill>
              <w14:schemeClr w14:val="tx1"/>
            </w14:solidFill>
          </w14:textFill>
        </w:rPr>
      </w:pPr>
      <w:r>
        <w:rPr>
          <w:rFonts w:hint="eastAsia" w:ascii="黑体" w:hAnsi="黑体" w:eastAsia="黑体" w:cs="黑体"/>
          <w:b w:val="0"/>
          <w:bCs w:val="0"/>
          <w:color w:val="000000" w:themeColor="text1"/>
          <w:spacing w:val="0"/>
          <w:sz w:val="21"/>
          <w:szCs w:val="21"/>
          <w:lang w:eastAsia="zh-CN"/>
          <w14:textFill>
            <w14:solidFill>
              <w14:schemeClr w14:val="tx1"/>
            </w14:solidFill>
          </w14:textFill>
        </w:rPr>
        <w:br w:type="page"/>
      </w:r>
      <w:r>
        <w:rPr>
          <w:rFonts w:hint="eastAsia" w:ascii="黑体" w:hAnsi="黑体" w:eastAsia="黑体" w:cs="黑体"/>
          <w:b w:val="0"/>
          <w:bCs w:val="0"/>
          <w:color w:val="000000" w:themeColor="text1"/>
          <w:spacing w:val="0"/>
          <w:sz w:val="21"/>
          <w:szCs w:val="21"/>
          <w:lang w:eastAsia="zh-CN"/>
          <w14:textFill>
            <w14:solidFill>
              <w14:schemeClr w14:val="tx1"/>
            </w14:solidFill>
          </w14:textFill>
        </w:rPr>
        <w:t>表</w:t>
      </w:r>
      <w:r>
        <w:rPr>
          <w:rFonts w:hint="eastAsia" w:ascii="黑体" w:hAnsi="黑体" w:eastAsia="黑体" w:cs="黑体"/>
          <w:b w:val="0"/>
          <w:bCs w:val="0"/>
          <w:color w:val="000000" w:themeColor="text1"/>
          <w:spacing w:val="0"/>
          <w:sz w:val="21"/>
          <w:szCs w:val="21"/>
          <w:lang w:val="en-US" w:eastAsia="zh-CN"/>
          <w14:textFill>
            <w14:solidFill>
              <w14:schemeClr w14:val="tx1"/>
            </w14:solidFill>
          </w14:textFill>
        </w:rPr>
        <w:t xml:space="preserve">10-1 </w:t>
      </w:r>
      <w:r>
        <w:rPr>
          <w:rFonts w:hint="eastAsia" w:ascii="黑体" w:hAnsi="黑体" w:eastAsia="黑体" w:cs="黑体"/>
          <w:b w:val="0"/>
          <w:bCs w:val="0"/>
          <w:color w:val="000000" w:themeColor="text1"/>
          <w:spacing w:val="0"/>
          <w:kern w:val="0"/>
          <w:sz w:val="21"/>
          <w:szCs w:val="21"/>
          <w14:textFill>
            <w14:solidFill>
              <w14:schemeClr w14:val="tx1"/>
            </w14:solidFill>
          </w14:textFill>
        </w:rPr>
        <w:t>土地复垦公众参与调查表</w:t>
      </w:r>
    </w:p>
    <w:tbl>
      <w:tblPr>
        <w:tblStyle w:val="20"/>
        <w:tblW w:w="10545" w:type="dxa"/>
        <w:jc w:val="center"/>
        <w:tblInd w:w="0" w:type="dxa"/>
        <w:tblLayout w:type="fixed"/>
        <w:tblCellMar>
          <w:top w:w="15" w:type="dxa"/>
          <w:left w:w="15" w:type="dxa"/>
          <w:bottom w:w="15" w:type="dxa"/>
          <w:right w:w="15" w:type="dxa"/>
        </w:tblCellMar>
      </w:tblPr>
      <w:tblGrid>
        <w:gridCol w:w="450"/>
        <w:gridCol w:w="1220"/>
        <w:gridCol w:w="1569"/>
        <w:gridCol w:w="1215"/>
        <w:gridCol w:w="421"/>
        <w:gridCol w:w="1259"/>
        <w:gridCol w:w="785"/>
        <w:gridCol w:w="116"/>
        <w:gridCol w:w="1500"/>
        <w:gridCol w:w="2010"/>
      </w:tblGrid>
      <w:tr>
        <w:tblPrEx>
          <w:tblLayout w:type="fixed"/>
          <w:tblCellMar>
            <w:top w:w="15" w:type="dxa"/>
            <w:left w:w="15" w:type="dxa"/>
            <w:bottom w:w="15" w:type="dxa"/>
            <w:right w:w="15" w:type="dxa"/>
          </w:tblCellMar>
        </w:tblPrEx>
        <w:trPr>
          <w:trHeight w:val="369" w:hRule="atLeast"/>
          <w:jc w:val="center"/>
        </w:trPr>
        <w:tc>
          <w:tcPr>
            <w:tcW w:w="10545" w:type="dxa"/>
            <w:gridSpan w:val="10"/>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eastAsia="仿宋_GB2312"/>
                <w:b/>
                <w:color w:val="000000" w:themeColor="text1"/>
                <w:sz w:val="32"/>
                <w:szCs w:val="32"/>
                <w14:textFill>
                  <w14:solidFill>
                    <w14:schemeClr w14:val="tx1"/>
                  </w14:solidFill>
                </w14:textFill>
              </w:rPr>
            </w:pPr>
            <w:r>
              <w:rPr>
                <w:rFonts w:hint="eastAsia" w:eastAsia="仿宋_GB2312"/>
                <w:b/>
                <w:color w:val="000000" w:themeColor="text1"/>
                <w:spacing w:val="-18"/>
                <w:kern w:val="0"/>
                <w:sz w:val="28"/>
                <w:szCs w:val="28"/>
                <w:lang w:eastAsia="zh-CN"/>
                <w14:textFill>
                  <w14:solidFill>
                    <w14:schemeClr w14:val="tx1"/>
                  </w14:solidFill>
                </w14:textFill>
              </w:rPr>
              <w:t>新疆克孜河大桥渠首除险加固工程</w:t>
            </w:r>
            <w:r>
              <w:rPr>
                <w:rFonts w:hint="eastAsia" w:eastAsia="仿宋_GB2312"/>
                <w:b/>
                <w:color w:val="000000" w:themeColor="text1"/>
                <w:spacing w:val="-18"/>
                <w:kern w:val="0"/>
                <w:sz w:val="28"/>
                <w:szCs w:val="28"/>
                <w14:textFill>
                  <w14:solidFill>
                    <w14:schemeClr w14:val="tx1"/>
                  </w14:solidFill>
                </w14:textFill>
              </w:rPr>
              <w:t>土地复垦公众参与调查表</w:t>
            </w:r>
          </w:p>
        </w:tc>
      </w:tr>
      <w:tr>
        <w:tblPrEx>
          <w:tblLayout w:type="fixed"/>
          <w:tblCellMar>
            <w:top w:w="15" w:type="dxa"/>
            <w:left w:w="15" w:type="dxa"/>
            <w:bottom w:w="15" w:type="dxa"/>
            <w:right w:w="15" w:type="dxa"/>
          </w:tblCellMar>
        </w:tblPrEx>
        <w:trPr>
          <w:trHeight w:val="409" w:hRule="atLeast"/>
          <w:jc w:val="center"/>
        </w:trPr>
        <w:tc>
          <w:tcPr>
            <w:tcW w:w="1670" w:type="dxa"/>
            <w:gridSpan w:val="2"/>
            <w:tcBorders>
              <w:top w:val="single" w:color="000000" w:sz="4" w:space="0"/>
              <w:left w:val="single" w:color="000000" w:sz="4" w:space="0"/>
              <w:bottom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项目名称</w:t>
            </w:r>
          </w:p>
        </w:tc>
        <w:tc>
          <w:tcPr>
            <w:tcW w:w="5365" w:type="dxa"/>
            <w:gridSpan w:val="6"/>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1"/>
                <w:sz w:val="24"/>
                <w:szCs w:val="24"/>
                <w:lang w:eastAsia="zh-CN"/>
                <w14:textFill>
                  <w14:solidFill>
                    <w14:schemeClr w14:val="tx1"/>
                  </w14:solidFill>
                </w14:textFill>
              </w:rPr>
              <w:t>新疆克孜河大桥渠首除险加固工程</w:t>
            </w:r>
            <w:r>
              <w:rPr>
                <w:rFonts w:hint="eastAsia" w:ascii="仿宋_GB2312" w:hAnsi="仿宋_GB2312" w:eastAsia="仿宋_GB2312" w:cs="仿宋_GB2312"/>
                <w:color w:val="000000" w:themeColor="text1"/>
                <w:spacing w:val="-11"/>
                <w:sz w:val="24"/>
                <w:szCs w:val="24"/>
                <w14:textFill>
                  <w14:solidFill>
                    <w14:schemeClr w14:val="tx1"/>
                  </w14:solidFill>
                </w14:textFill>
              </w:rPr>
              <w:t>土地复垦</w:t>
            </w:r>
          </w:p>
        </w:tc>
        <w:tc>
          <w:tcPr>
            <w:tcW w:w="1500" w:type="dxa"/>
            <w:tcBorders>
              <w:top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问卷编号</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bidi w:val="0"/>
              <w:adjustRightInd w:val="0"/>
              <w:snapToGrid w:val="0"/>
              <w:rPr>
                <w:rFonts w:eastAsia="仿宋_GB2312"/>
                <w:color w:val="000000" w:themeColor="text1"/>
                <w:sz w:val="24"/>
                <w:szCs w:val="24"/>
                <w14:textFill>
                  <w14:solidFill>
                    <w14:schemeClr w14:val="tx1"/>
                  </w14:solidFill>
                </w14:textFill>
              </w:rPr>
            </w:pPr>
          </w:p>
        </w:tc>
      </w:tr>
      <w:tr>
        <w:tblPrEx>
          <w:tblLayout w:type="fixed"/>
          <w:tblCellMar>
            <w:top w:w="15" w:type="dxa"/>
            <w:left w:w="15" w:type="dxa"/>
            <w:bottom w:w="15" w:type="dxa"/>
            <w:right w:w="15" w:type="dxa"/>
          </w:tblCellMar>
        </w:tblPrEx>
        <w:trPr>
          <w:trHeight w:val="1718" w:hRule="atLeast"/>
          <w:jc w:val="center"/>
        </w:trPr>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项目概</w:t>
            </w:r>
            <w:r>
              <w:rPr>
                <w:rFonts w:hint="eastAsia" w:eastAsia="仿宋_GB2312"/>
                <w:color w:val="000000" w:themeColor="text1"/>
                <w:kern w:val="0"/>
                <w:sz w:val="24"/>
                <w:szCs w:val="24"/>
                <w14:textFill>
                  <w14:solidFill>
                    <w14:schemeClr w14:val="tx1"/>
                  </w14:solidFill>
                </w14:textFill>
              </w:rPr>
              <w:t>况</w:t>
            </w:r>
          </w:p>
        </w:tc>
        <w:tc>
          <w:tcPr>
            <w:tcW w:w="8875" w:type="dxa"/>
            <w:gridSpan w:val="8"/>
            <w:tcBorders>
              <w:left w:val="single" w:color="000000" w:sz="4" w:space="0"/>
              <w:bottom w:val="single" w:color="000000" w:sz="4" w:space="0"/>
              <w:right w:val="single" w:color="000000" w:sz="4" w:space="0"/>
            </w:tcBorders>
            <w:noWrap w:val="0"/>
            <w:vAlign w:val="center"/>
          </w:tcPr>
          <w:p>
            <w:pPr>
              <w:pageBreakBefore w:val="0"/>
              <w:kinsoku/>
              <w:wordWrap/>
              <w:topLinePunct w:val="0"/>
              <w:autoSpaceDE/>
              <w:autoSpaceDN/>
              <w:bidi w:val="0"/>
              <w:adjustRightInd w:val="0"/>
              <w:snapToGrid w:val="0"/>
              <w:spacing w:line="360" w:lineRule="auto"/>
              <w:ind w:left="0" w:leftChars="0" w:right="0" w:rightChars="0" w:firstLine="480" w:firstLineChars="200"/>
              <w:textAlignment w:val="auto"/>
              <w:rPr>
                <w:rFonts w:eastAsia="仿宋_GB2312"/>
                <w:color w:val="000000" w:themeColor="text1"/>
                <w:sz w:val="24"/>
                <w:szCs w:val="24"/>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为</w:t>
            </w:r>
            <w:r>
              <w:rPr>
                <w:rFonts w:hint="eastAsia" w:eastAsia="仿宋_GB2312"/>
                <w:color w:val="000000" w:themeColor="text1"/>
                <w:sz w:val="24"/>
                <w:lang w:eastAsia="zh-CN"/>
                <w14:textFill>
                  <w14:solidFill>
                    <w14:schemeClr w14:val="tx1"/>
                  </w14:solidFill>
                </w14:textFill>
              </w:rPr>
              <w:t>确保疏勒县、伽师县农业灌溉引水，提高渠首的灌溉引水保证率，</w:t>
            </w:r>
            <w:r>
              <w:rPr>
                <w:rFonts w:hint="eastAsia" w:eastAsia="仿宋_GB2312"/>
                <w:color w:val="000000" w:themeColor="text1"/>
                <w:sz w:val="24"/>
                <w:lang w:val="en-US" w:eastAsia="zh-CN"/>
                <w14:textFill>
                  <w14:solidFill>
                    <w14:schemeClr w14:val="tx1"/>
                  </w14:solidFill>
                </w14:textFill>
              </w:rPr>
              <w:t>同时提高</w:t>
            </w:r>
            <w:r>
              <w:rPr>
                <w:rFonts w:hint="eastAsia" w:eastAsia="仿宋_GB2312"/>
                <w:color w:val="000000" w:themeColor="text1"/>
                <w:sz w:val="24"/>
                <w:lang w:eastAsia="zh-CN"/>
                <w14:textFill>
                  <w14:solidFill>
                    <w14:schemeClr w14:val="tx1"/>
                  </w14:solidFill>
                </w14:textFill>
              </w:rPr>
              <w:t>防洪减灾</w:t>
            </w:r>
            <w:r>
              <w:rPr>
                <w:rFonts w:hint="eastAsia" w:eastAsia="仿宋_GB2312"/>
                <w:color w:val="000000" w:themeColor="text1"/>
                <w:sz w:val="24"/>
                <w:lang w:val="en-US" w:eastAsia="zh-CN"/>
                <w14:textFill>
                  <w14:solidFill>
                    <w14:schemeClr w14:val="tx1"/>
                  </w14:solidFill>
                </w14:textFill>
              </w:rPr>
              <w:t>能力，现需要</w:t>
            </w:r>
            <w:r>
              <w:rPr>
                <w:rFonts w:hint="eastAsia" w:eastAsia="仿宋_GB2312"/>
                <w:color w:val="000000" w:themeColor="text1"/>
                <w:sz w:val="24"/>
                <w:lang w:eastAsia="zh-CN"/>
                <w14:textFill>
                  <w14:solidFill>
                    <w14:schemeClr w14:val="tx1"/>
                  </w14:solidFill>
                </w14:textFill>
              </w:rPr>
              <w:t>对渠首进行除险加固，消除渠首的安全隐患</w:t>
            </w:r>
            <w:r>
              <w:rPr>
                <w:rFonts w:hint="eastAsia" w:eastAsia="仿宋_GB2312"/>
                <w:color w:val="000000" w:themeColor="text1"/>
                <w:sz w:val="24"/>
                <w:lang w:val="en-US" w:eastAsia="zh-CN"/>
                <w14:textFill>
                  <w14:solidFill>
                    <w14:schemeClr w14:val="tx1"/>
                  </w14:solidFill>
                </w14:textFill>
              </w:rPr>
              <w:t>。开展</w:t>
            </w:r>
            <w:r>
              <w:rPr>
                <w:rFonts w:hint="eastAsia" w:ascii="仿宋_GB2312" w:hAnsi="仿宋_GB2312" w:eastAsia="仿宋_GB2312" w:cs="仿宋_GB2312"/>
                <w:color w:val="000000" w:themeColor="text1"/>
                <w:spacing w:val="-11"/>
                <w:sz w:val="24"/>
                <w:szCs w:val="24"/>
                <w:lang w:eastAsia="zh-CN"/>
                <w14:textFill>
                  <w14:solidFill>
                    <w14:schemeClr w14:val="tx1"/>
                  </w14:solidFill>
                </w14:textFill>
              </w:rPr>
              <w:t>新疆克孜河大桥渠首除险加固工程，</w:t>
            </w:r>
            <w:r>
              <w:rPr>
                <w:rFonts w:hint="eastAsia" w:eastAsia="仿宋_GB2312"/>
                <w:color w:val="000000" w:themeColor="text1"/>
                <w:sz w:val="24"/>
                <w:lang w:val="en-US" w:eastAsia="zh-CN"/>
                <w14:textFill>
                  <w14:solidFill>
                    <w14:schemeClr w14:val="tx1"/>
                  </w14:solidFill>
                </w14:textFill>
              </w:rPr>
              <w:t>本工程主要任务是</w:t>
            </w:r>
            <w:r>
              <w:rPr>
                <w:rFonts w:hint="eastAsia" w:eastAsia="仿宋_GB2312"/>
                <w:color w:val="000000" w:themeColor="text1"/>
                <w:sz w:val="24"/>
                <w:lang w:eastAsia="zh-CN"/>
                <w14:textFill>
                  <w14:solidFill>
                    <w14:schemeClr w14:val="tx1"/>
                  </w14:solidFill>
                </w14:textFill>
              </w:rPr>
              <w:t>对渠首进水闸、泄洪冲砂闸底板、闸墩进行加固处理，上部结构中工作桥重建，并在工作桥上设闸房，泄洪闸上游右岸导流堤、护坦、海漫、防冲槽及下游 导流堤重建，引克济勒渠进水闸新建消力池、海漫、扭面及渠道衬砌300m，拆除重建南岸干渠进水闸后消力池、直墙连接段、交通桥、扭面连接段及渠道衬砌 300m，更新配套闸门、启闭机，新增电气设备及闸门监测视频系统</w:t>
            </w:r>
            <w:r>
              <w:rPr>
                <w:rFonts w:hint="eastAsia" w:eastAsia="仿宋_GB2312"/>
                <w:color w:val="000000" w:themeColor="text1"/>
                <w:sz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本项目所经地区属于喀什经济发达地带，公路交通也相对发达，交通便利</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项目设置临时用地</w:t>
            </w:r>
            <w:r>
              <w:rPr>
                <w:rFonts w:hint="eastAsia" w:eastAsia="仿宋_GB2312" w:cs="Times New Roman"/>
                <w:color w:val="000000" w:themeColor="text1"/>
                <w:sz w:val="24"/>
                <w:szCs w:val="24"/>
                <w:highlight w:val="none"/>
                <w:lang w:val="en-US" w:eastAsia="zh-CN"/>
                <w14:textFill>
                  <w14:solidFill>
                    <w14:schemeClr w14:val="tx1"/>
                  </w14:solidFill>
                </w14:textFill>
              </w:rPr>
              <w:t>9宗</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，位于</w:t>
            </w:r>
            <w:r>
              <w:rPr>
                <w:rFonts w:hint="eastAsia" w:eastAsia="仿宋_GB2312" w:cs="Times New Roman"/>
                <w:b w:val="0"/>
                <w:bCs w:val="0"/>
                <w:color w:val="000000" w:themeColor="text1"/>
                <w:sz w:val="24"/>
                <w:lang w:val="en-US" w:eastAsia="zh-CN"/>
                <w14:textFill>
                  <w14:solidFill>
                    <w14:schemeClr w14:val="tx1"/>
                  </w14:solidFill>
                </w14:textFill>
              </w:rPr>
              <w:t>喀什市、疏附县、</w:t>
            </w:r>
            <w:r>
              <w:rPr>
                <w:rFonts w:hint="eastAsia" w:eastAsia="仿宋_GB2312" w:cs="Times New Roman"/>
                <w:b w:val="0"/>
                <w:bCs w:val="0"/>
                <w:color w:val="000000" w:themeColor="text1"/>
                <w:sz w:val="24"/>
                <w:lang w:eastAsia="zh-CN"/>
                <w14:textFill>
                  <w14:solidFill>
                    <w14:schemeClr w14:val="tx1"/>
                  </w14:solidFill>
                </w14:textFill>
              </w:rPr>
              <w:t>疏勒县</w:t>
            </w:r>
            <w:r>
              <w:rPr>
                <w:rFonts w:hint="eastAsia" w:ascii="Times New Roman" w:hAnsi="Times New Roman" w:eastAsia="仿宋_GB2312" w:cs="Times New Roman"/>
                <w:b w:val="0"/>
                <w:bCs w:val="0"/>
                <w:color w:val="000000" w:themeColor="text1"/>
                <w:sz w:val="24"/>
                <w14:textFill>
                  <w14:solidFill>
                    <w14:schemeClr w14:val="tx1"/>
                  </w14:solidFill>
                </w14:textFill>
              </w:rPr>
              <w:t>境内</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境内</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共占地</w:t>
            </w:r>
            <w:r>
              <w:rPr>
                <w:rFonts w:hint="eastAsia" w:eastAsia="仿宋_GB2312" w:cs="Times New Roman"/>
                <w:color w:val="000000" w:themeColor="text1"/>
                <w:sz w:val="24"/>
                <w:szCs w:val="24"/>
                <w:lang w:eastAsia="zh-CN"/>
                <w14:textFill>
                  <w14:solidFill>
                    <w14:schemeClr w14:val="tx1"/>
                  </w14:solidFill>
                </w14:textFill>
              </w:rPr>
              <w:t>8.0492</w:t>
            </w:r>
            <w:r>
              <w:rPr>
                <w:rFonts w:eastAsia="仿宋_GB2312"/>
                <w:color w:val="000000" w:themeColor="text1"/>
                <w:sz w:val="24"/>
                <w14:textFill>
                  <w14:solidFill>
                    <w14:schemeClr w14:val="tx1"/>
                  </w14:solidFill>
                </w14:textFill>
              </w:rPr>
              <w:t>hm</w:t>
            </w:r>
            <w:r>
              <w:rPr>
                <w:rFonts w:eastAsia="仿宋_GB2312"/>
                <w:color w:val="000000" w:themeColor="text1"/>
                <w:sz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，临时占地</w:t>
            </w:r>
            <w:r>
              <w:rPr>
                <w:rFonts w:hint="eastAsia" w:eastAsia="仿宋_GB2312"/>
                <w:color w:val="000000" w:themeColor="text1"/>
                <w:sz w:val="24"/>
                <w:lang w:val="en-US" w:eastAsia="zh-CN"/>
                <w14:textFill>
                  <w14:solidFill>
                    <w14:schemeClr w14:val="tx1"/>
                  </w14:solidFill>
                </w14:textFill>
              </w:rPr>
              <w:t>8.0492</w:t>
            </w:r>
            <w:r>
              <w:rPr>
                <w:rFonts w:eastAsia="仿宋_GB2312"/>
                <w:color w:val="000000" w:themeColor="text1"/>
                <w:sz w:val="24"/>
                <w14:textFill>
                  <w14:solidFill>
                    <w14:schemeClr w14:val="tx1"/>
                  </w14:solidFill>
                </w14:textFill>
              </w:rPr>
              <w:t>hm</w:t>
            </w:r>
            <w:r>
              <w:rPr>
                <w:rFonts w:hint="eastAsia" w:eastAsia="仿宋_GB2312"/>
                <w:color w:val="000000" w:themeColor="text1"/>
                <w:sz w:val="24"/>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。为使该项目达到环境效益、经济效益和社会效益的统一，</w:t>
            </w:r>
            <w:r>
              <w:rPr>
                <w:rFonts w:hint="eastAsia" w:eastAsia="仿宋_GB2312"/>
                <w:color w:val="000000" w:themeColor="text1"/>
                <w:sz w:val="24"/>
                <w:lang w:val="vi-VN" w:eastAsia="zh-CN"/>
                <w14:textFill>
                  <w14:solidFill>
                    <w14:schemeClr w14:val="tx1"/>
                  </w14:solidFill>
                </w14:textFill>
              </w:rPr>
              <w:t>喀什地区盖孜库山河流域管理处</w:t>
            </w:r>
            <w:r>
              <w:rPr>
                <w:rFonts w:hint="default" w:ascii="Times New Roman" w:hAnsi="Times New Roman" w:eastAsia="仿宋_GB2312" w:cs="Times New Roman"/>
                <w:color w:val="000000" w:themeColor="text1"/>
                <w:sz w:val="24"/>
                <w:szCs w:val="24"/>
                <w14:textFill>
                  <w14:solidFill>
                    <w14:schemeClr w14:val="tx1"/>
                  </w14:solidFill>
                </w14:textFill>
              </w:rPr>
              <w:t>计划针对该项目破坏的土地采取各种有效工程技术措施、生物技术措施，尽量恢复原有的地形形态及生物结构。为了制定更符合当地实际情况的复垦方案，希望你能如实填写以下信息，谢谢！</w:t>
            </w:r>
          </w:p>
        </w:tc>
      </w:tr>
      <w:tr>
        <w:tblPrEx>
          <w:tblLayout w:type="fixed"/>
          <w:tblCellMar>
            <w:top w:w="15" w:type="dxa"/>
            <w:left w:w="15" w:type="dxa"/>
            <w:bottom w:w="15" w:type="dxa"/>
            <w:right w:w="15" w:type="dxa"/>
          </w:tblCellMar>
        </w:tblPrEx>
        <w:trPr>
          <w:trHeight w:val="274" w:hRule="atLeast"/>
          <w:jc w:val="center"/>
        </w:trPr>
        <w:tc>
          <w:tcPr>
            <w:tcW w:w="1670" w:type="dxa"/>
            <w:gridSpan w:val="2"/>
            <w:tcBorders>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姓名</w:t>
            </w:r>
          </w:p>
        </w:tc>
        <w:tc>
          <w:tcPr>
            <w:tcW w:w="1569" w:type="dxa"/>
            <w:tcBorders>
              <w:left w:val="single" w:color="000000" w:sz="4" w:space="0"/>
              <w:bottom w:val="single" w:color="000000" w:sz="4" w:space="0"/>
              <w:right w:val="single" w:color="000000" w:sz="4" w:space="0"/>
            </w:tcBorders>
            <w:noWrap w:val="0"/>
            <w:vAlign w:val="center"/>
          </w:tcPr>
          <w:p>
            <w:pPr>
              <w:pageBreakBefore w:val="0"/>
              <w:kinsoku/>
              <w:wordWrap/>
              <w:topLinePunct w:val="0"/>
              <w:bidi w:val="0"/>
              <w:adjustRightInd w:val="0"/>
              <w:snapToGrid w:val="0"/>
              <w:jc w:val="center"/>
              <w:rPr>
                <w:rFonts w:eastAsia="仿宋_GB2312"/>
                <w:color w:val="000000" w:themeColor="text1"/>
                <w:sz w:val="24"/>
                <w:szCs w:val="24"/>
                <w14:textFill>
                  <w14:solidFill>
                    <w14:schemeClr w14:val="tx1"/>
                  </w14:solidFill>
                </w14:textFill>
              </w:rPr>
            </w:pPr>
          </w:p>
        </w:tc>
        <w:tc>
          <w:tcPr>
            <w:tcW w:w="1215" w:type="dxa"/>
            <w:tcBorders>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性别</w:t>
            </w:r>
          </w:p>
        </w:tc>
        <w:tc>
          <w:tcPr>
            <w:tcW w:w="1680" w:type="dxa"/>
            <w:gridSpan w:val="2"/>
            <w:tcBorders>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男□  女□</w:t>
            </w:r>
          </w:p>
        </w:tc>
        <w:tc>
          <w:tcPr>
            <w:tcW w:w="785" w:type="dxa"/>
            <w:tcBorders>
              <w:left w:val="single" w:color="000000" w:sz="4" w:space="0"/>
              <w:bottom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住址</w:t>
            </w:r>
          </w:p>
        </w:tc>
        <w:tc>
          <w:tcPr>
            <w:tcW w:w="3626" w:type="dxa"/>
            <w:gridSpan w:val="3"/>
            <w:tcBorders>
              <w:left w:val="single" w:color="000000" w:sz="4" w:space="0"/>
              <w:bottom w:val="single" w:color="000000" w:sz="4" w:space="0"/>
              <w:right w:val="single" w:color="000000" w:sz="4" w:space="0"/>
            </w:tcBorders>
            <w:noWrap w:val="0"/>
            <w:vAlign w:val="center"/>
          </w:tcPr>
          <w:p>
            <w:pPr>
              <w:pageBreakBefore w:val="0"/>
              <w:kinsoku/>
              <w:wordWrap/>
              <w:topLinePunct w:val="0"/>
              <w:bidi w:val="0"/>
              <w:adjustRightInd w:val="0"/>
              <w:snapToGrid w:val="0"/>
              <w:rPr>
                <w:rFonts w:eastAsia="仿宋_GB2312"/>
                <w:color w:val="000000" w:themeColor="text1"/>
                <w:sz w:val="24"/>
                <w:szCs w:val="24"/>
                <w14:textFill>
                  <w14:solidFill>
                    <w14:schemeClr w14:val="tx1"/>
                  </w14:solidFill>
                </w14:textFill>
              </w:rPr>
            </w:pPr>
          </w:p>
        </w:tc>
      </w:tr>
      <w:tr>
        <w:tblPrEx>
          <w:tblLayout w:type="fixed"/>
          <w:tblCellMar>
            <w:top w:w="15" w:type="dxa"/>
            <w:left w:w="15" w:type="dxa"/>
            <w:bottom w:w="15" w:type="dxa"/>
            <w:right w:w="15" w:type="dxa"/>
          </w:tblCellMar>
        </w:tblPrEx>
        <w:trPr>
          <w:trHeight w:val="267" w:hRule="atLeast"/>
          <w:jc w:val="center"/>
        </w:trPr>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kern w:val="0"/>
                <w:sz w:val="24"/>
                <w:szCs w:val="24"/>
                <w:lang w:val="en-US" w:eastAsia="zh-CN"/>
                <w14:textFill>
                  <w14:solidFill>
                    <w14:schemeClr w14:val="tx1"/>
                  </w14:solidFill>
                </w14:textFill>
              </w:rPr>
              <w:t>年龄</w:t>
            </w:r>
          </w:p>
        </w:tc>
        <w:tc>
          <w:tcPr>
            <w:tcW w:w="1569" w:type="dxa"/>
            <w:tcBorders>
              <w:top w:val="single" w:color="000000" w:sz="4" w:space="0"/>
              <w:left w:val="single" w:color="000000" w:sz="4" w:space="0"/>
              <w:bottom w:val="single" w:color="000000" w:sz="4" w:space="0"/>
              <w:right w:val="single" w:color="000000" w:sz="4" w:space="0"/>
            </w:tcBorders>
            <w:noWrap w:val="0"/>
            <w:vAlign w:val="center"/>
          </w:tcPr>
          <w:p>
            <w:pPr>
              <w:pageBreakBefore w:val="0"/>
              <w:kinsoku/>
              <w:wordWrap/>
              <w:topLinePunct w:val="0"/>
              <w:bidi w:val="0"/>
              <w:adjustRightInd w:val="0"/>
              <w:snapToGrid w:val="0"/>
              <w:jc w:val="center"/>
              <w:rPr>
                <w:rFonts w:eastAsia="仿宋_GB2312"/>
                <w:color w:val="000000" w:themeColor="text1"/>
                <w:sz w:val="24"/>
                <w:szCs w:val="24"/>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文化程度</w:t>
            </w:r>
          </w:p>
        </w:tc>
        <w:tc>
          <w:tcPr>
            <w:tcW w:w="6091" w:type="dxa"/>
            <w:gridSpan w:val="6"/>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硕士及以上□大学或大专□高中或中专□初中□小学□</w:t>
            </w:r>
          </w:p>
        </w:tc>
      </w:tr>
      <w:tr>
        <w:tblPrEx>
          <w:tblLayout w:type="fixed"/>
          <w:tblCellMar>
            <w:top w:w="15" w:type="dxa"/>
            <w:left w:w="15" w:type="dxa"/>
            <w:bottom w:w="15" w:type="dxa"/>
            <w:right w:w="15" w:type="dxa"/>
          </w:tblCellMar>
        </w:tblPrEx>
        <w:trPr>
          <w:trHeight w:val="421" w:hRule="atLeast"/>
          <w:jc w:val="center"/>
        </w:trPr>
        <w:tc>
          <w:tcPr>
            <w:tcW w:w="1670" w:type="dxa"/>
            <w:gridSpan w:val="2"/>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职业</w:t>
            </w:r>
          </w:p>
        </w:tc>
        <w:tc>
          <w:tcPr>
            <w:tcW w:w="8875" w:type="dxa"/>
            <w:gridSpan w:val="8"/>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农民□  企业或个体户□  政府部门工作者□   教师□   学生□</w:t>
            </w:r>
          </w:p>
        </w:tc>
      </w:tr>
      <w:tr>
        <w:tblPrEx>
          <w:tblLayout w:type="fixed"/>
          <w:tblCellMar>
            <w:top w:w="15" w:type="dxa"/>
            <w:left w:w="15" w:type="dxa"/>
            <w:bottom w:w="15" w:type="dxa"/>
            <w:right w:w="15" w:type="dxa"/>
          </w:tblCellMar>
        </w:tblPrEx>
        <w:trPr>
          <w:trHeight w:val="90" w:hRule="atLeast"/>
          <w:jc w:val="center"/>
        </w:trPr>
        <w:tc>
          <w:tcPr>
            <w:tcW w:w="10545" w:type="dxa"/>
            <w:gridSpan w:val="10"/>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调查内容</w:t>
            </w:r>
          </w:p>
        </w:tc>
      </w:tr>
      <w:tr>
        <w:tblPrEx>
          <w:tblLayout w:type="fixed"/>
          <w:tblCellMar>
            <w:top w:w="15" w:type="dxa"/>
            <w:left w:w="15" w:type="dxa"/>
            <w:bottom w:w="15" w:type="dxa"/>
            <w:right w:w="15" w:type="dxa"/>
          </w:tblCellMar>
        </w:tblPrEx>
        <w:trPr>
          <w:trHeight w:val="344"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1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您是否了解该工程</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A很了解   B有所了解  C不了解</w:t>
            </w:r>
          </w:p>
        </w:tc>
      </w:tr>
      <w:tr>
        <w:tblPrEx>
          <w:tblLayout w:type="fixed"/>
          <w:tblCellMar>
            <w:top w:w="15" w:type="dxa"/>
            <w:left w:w="15" w:type="dxa"/>
            <w:bottom w:w="15" w:type="dxa"/>
            <w:right w:w="15" w:type="dxa"/>
          </w:tblCellMar>
        </w:tblPrEx>
        <w:trPr>
          <w:trHeight w:val="31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2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hint="eastAsia" w:eastAsia="仿宋_GB2312"/>
                <w:color w:val="000000" w:themeColor="text1"/>
                <w:kern w:val="0"/>
                <w:sz w:val="24"/>
                <w:szCs w:val="24"/>
                <w:lang w:eastAsia="zh-CN"/>
                <w14:textFill>
                  <w14:solidFill>
                    <w14:schemeClr w14:val="tx1"/>
                  </w14:solidFill>
                </w14:textFill>
              </w:rPr>
              <w:t>建设项目</w:t>
            </w:r>
            <w:r>
              <w:rPr>
                <w:rFonts w:eastAsia="仿宋_GB2312"/>
                <w:color w:val="000000" w:themeColor="text1"/>
                <w:kern w:val="0"/>
                <w:sz w:val="24"/>
                <w:szCs w:val="24"/>
                <w14:textFill>
                  <w14:solidFill>
                    <w14:schemeClr w14:val="tx1"/>
                  </w14:solidFill>
                </w14:textFill>
              </w:rPr>
              <w:t>对发展当地经济有什么作用</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A较大促进 B一般      C没有促进</w:t>
            </w:r>
          </w:p>
        </w:tc>
      </w:tr>
      <w:tr>
        <w:tblPrEx>
          <w:tblLayout w:type="fixed"/>
          <w:tblCellMar>
            <w:top w:w="15" w:type="dxa"/>
            <w:left w:w="15" w:type="dxa"/>
            <w:bottom w:w="15" w:type="dxa"/>
            <w:right w:w="15" w:type="dxa"/>
          </w:tblCellMar>
        </w:tblPrEx>
        <w:trPr>
          <w:trHeight w:val="175"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3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该工程对您的居住环境会有什么影响</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A土地     B建筑物   C污染源   D其他</w:t>
            </w:r>
          </w:p>
        </w:tc>
      </w:tr>
      <w:tr>
        <w:tblPrEx>
          <w:tblLayout w:type="fixed"/>
          <w:tblCellMar>
            <w:top w:w="15" w:type="dxa"/>
            <w:left w:w="15" w:type="dxa"/>
            <w:bottom w:w="15" w:type="dxa"/>
            <w:right w:w="15" w:type="dxa"/>
          </w:tblCellMar>
        </w:tblPrEx>
        <w:trPr>
          <w:trHeight w:val="265"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4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该工程造成影响最严重的地类是？</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A耕地   B园地  C林地  D草地  E坑塘  F其他</w:t>
            </w:r>
          </w:p>
        </w:tc>
      </w:tr>
      <w:tr>
        <w:tblPrEx>
          <w:tblLayout w:type="fixed"/>
          <w:tblCellMar>
            <w:top w:w="15" w:type="dxa"/>
            <w:left w:w="15" w:type="dxa"/>
            <w:bottom w:w="15" w:type="dxa"/>
            <w:right w:w="15" w:type="dxa"/>
          </w:tblCellMar>
        </w:tblPrEx>
        <w:trPr>
          <w:trHeight w:val="28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5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您对该工程建设的态度是？</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A支持   B不关心  C反对</w:t>
            </w:r>
          </w:p>
        </w:tc>
      </w:tr>
      <w:tr>
        <w:tblPrEx>
          <w:tblLayout w:type="fixed"/>
          <w:tblCellMar>
            <w:top w:w="15" w:type="dxa"/>
            <w:left w:w="15" w:type="dxa"/>
            <w:bottom w:w="15" w:type="dxa"/>
            <w:right w:w="15" w:type="dxa"/>
          </w:tblCellMar>
        </w:tblPrEx>
        <w:trPr>
          <w:trHeight w:val="19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6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您希望对被破坏的地类如何补偿</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A一次性补偿   B复垦后再利用</w:t>
            </w:r>
          </w:p>
        </w:tc>
      </w:tr>
      <w:tr>
        <w:tblPrEx>
          <w:tblLayout w:type="fixed"/>
          <w:tblCellMar>
            <w:top w:w="15" w:type="dxa"/>
            <w:left w:w="15" w:type="dxa"/>
            <w:bottom w:w="15" w:type="dxa"/>
            <w:right w:w="15" w:type="dxa"/>
          </w:tblCellMar>
        </w:tblPrEx>
        <w:trPr>
          <w:trHeight w:val="265"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7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您希望被破坏的地类复垦为</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A耕地  B园地  C林地  D草地  E其他</w:t>
            </w:r>
          </w:p>
        </w:tc>
      </w:tr>
      <w:tr>
        <w:tblPrEx>
          <w:tblLayout w:type="fixed"/>
          <w:tblCellMar>
            <w:top w:w="15" w:type="dxa"/>
            <w:left w:w="15" w:type="dxa"/>
            <w:bottom w:w="15" w:type="dxa"/>
            <w:right w:w="15" w:type="dxa"/>
          </w:tblCellMar>
        </w:tblPrEx>
        <w:trPr>
          <w:trHeight w:val="34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8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您希望复垦后的土壤肥力会？</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A跟原来一样   B比以前更好   C无所谓</w:t>
            </w:r>
          </w:p>
        </w:tc>
      </w:tr>
      <w:tr>
        <w:tblPrEx>
          <w:tblLayout w:type="fixed"/>
          <w:tblCellMar>
            <w:top w:w="15" w:type="dxa"/>
            <w:left w:w="15" w:type="dxa"/>
            <w:bottom w:w="15" w:type="dxa"/>
            <w:right w:w="15" w:type="dxa"/>
          </w:tblCellMar>
        </w:tblPrEx>
        <w:trPr>
          <w:trHeight w:val="265"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9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您最希望的复垦措施是？</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A平整土地   B覆土绿化   C其他</w:t>
            </w:r>
          </w:p>
        </w:tc>
      </w:tr>
      <w:tr>
        <w:tblPrEx>
          <w:tblLayout w:type="fixed"/>
          <w:tblCellMar>
            <w:top w:w="15" w:type="dxa"/>
            <w:left w:w="15" w:type="dxa"/>
            <w:bottom w:w="15" w:type="dxa"/>
            <w:right w:w="15" w:type="dxa"/>
          </w:tblCellMar>
        </w:tblPrEx>
        <w:trPr>
          <w:trHeight w:val="34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10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您对复垦项目的实施持什么态度？</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A赞成       B不赞成   C无所谓</w:t>
            </w:r>
          </w:p>
        </w:tc>
      </w:tr>
      <w:tr>
        <w:tblPrEx>
          <w:tblLayout w:type="fixed"/>
          <w:tblCellMar>
            <w:top w:w="15" w:type="dxa"/>
            <w:left w:w="15" w:type="dxa"/>
            <w:bottom w:w="15" w:type="dxa"/>
            <w:right w:w="15" w:type="dxa"/>
          </w:tblCellMar>
        </w:tblPrEx>
        <w:trPr>
          <w:trHeight w:val="370" w:hRule="atLeast"/>
          <w:jc w:val="center"/>
        </w:trPr>
        <w:tc>
          <w:tcPr>
            <w:tcW w:w="45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center"/>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 xml:space="preserve">11 </w:t>
            </w:r>
          </w:p>
        </w:tc>
        <w:tc>
          <w:tcPr>
            <w:tcW w:w="4425" w:type="dxa"/>
            <w:gridSpan w:val="4"/>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您对复垦时间的要求是？</w:t>
            </w:r>
          </w:p>
        </w:tc>
        <w:tc>
          <w:tcPr>
            <w:tcW w:w="5670" w:type="dxa"/>
            <w:gridSpan w:val="5"/>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topLinePunct w:val="0"/>
              <w:bidi w:val="0"/>
              <w:adjustRightInd w:val="0"/>
              <w:snapToGrid w:val="0"/>
              <w:jc w:val="left"/>
              <w:textAlignment w:val="center"/>
              <w:rPr>
                <w:rFonts w:eastAsia="仿宋_GB2312"/>
                <w:color w:val="000000" w:themeColor="text1"/>
                <w:sz w:val="24"/>
                <w:szCs w:val="24"/>
                <w14:textFill>
                  <w14:solidFill>
                    <w14:schemeClr w14:val="tx1"/>
                  </w14:solidFill>
                </w14:textFill>
              </w:rPr>
            </w:pPr>
            <w:r>
              <w:rPr>
                <w:rFonts w:eastAsia="仿宋_GB2312"/>
                <w:color w:val="000000" w:themeColor="text1"/>
                <w:kern w:val="0"/>
                <w:sz w:val="24"/>
                <w:szCs w:val="24"/>
                <w14:textFill>
                  <w14:solidFill>
                    <w14:schemeClr w14:val="tx1"/>
                  </w14:solidFill>
                </w14:textFill>
              </w:rPr>
              <w:t>A边破坏边复垦   B沉稳后马上复垦   C其他</w:t>
            </w:r>
          </w:p>
        </w:tc>
      </w:tr>
      <w:tr>
        <w:tblPrEx>
          <w:tblLayout w:type="fixed"/>
          <w:tblCellMar>
            <w:top w:w="15" w:type="dxa"/>
            <w:left w:w="15" w:type="dxa"/>
            <w:bottom w:w="15" w:type="dxa"/>
            <w:right w:w="15" w:type="dxa"/>
          </w:tblCellMar>
        </w:tblPrEx>
        <w:trPr>
          <w:trHeight w:val="1064" w:hRule="atLeast"/>
          <w:jc w:val="center"/>
        </w:trPr>
        <w:tc>
          <w:tcPr>
            <w:tcW w:w="10545" w:type="dxa"/>
            <w:gridSpan w:val="10"/>
            <w:tcBorders>
              <w:top w:val="single" w:color="000000" w:sz="4" w:space="0"/>
              <w:left w:val="single" w:color="000000" w:sz="4" w:space="0"/>
              <w:bottom w:val="single" w:color="000000" w:sz="4" w:space="0"/>
              <w:right w:val="single" w:color="000000" w:sz="4" w:space="0"/>
            </w:tcBorders>
            <w:noWrap w:val="0"/>
            <w:vAlign w:val="top"/>
          </w:tcPr>
          <w:p>
            <w:pPr>
              <w:pageBreakBefore w:val="0"/>
              <w:widowControl/>
              <w:kinsoku/>
              <w:wordWrap/>
              <w:topLinePunct w:val="0"/>
              <w:bidi w:val="0"/>
              <w:adjustRightInd w:val="0"/>
              <w:snapToGrid w:val="0"/>
              <w:jc w:val="left"/>
              <w:textAlignment w:val="top"/>
              <w:rPr>
                <w:rFonts w:eastAsia="仿宋_GB2312"/>
                <w:color w:val="000000" w:themeColor="text1"/>
                <w:szCs w:val="21"/>
                <w14:textFill>
                  <w14:solidFill>
                    <w14:schemeClr w14:val="tx1"/>
                  </w14:solidFill>
                </w14:textFill>
              </w:rPr>
            </w:pPr>
            <w:r>
              <w:rPr>
                <w:rFonts w:eastAsia="仿宋_GB2312"/>
                <w:color w:val="000000" w:themeColor="text1"/>
                <w:kern w:val="0"/>
                <w:szCs w:val="21"/>
                <w14:textFill>
                  <w14:solidFill>
                    <w14:schemeClr w14:val="tx1"/>
                  </w14:solidFill>
                </w14:textFill>
              </w:rPr>
              <w:t>备注：</w:t>
            </w:r>
          </w:p>
        </w:tc>
      </w:tr>
    </w:tbl>
    <w:p>
      <w:pPr>
        <w:pageBreakBefore w:val="0"/>
        <w:kinsoku/>
        <w:wordWrap/>
        <w:overflowPunct/>
        <w:topLinePunct w:val="0"/>
        <w:autoSpaceDE/>
        <w:autoSpaceDN/>
        <w:bidi w:val="0"/>
        <w:adjustRightInd w:val="0"/>
        <w:snapToGrid w:val="0"/>
        <w:spacing w:line="360" w:lineRule="auto"/>
        <w:ind w:left="0" w:leftChars="0" w:right="0" w:rightChars="0" w:firstLine="42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eastAsia="仿宋_GB2312"/>
          <w:color w:val="000000" w:themeColor="text1"/>
          <w14:textFill>
            <w14:solidFill>
              <w14:schemeClr w14:val="tx1"/>
            </w14:solidFill>
          </w14:textFill>
        </w:rPr>
        <w:br w:type="page"/>
      </w:r>
      <w:r>
        <w:rPr>
          <w:rFonts w:hint="eastAsia" w:eastAsia="仿宋_GB2312"/>
          <w:color w:val="000000" w:themeColor="text1"/>
          <w:kern w:val="2"/>
          <w:sz w:val="24"/>
          <w:szCs w:val="24"/>
          <w:lang w:val="en-US" w:eastAsia="zh-CN" w:bidi="ar-SA"/>
          <w14:textFill>
            <w14:solidFill>
              <w14:schemeClr w14:val="tx1"/>
            </w14:solidFill>
          </w14:textFill>
        </w:rPr>
        <w:t xml:space="preserve">2）问卷调查统计结果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通过对收回的调查问卷的整理和分析，获得公众参与结果统计表（见附件）。</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公众参与调查结果如下：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①是否认为该项目建设有利于地方经济发展：100%的受调查者认为该项目建设有利于当地经济发展。表明大部分人对于此项目是支持态度。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②是否担心本项目的建设影响生态环境：10%的受调查者表示担心，说明小部分人认识到项目的建设会给当地生态环境带来的负面影响。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③对项目土地复垦的了解程度：80.0%的受调查者对工程项目土地复垦了解；10%的受调查者不了解工程项目土地复垦10%的受调查者说不清楚。从此数据中，我们看出应该加强土地复垦宣传教育工作，以获得他们对土地复垦的理解和支持并参与到土地复垦过程中。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④实施土地复垦能否恢复当地生态环境：90%的受调查者认为能够恢复5%的受调查者认为不能恢复；5%的受调查者不能确定复垦是否能恢复生态环境。由数据可知，大多数受调查者认为实施土地复垦对于恢复当地生态环境还是充满信心，但也有少数受调查者有一定程度的担忧，这促使我们必须把土地复垦工作一步步落到实处，及时复垦进厂公路工程项目建设过程中造成的损毁土地，恢复和改善当地生态环境。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⑤对于本项目土地复垦工作是否支持：90%的受调查者支持本项目土地复垦工作；持无所谓态度的有10%；没有受调查者不支持。根据调查数据，绝大部分受调查者都意识到本项目实施土地复垦的必要性，这对于本项目实施土地复垦工作的开展打下了良好的公众基础。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⑥本项目土地复垦最适宜方向：100%的受访者选择恢复为</w:t>
      </w:r>
      <w:r>
        <w:rPr>
          <w:rFonts w:hint="eastAsia" w:eastAsia="仿宋_GB2312"/>
          <w:color w:val="000000" w:themeColor="text1"/>
          <w:sz w:val="24"/>
          <w:lang w:val="en-US" w:eastAsia="zh-CN"/>
          <w14:textFill>
            <w14:solidFill>
              <w14:schemeClr w14:val="tx1"/>
            </w14:solidFill>
          </w14:textFill>
        </w:rPr>
        <w:t>林地</w:t>
      </w:r>
      <w:r>
        <w:rPr>
          <w:rFonts w:hint="eastAsia" w:eastAsia="仿宋_GB2312"/>
          <w:color w:val="000000" w:themeColor="text1"/>
          <w:kern w:val="2"/>
          <w:sz w:val="24"/>
          <w:szCs w:val="24"/>
          <w:lang w:val="en-US" w:eastAsia="zh-CN" w:bidi="ar-SA"/>
          <w14:textFill>
            <w14:solidFill>
              <w14:schemeClr w14:val="tx1"/>
            </w14:solidFill>
          </w14:textFill>
        </w:rPr>
        <w:t xml:space="preserve">。根据当地的生态环境特点，首先保证耕地数量不减少，其次是设施农用地。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⑦是否愿意监督或参与土地复垦：90%的受访者表示愿意；5%的受访者表示不愿意，</w:t>
      </w:r>
      <w:r>
        <w:rPr>
          <w:rFonts w:hint="default" w:eastAsia="仿宋_GB2312"/>
          <w:color w:val="000000" w:themeColor="text1"/>
          <w:kern w:val="2"/>
          <w:sz w:val="24"/>
          <w:szCs w:val="24"/>
          <w:lang w:val="en-US" w:eastAsia="zh-CN" w:bidi="ar-SA"/>
          <w14:textFill>
            <w14:solidFill>
              <w14:schemeClr w14:val="tx1"/>
            </w14:solidFill>
          </w14:textFill>
        </w:rPr>
        <w:t>5%的</w:t>
      </w:r>
      <w:r>
        <w:rPr>
          <w:rFonts w:hint="eastAsia" w:eastAsia="仿宋_GB2312"/>
          <w:color w:val="000000" w:themeColor="text1"/>
          <w:kern w:val="2"/>
          <w:sz w:val="24"/>
          <w:szCs w:val="24"/>
          <w:lang w:val="en-US" w:eastAsia="zh-CN" w:bidi="ar-SA"/>
          <w14:textFill>
            <w14:solidFill>
              <w14:schemeClr w14:val="tx1"/>
            </w14:solidFill>
          </w14:textFill>
        </w:rPr>
        <w:t xml:space="preserve">受访者持无所谓态度。由此可见，本项目土地复垦的监督和参与工作仍需要调动公众参与的积极性。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b）喀什地区喀什市、疏勒县、疏附县相关政府部门参与情况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目前，在方案编制过程中主要以项目区所在地的县级以上自然资源主管部门的意见建议为主，在听取业主及编制单位汇报后，当地自然资源主管部门经过讨论形成以下几点要求及建议：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1）进行了详细地交流，承诺将积极协助建设单位完成该项目土地复垦方案报告书的编制工作，实现土地有效利用和改善当地生态环境。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2）对该项目损毁土地采取的复垦模式表示认同，同时希望建设单位会同编制单位制定出更加科学合理的复垦措施和复垦标准。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3）希望建设单位充分考虑当地的自然社会经济、政策等因素，因地制宜，尽可能地恢复土地利用价值和生态价值，复垦方向要与原（或周边）土地利用类型或土地利用总体规划保持一致。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4）喀什地区盖孜库山河流域管理处保证今后的损毁土地能及时复垦，尽量做到“边建设、边复垦”。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5）确保复垦工程科学合理及及时开展，复垦费用需及时落实到位。 </w:t>
      </w:r>
    </w:p>
    <w:p>
      <w:pPr>
        <w:pStyle w:val="6"/>
        <w:pageBreakBefore w:val="0"/>
        <w:kinsoku/>
        <w:wordWrap/>
        <w:topLinePunct w:val="0"/>
        <w:bidi w:val="0"/>
        <w:adjustRightInd w:val="0"/>
        <w:snapToGrid w:val="0"/>
        <w:spacing w:before="0" w:beforeAutospacing="0" w:after="0" w:afterAutospacing="0" w:line="360" w:lineRule="auto"/>
        <w:jc w:val="left"/>
        <w:rPr>
          <w:rFonts w:hint="eastAsia" w:ascii="黑体" w:hAnsi="黑体" w:eastAsia="黑体" w:cs="黑体"/>
          <w:color w:val="000000" w:themeColor="text1"/>
          <w:sz w:val="24"/>
          <w14:textFill>
            <w14:solidFill>
              <w14:schemeClr w14:val="tx1"/>
            </w14:solidFill>
          </w14:textFill>
        </w:rPr>
      </w:pPr>
      <w:r>
        <w:rPr>
          <w:rFonts w:eastAsia="黑体"/>
          <w:color w:val="000000" w:themeColor="text1"/>
          <w:sz w:val="28"/>
          <w14:textFill>
            <w14:solidFill>
              <w14:schemeClr w14:val="tx1"/>
            </w14:solidFill>
          </w14:textFill>
        </w:rPr>
        <w:t>10.5.2 复垦方案编制完成后的公示</w:t>
      </w:r>
      <w:r>
        <w:rPr>
          <w:rFonts w:hint="eastAsia" w:ascii="黑体" w:hAnsi="黑体" w:eastAsia="黑体" w:cs="黑体"/>
          <w:color w:val="000000" w:themeColor="text1"/>
          <w:sz w:val="24"/>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a）复垦方案公示内容及形式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复垦方案送审稿完成之后，在报送自然资源主管部门评审之前，由建设单位将复垦方案在该项目沿线的主要乡镇进行公示，向公众公告的内容包括：项目情况简介；项目对土地损毁情况简介；复垦方向及复垦措施要点介绍；公众查阅土地复垦报告书简本的方式和期限，以及公众认为必要时向建设单位或者其委托的报告编制单位索取补充信息的联系方式和期限。</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b）公示结果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通过现场公示，主要取得了两个方面的成效。一是由公众参与调查问卷可知，建设单位工作人员、企事业单位人员、市民对土地复垦相关工作的了解不多，通过本次公示，公众对于该项目土地复垦工作有所认识，损毁土地的复垦方向、复垦措施有所了解，对于加强对公众的土地复垦宣传工作具有一定得积极意义。二是通过本次公示，建设单位及报告编制单位未收集到反对意见，表明本复垦方案确定的复垦方向、复垦措施等较为合理。 </w:t>
      </w:r>
    </w:p>
    <w:p>
      <w:pPr>
        <w:pStyle w:val="6"/>
        <w:pageBreakBefore w:val="0"/>
        <w:kinsoku/>
        <w:wordWrap/>
        <w:topLinePunct w:val="0"/>
        <w:bidi w:val="0"/>
        <w:adjustRightInd w:val="0"/>
        <w:snapToGrid w:val="0"/>
        <w:spacing w:before="0" w:beforeAutospacing="0" w:after="0" w:afterAutospacing="0" w:line="360" w:lineRule="auto"/>
        <w:jc w:val="left"/>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 xml:space="preserve">10.5.3 复垦方案实施阶段的公众参与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在项目的实施过程中，喀什地区盖孜库山河流域管理处将继续征求相关专业部门及专家、科技工作者的意见，遇到问题及时求教，并接受上级自然资源主管部门、其他相关部门及群众对复垦进度与复垦质量的监督。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_GB2312" w:eastAsia="仿宋_GB2312"/>
          <w:color w:val="000000" w:themeColor="text1"/>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具体表现在两方面：一是土地复垦工作的验收主体不只局限于自然资源主管部门，相关的前期参与复垦方案报告的相关职能部门均有对复垦实施效果进行监督的权利；二是建设单位在组织开展该项目土地复垦工作以后，应当受理群众对详细复垦措施、质量以及复垦土地权属调整过程中的纠纷问题。</w:t>
      </w:r>
      <w:r>
        <w:rPr>
          <w:rFonts w:hint="eastAsia" w:ascii="仿宋_GB2312" w:eastAsia="仿宋_GB2312"/>
          <w:color w:val="000000" w:themeColor="text1"/>
          <w14:textFill>
            <w14:solidFill>
              <w14:schemeClr w14:val="tx1"/>
            </w14:solidFill>
          </w14:textFill>
        </w:rPr>
        <w:t xml:space="preserve"> </w:t>
      </w:r>
    </w:p>
    <w:p>
      <w:pPr>
        <w:pStyle w:val="6"/>
        <w:pageBreakBefore w:val="0"/>
        <w:kinsoku/>
        <w:wordWrap/>
        <w:topLinePunct w:val="0"/>
        <w:bidi w:val="0"/>
        <w:adjustRightInd w:val="0"/>
        <w:snapToGrid w:val="0"/>
        <w:spacing w:before="0" w:beforeAutospacing="0" w:after="0" w:afterAutospacing="0" w:line="360" w:lineRule="auto"/>
        <w:jc w:val="left"/>
        <w:rPr>
          <w:rFonts w:eastAsia="黑体"/>
          <w:color w:val="000000" w:themeColor="text1"/>
          <w:sz w:val="28"/>
          <w:szCs w:val="28"/>
          <w14:textFill>
            <w14:solidFill>
              <w14:schemeClr w14:val="tx1"/>
            </w14:solidFill>
          </w14:textFill>
        </w:rPr>
      </w:pPr>
      <w:r>
        <w:rPr>
          <w:rFonts w:eastAsia="黑体"/>
          <w:color w:val="000000" w:themeColor="text1"/>
          <w:sz w:val="28"/>
          <w:szCs w:val="28"/>
          <w14:textFill>
            <w14:solidFill>
              <w14:schemeClr w14:val="tx1"/>
            </w14:solidFill>
          </w14:textFill>
        </w:rPr>
        <w:t xml:space="preserve">10.5.4 复垦工程竣工验收阶段的公众参与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 xml:space="preserve">复垦工程核查验收主要是在本方案服务期满后，由地方县级以上自然资源主管部门牵头的验收专家组对土地复垦方案实施过程中的资金使用、复垦措施、工程设计、复垦效果进行检查，以复垦标准为标准，对本项目土地复垦进行综合评判的过程。该项目地处于降雨较少地区，因此拟在施工结束后增设3年管护期，以保证复垦植被的成活率。分阶段对本方案的全部复垦工作进行动态跟踪核查验收，以确保能够达到预期的复垦效果。 </w:t>
      </w:r>
    </w:p>
    <w:p>
      <w:pPr>
        <w:pStyle w:val="5"/>
        <w:pageBreakBefore w:val="0"/>
        <w:kinsoku/>
        <w:wordWrap/>
        <w:topLinePunct w:val="0"/>
        <w:bidi w:val="0"/>
        <w:adjustRightInd w:val="0"/>
        <w:snapToGrid w:val="0"/>
        <w:spacing w:before="0" w:after="0" w:line="360" w:lineRule="auto"/>
        <w:jc w:val="left"/>
        <w:rPr>
          <w:rFonts w:ascii="Times New Roman" w:hAnsi="Times New Roman"/>
          <w:b w:val="0"/>
          <w:bCs w:val="0"/>
          <w:color w:val="000000" w:themeColor="text1"/>
          <w:sz w:val="30"/>
          <w:szCs w:val="30"/>
          <w14:textFill>
            <w14:solidFill>
              <w14:schemeClr w14:val="tx1"/>
            </w14:solidFill>
          </w14:textFill>
        </w:rPr>
      </w:pPr>
      <w:bookmarkStart w:id="250" w:name="_Toc7201"/>
      <w:bookmarkStart w:id="251" w:name="_Toc24849"/>
      <w:bookmarkStart w:id="252" w:name="_Toc7997"/>
      <w:bookmarkStart w:id="253" w:name="_Toc21972"/>
      <w:r>
        <w:rPr>
          <w:rFonts w:ascii="Times New Roman" w:hAnsi="Times New Roman"/>
          <w:b w:val="0"/>
          <w:bCs w:val="0"/>
          <w:color w:val="000000" w:themeColor="text1"/>
          <w:sz w:val="30"/>
          <w:szCs w:val="30"/>
          <w14:textFill>
            <w14:solidFill>
              <w14:schemeClr w14:val="tx1"/>
            </w14:solidFill>
          </w14:textFill>
        </w:rPr>
        <w:t>10.6 土地权属调整方案</w:t>
      </w:r>
      <w:bookmarkEnd w:id="250"/>
      <w:bookmarkEnd w:id="251"/>
      <w:bookmarkEnd w:id="252"/>
      <w:bookmarkEnd w:id="253"/>
      <w:r>
        <w:rPr>
          <w:rFonts w:ascii="Times New Roman" w:hAnsi="Times New Roman"/>
          <w:b w:val="0"/>
          <w:bCs w:val="0"/>
          <w:color w:val="000000" w:themeColor="text1"/>
          <w:sz w:val="30"/>
          <w:szCs w:val="30"/>
          <w14:textFill>
            <w14:solidFill>
              <w14:schemeClr w14:val="tx1"/>
            </w14:solidFill>
          </w14:textFill>
        </w:rPr>
        <w:t xml:space="preserve"> </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eastAsia="仿宋_GB2312"/>
          <w:color w:val="000000" w:themeColor="text1"/>
          <w:kern w:val="2"/>
          <w:sz w:val="24"/>
          <w:szCs w:val="24"/>
          <w:lang w:val="en-US" w:eastAsia="zh-CN" w:bidi="ar-SA"/>
          <w14:textFill>
            <w14:solidFill>
              <w14:schemeClr w14:val="tx1"/>
            </w14:solidFill>
          </w14:textFill>
        </w:rPr>
      </w:pPr>
      <w:r>
        <w:rPr>
          <w:rFonts w:hint="eastAsia" w:eastAsia="仿宋_GB2312"/>
          <w:color w:val="000000" w:themeColor="text1"/>
          <w:kern w:val="2"/>
          <w:sz w:val="24"/>
          <w:szCs w:val="24"/>
          <w:lang w:val="en-US" w:eastAsia="zh-CN" w:bidi="ar-SA"/>
          <w14:textFill>
            <w14:solidFill>
              <w14:schemeClr w14:val="tx1"/>
            </w14:solidFill>
          </w14:textFill>
        </w:rPr>
        <w:t>土地权属调整是对复垦的土地产权进行调整，其目的是使复垦后的土地产权关系明确，避免发生土地权属争议，本方案没有权属调整。</w:t>
      </w:r>
      <w:bookmarkStart w:id="254" w:name="_Toc268700760"/>
      <w:bookmarkStart w:id="255" w:name="_Toc164951973"/>
    </w:p>
    <w:p>
      <w:pPr>
        <w:pStyle w:val="4"/>
        <w:pageBreakBefore w:val="0"/>
        <w:kinsoku/>
        <w:wordWrap/>
        <w:topLinePunct w:val="0"/>
        <w:bidi w:val="0"/>
        <w:adjustRightInd w:val="0"/>
        <w:snapToGrid w:val="0"/>
        <w:spacing w:before="0" w:after="0" w:line="360" w:lineRule="auto"/>
        <w:jc w:val="center"/>
        <w:rPr>
          <w:rFonts w:hint="eastAsia" w:ascii="黑体" w:hAnsi="黑体" w:eastAsia="黑体" w:cs="黑体"/>
          <w:b w:val="0"/>
          <w:bCs w:val="0"/>
          <w:color w:val="000000" w:themeColor="text1"/>
          <w:sz w:val="32"/>
          <w:szCs w:val="32"/>
          <w14:textFill>
            <w14:solidFill>
              <w14:schemeClr w14:val="tx1"/>
            </w14:solidFill>
          </w14:textFill>
        </w:rPr>
      </w:pPr>
      <w:r>
        <w:rPr>
          <w:rFonts w:eastAsia="仿宋_GB2312"/>
          <w:color w:val="000000" w:themeColor="text1"/>
          <w:sz w:val="24"/>
          <w14:textFill>
            <w14:solidFill>
              <w14:schemeClr w14:val="tx1"/>
            </w14:solidFill>
          </w14:textFill>
        </w:rPr>
        <w:br w:type="page"/>
      </w:r>
      <w:bookmarkEnd w:id="254"/>
      <w:bookmarkEnd w:id="255"/>
      <w:bookmarkStart w:id="256" w:name="_Toc13041"/>
      <w:bookmarkStart w:id="257" w:name="_Toc32028"/>
      <w:bookmarkStart w:id="258" w:name="_Toc8752"/>
      <w:r>
        <w:rPr>
          <w:rFonts w:eastAsia="仿宋_GB2312"/>
          <w:b w:val="0"/>
          <w:bCs w:val="0"/>
          <w:color w:val="000000" w:themeColor="text1"/>
          <w:sz w:val="32"/>
          <w:szCs w:val="32"/>
          <w14:textFill>
            <w14:solidFill>
              <w14:schemeClr w14:val="tx1"/>
            </w14:solidFill>
          </w14:textFill>
        </w:rPr>
        <w:t>1</w:t>
      </w:r>
      <w:r>
        <w:rPr>
          <w:rFonts w:hint="eastAsia" w:eastAsia="仿宋_GB2312"/>
          <w:b w:val="0"/>
          <w:bCs w:val="0"/>
          <w:color w:val="000000" w:themeColor="text1"/>
          <w:sz w:val="32"/>
          <w:szCs w:val="32"/>
          <w14:textFill>
            <w14:solidFill>
              <w14:schemeClr w14:val="tx1"/>
            </w14:solidFill>
          </w14:textFill>
        </w:rPr>
        <w:t>1</w:t>
      </w:r>
      <w:r>
        <w:rPr>
          <w:rFonts w:eastAsia="仿宋_GB2312"/>
          <w:b w:val="0"/>
          <w:bCs w:val="0"/>
          <w:color w:val="000000" w:themeColor="text1"/>
          <w:sz w:val="32"/>
          <w:szCs w:val="32"/>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存在的问题及建议</w:t>
      </w:r>
      <w:bookmarkEnd w:id="256"/>
      <w:bookmarkEnd w:id="257"/>
      <w:bookmarkEnd w:id="258"/>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（1）方案的时效问题</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s="仿宋_GB2312"/>
          <w:color w:val="000000" w:themeColor="text1"/>
          <w:sz w:val="24"/>
          <w14:textFill>
            <w14:solidFill>
              <w14:schemeClr w14:val="tx1"/>
            </w14:solidFill>
          </w14:textFill>
        </w:rPr>
        <w:t>本方案是在临时用地</w:t>
      </w:r>
      <w:r>
        <w:rPr>
          <w:rFonts w:hint="eastAsia" w:eastAsia="仿宋_GB2312" w:cs="仿宋_GB2312"/>
          <w:color w:val="000000" w:themeColor="text1"/>
          <w:sz w:val="24"/>
          <w:lang w:val="en-US" w:eastAsia="zh-CN"/>
          <w14:textFill>
            <w14:solidFill>
              <w14:schemeClr w14:val="tx1"/>
            </w14:solidFill>
          </w14:textFill>
        </w:rPr>
        <w:t>单位</w:t>
      </w:r>
      <w:r>
        <w:rPr>
          <w:rFonts w:hint="eastAsia" w:eastAsia="仿宋_GB2312" w:cs="仿宋_GB2312"/>
          <w:color w:val="000000" w:themeColor="text1"/>
          <w:sz w:val="24"/>
          <w14:textFill>
            <w14:solidFill>
              <w14:schemeClr w14:val="tx1"/>
            </w14:solidFill>
          </w14:textFill>
        </w:rPr>
        <w:t>建设初期根据发展规划作出的，复垦目标目前都还没有达到可以实施的境界，故方案带有很大的预测性，方案与今后的目标境界是否一致，需要在实施的时候具体落实。</w:t>
      </w:r>
    </w:p>
    <w:p>
      <w:pPr>
        <w:pageBreakBefore w:val="0"/>
        <w:kinsoku/>
        <w:wordWrap/>
        <w:topLinePunct w:val="0"/>
        <w:bidi w:val="0"/>
        <w:adjustRightInd w:val="0"/>
        <w:snapToGrid w:val="0"/>
        <w:spacing w:line="360" w:lineRule="auto"/>
        <w:ind w:firstLine="480" w:firstLineChars="200"/>
        <w:jc w:val="left"/>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2</w:t>
      </w:r>
      <w:r>
        <w:rPr>
          <w:rFonts w:hint="eastAsia" w:eastAsia="仿宋_GB2312"/>
          <w:color w:val="000000" w:themeColor="text1"/>
          <w:sz w:val="24"/>
          <w:lang w:eastAsia="zh-CN"/>
          <w14:textFill>
            <w14:solidFill>
              <w14:schemeClr w14:val="tx1"/>
            </w14:solidFill>
          </w14:textFill>
        </w:rPr>
        <w:t>）本次复垦责任范围</w:t>
      </w:r>
      <w:r>
        <w:rPr>
          <w:rFonts w:hint="default" w:eastAsia="仿宋_GB2312"/>
          <w:color w:val="000000" w:themeColor="text1"/>
          <w:sz w:val="24"/>
          <w14:textFill>
            <w14:solidFill>
              <w14:schemeClr w14:val="tx1"/>
            </w14:solidFill>
          </w14:textFill>
        </w:rPr>
        <w:t>占地</w:t>
      </w:r>
      <w:r>
        <w:rPr>
          <w:rFonts w:hint="eastAsia" w:eastAsia="仿宋_GB2312"/>
          <w:color w:val="000000" w:themeColor="text1"/>
          <w:sz w:val="24"/>
          <w:lang w:val="en-US" w:eastAsia="zh-CN"/>
          <w14:textFill>
            <w14:solidFill>
              <w14:schemeClr w14:val="tx1"/>
            </w14:solidFill>
          </w14:textFill>
        </w:rPr>
        <w:t>8.0492</w:t>
      </w:r>
      <w:r>
        <w:rPr>
          <w:rFonts w:eastAsia="仿宋_GB2312"/>
          <w:color w:val="000000" w:themeColor="text1"/>
          <w:sz w:val="24"/>
          <w14:textFill>
            <w14:solidFill>
              <w14:schemeClr w14:val="tx1"/>
            </w14:solidFill>
          </w14:textFill>
        </w:rPr>
        <w:t>hm</w:t>
      </w:r>
      <w:r>
        <w:rPr>
          <w:rFonts w:hint="eastAsia" w:eastAsia="仿宋_GB2312"/>
          <w:color w:val="000000" w:themeColor="text1"/>
          <w:sz w:val="24"/>
          <w:vertAlign w:val="superscript"/>
          <w:lang w:val="en-US" w:eastAsia="zh-CN"/>
          <w14:textFill>
            <w14:solidFill>
              <w14:schemeClr w14:val="tx1"/>
            </w14:solidFill>
          </w14:textFill>
        </w:rPr>
        <w:t>2</w:t>
      </w:r>
      <w:r>
        <w:rPr>
          <w:rFonts w:hint="eastAsia" w:eastAsia="仿宋_GB2312"/>
          <w:color w:val="000000" w:themeColor="text1"/>
          <w:sz w:val="24"/>
          <w:lang w:val="en-US" w:eastAsia="zh-CN"/>
          <w14:textFill>
            <w14:solidFill>
              <w14:schemeClr w14:val="tx1"/>
            </w14:solidFill>
          </w14:textFill>
        </w:rPr>
        <w:t>，</w:t>
      </w:r>
      <w:r>
        <w:rPr>
          <w:rFonts w:hint="eastAsia" w:eastAsia="仿宋_GB2312"/>
          <w:color w:val="000000" w:themeColor="text1"/>
          <w:sz w:val="24"/>
          <w:lang w:eastAsia="zh-CN"/>
          <w14:textFill>
            <w14:solidFill>
              <w14:schemeClr w14:val="tx1"/>
            </w14:solidFill>
          </w14:textFill>
        </w:rPr>
        <w:t>土地复垦静态总投资</w:t>
      </w:r>
      <w:r>
        <w:rPr>
          <w:rFonts w:hint="eastAsia" w:eastAsia="仿宋_GB2312"/>
          <w:color w:val="000000" w:themeColor="text1"/>
          <w:sz w:val="24"/>
          <w:lang w:val="en-US" w:eastAsia="zh-CN"/>
          <w14:textFill>
            <w14:solidFill>
              <w14:schemeClr w14:val="tx1"/>
            </w14:solidFill>
          </w14:textFill>
        </w:rPr>
        <w:t>26.31</w:t>
      </w:r>
      <w:r>
        <w:rPr>
          <w:rFonts w:hint="eastAsia" w:eastAsia="仿宋_GB2312"/>
          <w:color w:val="000000" w:themeColor="text1"/>
          <w:sz w:val="24"/>
          <w:lang w:eastAsia="zh-CN"/>
          <w14:textFill>
            <w14:solidFill>
              <w14:schemeClr w14:val="tx1"/>
            </w14:solidFill>
          </w14:textFill>
        </w:rPr>
        <w:t>万元。其中，工程施工费</w:t>
      </w:r>
      <w:r>
        <w:rPr>
          <w:rFonts w:hint="eastAsia" w:eastAsia="仿宋_GB2312"/>
          <w:color w:val="000000" w:themeColor="text1"/>
          <w:sz w:val="24"/>
          <w:lang w:val="en-US" w:eastAsia="zh-CN"/>
          <w14:textFill>
            <w14:solidFill>
              <w14:schemeClr w14:val="tx1"/>
            </w14:solidFill>
          </w14:textFill>
        </w:rPr>
        <w:t>19.14</w:t>
      </w:r>
      <w:r>
        <w:rPr>
          <w:rFonts w:hint="eastAsia" w:eastAsia="仿宋_GB2312"/>
          <w:color w:val="000000" w:themeColor="text1"/>
          <w:sz w:val="24"/>
          <w:lang w:eastAsia="zh-CN"/>
          <w14:textFill>
            <w14:solidFill>
              <w14:schemeClr w14:val="tx1"/>
            </w14:solidFill>
          </w14:textFill>
        </w:rPr>
        <w:t>万元，其他费用3.</w:t>
      </w:r>
      <w:r>
        <w:rPr>
          <w:rFonts w:hint="eastAsia" w:eastAsia="仿宋_GB2312"/>
          <w:color w:val="000000" w:themeColor="text1"/>
          <w:sz w:val="24"/>
          <w:lang w:val="en-US" w:eastAsia="zh-CN"/>
          <w14:textFill>
            <w14:solidFill>
              <w14:schemeClr w14:val="tx1"/>
            </w14:solidFill>
          </w14:textFill>
        </w:rPr>
        <w:t>59</w:t>
      </w:r>
      <w:r>
        <w:rPr>
          <w:rFonts w:hint="eastAsia" w:eastAsia="仿宋_GB2312"/>
          <w:color w:val="000000" w:themeColor="text1"/>
          <w:sz w:val="24"/>
          <w:lang w:eastAsia="zh-CN"/>
          <w14:textFill>
            <w14:solidFill>
              <w14:schemeClr w14:val="tx1"/>
            </w14:solidFill>
          </w14:textFill>
        </w:rPr>
        <w:t>万元，基本预备费用0.6</w:t>
      </w:r>
      <w:r>
        <w:rPr>
          <w:rFonts w:hint="eastAsia" w:eastAsia="仿宋_GB2312"/>
          <w:color w:val="000000" w:themeColor="text1"/>
          <w:sz w:val="24"/>
          <w:lang w:val="en-US" w:eastAsia="zh-CN"/>
          <w14:textFill>
            <w14:solidFill>
              <w14:schemeClr w14:val="tx1"/>
            </w14:solidFill>
          </w14:textFill>
        </w:rPr>
        <w:t>8</w:t>
      </w:r>
      <w:r>
        <w:rPr>
          <w:rFonts w:hint="eastAsia" w:eastAsia="仿宋_GB2312"/>
          <w:color w:val="000000" w:themeColor="text1"/>
          <w:sz w:val="24"/>
          <w:lang w:eastAsia="zh-CN"/>
          <w14:textFill>
            <w14:solidFill>
              <w14:schemeClr w14:val="tx1"/>
            </w14:solidFill>
          </w14:textFill>
        </w:rPr>
        <w:t>万元，监测费用</w:t>
      </w:r>
      <w:r>
        <w:rPr>
          <w:rFonts w:hint="eastAsia" w:eastAsia="仿宋_GB2312"/>
          <w:color w:val="000000" w:themeColor="text1"/>
          <w:sz w:val="24"/>
          <w:lang w:val="en-US" w:eastAsia="zh-CN"/>
          <w14:textFill>
            <w14:solidFill>
              <w14:schemeClr w14:val="tx1"/>
            </w14:solidFill>
          </w14:textFill>
        </w:rPr>
        <w:t>2.70</w:t>
      </w:r>
      <w:r>
        <w:rPr>
          <w:rFonts w:hint="eastAsia" w:eastAsia="仿宋_GB2312"/>
          <w:color w:val="000000" w:themeColor="text1"/>
          <w:sz w:val="24"/>
          <w:lang w:eastAsia="zh-CN"/>
          <w14:textFill>
            <w14:solidFill>
              <w14:schemeClr w14:val="tx1"/>
            </w14:solidFill>
          </w14:textFill>
        </w:rPr>
        <w:t>万元，管护费用0.20万元，复垦实施过程中应严格实施费用保障等措施</w:t>
      </w:r>
      <w:r>
        <w:rPr>
          <w:rFonts w:hint="eastAsia" w:eastAsia="仿宋_GB2312"/>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hint="eastAsia"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3</w:t>
      </w:r>
      <w:r>
        <w:rPr>
          <w:rFonts w:hint="eastAsia" w:eastAsia="仿宋_GB2312"/>
          <w:color w:val="000000" w:themeColor="text1"/>
          <w:sz w:val="24"/>
          <w:lang w:eastAsia="zh-CN"/>
          <w14:textFill>
            <w14:solidFill>
              <w14:schemeClr w14:val="tx1"/>
            </w14:solidFill>
          </w14:textFill>
        </w:rPr>
        <w:t>）喀什地区盖孜库山河流域管理处</w:t>
      </w:r>
      <w:r>
        <w:rPr>
          <w:rFonts w:hint="eastAsia" w:eastAsia="仿宋_GB2312"/>
          <w:color w:val="000000" w:themeColor="text1"/>
          <w:sz w:val="24"/>
          <w14:textFill>
            <w14:solidFill>
              <w14:schemeClr w14:val="tx1"/>
            </w14:solidFill>
          </w14:textFill>
        </w:rPr>
        <w:t>应按本方案要求，认真组织落实，配合当地行政主管部门，做好方案实施的监理、监测和监督工作，严格执行工程监理制度，对各类措施的实施进度、质量和资金使用情况进行监督管理，以保证工程质量。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4</w:t>
      </w:r>
      <w:r>
        <w:rPr>
          <w:rFonts w:eastAsia="仿宋_GB2312"/>
          <w:color w:val="000000" w:themeColor="text1"/>
          <w:sz w:val="24"/>
          <w14:textFill>
            <w14:solidFill>
              <w14:schemeClr w14:val="tx1"/>
            </w14:solidFill>
          </w14:textFill>
        </w:rPr>
        <w:t>）由于场地使用周期</w:t>
      </w:r>
      <w:r>
        <w:rPr>
          <w:rFonts w:hint="eastAsia" w:eastAsia="仿宋_GB2312"/>
          <w:color w:val="000000" w:themeColor="text1"/>
          <w:sz w:val="24"/>
          <w:lang w:eastAsia="zh-CN"/>
          <w14:textFill>
            <w14:solidFill>
              <w14:schemeClr w14:val="tx1"/>
            </w14:solidFill>
          </w14:textFill>
        </w:rPr>
        <w:t>较</w:t>
      </w:r>
      <w:r>
        <w:rPr>
          <w:rFonts w:eastAsia="仿宋_GB2312"/>
          <w:color w:val="000000" w:themeColor="text1"/>
          <w:sz w:val="24"/>
          <w14:textFill>
            <w14:solidFill>
              <w14:schemeClr w14:val="tx1"/>
            </w14:solidFill>
          </w14:textFill>
        </w:rPr>
        <w:t>长，土地复垦投资的预（估）测算是以现行的土地开发整理和相关的建筑预算定额进行编制，与将来实施时候的费率、定额未必相符，实施时应进行核实，以便及时调整工程投资，才能保证土地复垦工程的顺利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hint="eastAsia" w:eastAsia="仿宋_GB2312"/>
          <w:color w:val="000000" w:themeColor="text1"/>
          <w:sz w:val="24"/>
          <w:lang w:eastAsia="zh-CN"/>
          <w14:textFill>
            <w14:solidFill>
              <w14:schemeClr w14:val="tx1"/>
            </w14:solidFill>
          </w14:textFill>
        </w:rPr>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仿宋_GB2312"/>
          <w:color w:val="000000" w:themeColor="text1"/>
          <w:sz w:val="24"/>
          <w:lang w:eastAsia="zh-CN"/>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5</w:t>
      </w:r>
      <w:r>
        <w:rPr>
          <w:rFonts w:hint="eastAsia" w:eastAsia="仿宋_GB2312"/>
          <w:color w:val="000000" w:themeColor="text1"/>
          <w:sz w:val="24"/>
          <w:lang w:eastAsia="zh-CN"/>
          <w14:textFill>
            <w14:solidFill>
              <w14:schemeClr w14:val="tx1"/>
            </w14:solidFill>
          </w14:textFill>
        </w:rPr>
        <w:t>）人工灌溉是保证</w:t>
      </w:r>
      <w:r>
        <w:rPr>
          <w:rFonts w:hint="eastAsia" w:eastAsia="仿宋_GB2312"/>
          <w:color w:val="000000" w:themeColor="text1"/>
          <w:sz w:val="24"/>
          <w:lang w:val="en-US" w:eastAsia="zh-CN"/>
          <w14:textFill>
            <w14:solidFill>
              <w14:schemeClr w14:val="tx1"/>
            </w14:solidFill>
          </w14:textFill>
        </w:rPr>
        <w:t>苗木</w:t>
      </w:r>
      <w:r>
        <w:rPr>
          <w:rFonts w:hint="eastAsia" w:eastAsia="仿宋_GB2312"/>
          <w:color w:val="000000" w:themeColor="text1"/>
          <w:sz w:val="24"/>
          <w:lang w:eastAsia="zh-CN"/>
          <w14:textFill>
            <w14:solidFill>
              <w14:schemeClr w14:val="tx1"/>
            </w14:solidFill>
          </w14:textFill>
        </w:rPr>
        <w:t>种植成活关键因素，施工单位需及时与土地复垦供水水管部门进行沟通，提前规划好水资源调配工作。</w:t>
      </w:r>
    </w:p>
    <w:p>
      <w:pPr>
        <w:pageBreakBefore w:val="0"/>
        <w:kinsoku/>
        <w:wordWrap/>
        <w:topLinePunct w:val="0"/>
        <w:bidi w:val="0"/>
        <w:adjustRightInd w:val="0"/>
        <w:snapToGrid w:val="0"/>
        <w:jc w:val="center"/>
        <w:rPr>
          <w:bCs/>
          <w:color w:val="000000" w:themeColor="text1"/>
          <w:sz w:val="44"/>
          <w:szCs w:val="44"/>
          <w14:textFill>
            <w14:solidFill>
              <w14:schemeClr w14:val="tx1"/>
            </w14:solidFill>
          </w14:textFill>
        </w:rPr>
      </w:pPr>
      <w:r>
        <w:rPr>
          <w:bCs/>
          <w:color w:val="000000" w:themeColor="text1"/>
          <w:sz w:val="44"/>
          <w:szCs w:val="44"/>
          <w14:textFill>
            <w14:solidFill>
              <w14:schemeClr w14:val="tx1"/>
            </w14:solidFill>
          </w14:textFill>
        </w:rPr>
        <w:t>土地复垦方案报告表</w:t>
      </w:r>
    </w:p>
    <w:p>
      <w:pPr>
        <w:pageBreakBefore w:val="0"/>
        <w:kinsoku/>
        <w:wordWrap/>
        <w:topLinePunct w:val="0"/>
        <w:bidi w:val="0"/>
        <w:adjustRightInd w:val="0"/>
        <w:snapToGrid w:val="0"/>
        <w:jc w:val="center"/>
        <w:rPr>
          <w:rFonts w:eastAsia="仿宋_GB2312"/>
          <w:bCs/>
          <w:color w:val="000000" w:themeColor="text1"/>
          <w:sz w:val="28"/>
          <w:szCs w:val="28"/>
          <w14:textFill>
            <w14:solidFill>
              <w14:schemeClr w14:val="tx1"/>
            </w14:solidFill>
          </w14:textFill>
        </w:rPr>
      </w:pPr>
      <w:r>
        <w:rPr>
          <w:rFonts w:eastAsia="仿宋_GB2312"/>
          <w:bCs/>
          <w:color w:val="000000" w:themeColor="text1"/>
          <w:sz w:val="36"/>
          <w:szCs w:val="36"/>
          <w14:textFill>
            <w14:solidFill>
              <w14:schemeClr w14:val="tx1"/>
            </w14:solidFill>
          </w14:textFill>
        </w:rPr>
        <w:t>编   制   说   明</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1、凡已经或可能因挖损、塌陷、压占、污染等原因对土地造成损毁的，依法已报或需报省级以上</w:t>
      </w:r>
      <w:r>
        <w:rPr>
          <w:rFonts w:hint="eastAsia" w:eastAsia="仿宋_GB2312"/>
          <w:color w:val="000000" w:themeColor="text1"/>
          <w:sz w:val="24"/>
          <w:lang w:eastAsia="zh-CN"/>
          <w14:textFill>
            <w14:solidFill>
              <w14:schemeClr w14:val="tx1"/>
            </w14:solidFill>
          </w14:textFill>
        </w:rPr>
        <w:t>自然资源管理部门</w:t>
      </w:r>
      <w:r>
        <w:rPr>
          <w:rFonts w:eastAsia="仿宋_GB2312"/>
          <w:color w:val="000000" w:themeColor="text1"/>
          <w:sz w:val="24"/>
          <w14:textFill>
            <w14:solidFill>
              <w14:schemeClr w14:val="tx1"/>
            </w14:solidFill>
          </w14:textFill>
        </w:rPr>
        <w:t>批准采矿权的生产项目和报国务院批准建设用地的交通、水利、能源等建设项目应编制土地复垦方案报告书。</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2、指标解释：</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(1)企业性质(或工程类型)：生产项目填写企业性质，指国有、集体、私营、个体、联营、股份制、外商投资、港澳台投资等；建设项目填写工程类型。</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(2)用地规模(面积)：指为满足生产建设需要所需占用的土地面积，包括永久性建设用地和损毁土地面积。</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(3)永久性建设用地：指修建办公楼、厂房、公路、铁路等建筑物、构筑物需要占用的土地。</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(4)损毁土地：指在生产建设活动中因挖损、塌陷、压占等造成损毁的土地，分为已损毁和拟损毁土地(包括已办理征收手续的损毁土地面积)。</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(5)生产能力(或投资规模)：生产项目填写年生产能力；建设项目填写投资规模，即项目投资估(概)算总额。</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(6)生产年限(或建设期限)：开采矿产资源等生产项目填写采矿许可证有效年限；建设项目填写建设期限。</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(7)项目区内土地利用现状：指生产建设项目范围内所有土地的利用现状，包括永久性建设用地、损毁土地等。</w:t>
      </w:r>
    </w:p>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r>
        <w:rPr>
          <w:rFonts w:eastAsia="仿宋_GB2312"/>
          <w:color w:val="000000" w:themeColor="text1"/>
          <w:sz w:val="24"/>
          <w14:textFill>
            <w14:solidFill>
              <w14:schemeClr w14:val="tx1"/>
            </w14:solidFill>
          </w14:textFill>
        </w:rPr>
        <w:t>(8)土地复垦率：复垦土地面积(包括复垦的建设用地、农用地面积)占损毁土地总面积的比率。</w:t>
      </w:r>
    </w:p>
    <w:tbl>
      <w:tblPr>
        <w:tblStyle w:val="20"/>
        <w:tblW w:w="94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938"/>
        <w:gridCol w:w="2176"/>
        <w:gridCol w:w="920"/>
        <w:gridCol w:w="454"/>
        <w:gridCol w:w="112"/>
        <w:gridCol w:w="850"/>
        <w:gridCol w:w="662"/>
        <w:gridCol w:w="18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9422" w:type="dxa"/>
            <w:gridSpan w:val="9"/>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b/>
                <w:bCs/>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土地复垦方案报告表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456" w:type="dxa"/>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生产建设项目概况</w:t>
            </w: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项目名称</w:t>
            </w:r>
          </w:p>
        </w:tc>
        <w:tc>
          <w:tcPr>
            <w:tcW w:w="7028"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新疆克孜河大桥渠首除险加固工程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t>建设</w:t>
            </w:r>
            <w:r>
              <w:rPr>
                <w:rFonts w:hint="default" w:ascii="Times New Roman" w:hAnsi="Times New Roman" w:eastAsia="仿宋_GB2312" w:cs="Times New Roman"/>
                <w:color w:val="000000" w:themeColor="text1"/>
                <w:kern w:val="0"/>
                <w:sz w:val="24"/>
                <w:szCs w:val="24"/>
                <w14:textFill>
                  <w14:solidFill>
                    <w14:schemeClr w14:val="tx1"/>
                  </w14:solidFill>
                </w14:textFill>
              </w:rPr>
              <w:t>单位名称</w:t>
            </w:r>
          </w:p>
        </w:tc>
        <w:tc>
          <w:tcPr>
            <w:tcW w:w="7028" w:type="dxa"/>
            <w:gridSpan w:val="7"/>
            <w:noWrap w:val="0"/>
            <w:vAlign w:val="center"/>
          </w:tcPr>
          <w:p>
            <w:pPr>
              <w:pageBreakBefore w:val="0"/>
              <w:widowControl/>
              <w:kinsoku/>
              <w:wordWrap/>
              <w:topLinePunct w:val="0"/>
              <w:bidi w:val="0"/>
              <w:adjustRightInd w:val="0"/>
              <w:snapToGrid w:val="0"/>
              <w:jc w:val="center"/>
              <w:rPr>
                <w:rFonts w:hint="default"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喀什地区盖孜库山河流域管理处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eastAsia="仿宋_GB2312"/>
                <w:color w:val="000000" w:themeColor="text1"/>
                <w:sz w:val="24"/>
                <w:lang w:eastAsia="zh-CN"/>
                <w14:textFill>
                  <w14:solidFill>
                    <w14:schemeClr w14:val="tx1"/>
                  </w14:solidFill>
                </w14:textFill>
              </w:rPr>
            </w:pPr>
            <w:r>
              <w:rPr>
                <w:rFonts w:hint="default" w:eastAsia="仿宋_GB2312"/>
                <w:color w:val="000000" w:themeColor="text1"/>
                <w:sz w:val="24"/>
                <w:lang w:eastAsia="zh-CN"/>
                <w14:textFill>
                  <w14:solidFill>
                    <w14:schemeClr w14:val="tx1"/>
                  </w14:solidFill>
                </w14:textFill>
              </w:rPr>
              <w:t>联系人</w:t>
            </w:r>
          </w:p>
        </w:tc>
        <w:tc>
          <w:tcPr>
            <w:tcW w:w="2176"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lang w:val="en-US" w:eastAsia="zh-CN"/>
                <w14:textFill>
                  <w14:solidFill>
                    <w14:schemeClr w14:val="tx1"/>
                  </w14:solidFill>
                </w14:textFill>
              </w:rPr>
              <w:t>吴旭春</w:t>
            </w:r>
          </w:p>
        </w:tc>
        <w:tc>
          <w:tcPr>
            <w:tcW w:w="148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eastAsia="zh-CN"/>
                <w14:textFill>
                  <w14:solidFill>
                    <w14:schemeClr w14:val="tx1"/>
                  </w14:solidFill>
                </w14:textFill>
              </w:rPr>
              <w:t>联系电话</w:t>
            </w:r>
          </w:p>
        </w:tc>
        <w:tc>
          <w:tcPr>
            <w:tcW w:w="336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单位地址</w:t>
            </w:r>
          </w:p>
        </w:tc>
        <w:tc>
          <w:tcPr>
            <w:tcW w:w="7028"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 xml:space="preserve">喀什市克孜都维路193号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 xml:space="preserve">企业性质   </w:t>
            </w:r>
          </w:p>
        </w:tc>
        <w:tc>
          <w:tcPr>
            <w:tcW w:w="2176" w:type="dxa"/>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国有</w:t>
            </w:r>
          </w:p>
        </w:tc>
        <w:tc>
          <w:tcPr>
            <w:tcW w:w="148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项目性质</w:t>
            </w:r>
          </w:p>
        </w:tc>
        <w:tc>
          <w:tcPr>
            <w:tcW w:w="3366"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加固水利设施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项目位置</w:t>
            </w:r>
          </w:p>
        </w:tc>
        <w:tc>
          <w:tcPr>
            <w:tcW w:w="7028"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喀什市、疏附县、疏勒县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项目位置土地利用现状图幅号</w:t>
            </w:r>
          </w:p>
        </w:tc>
        <w:tc>
          <w:tcPr>
            <w:tcW w:w="7028" w:type="dxa"/>
            <w:gridSpan w:val="7"/>
            <w:noWrap w:val="0"/>
            <w:vAlign w:val="center"/>
          </w:tcPr>
          <w:p>
            <w:pPr>
              <w:pageBreakBefore w:val="0"/>
              <w:widowControl/>
              <w:kinsoku/>
              <w:wordWrap/>
              <w:topLinePunct w:val="0"/>
              <w:bidi w:val="0"/>
              <w:adjustRightInd w:val="0"/>
              <w:snapToGrid w:val="0"/>
              <w:jc w:val="cente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用地面积（hm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永久性建设用地</w:t>
            </w:r>
          </w:p>
        </w:tc>
        <w:tc>
          <w:tcPr>
            <w:tcW w:w="3932" w:type="dxa"/>
            <w:gridSpan w:val="5"/>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临时用地面积</w:t>
            </w:r>
          </w:p>
        </w:tc>
        <w:tc>
          <w:tcPr>
            <w:tcW w:w="3932" w:type="dxa"/>
            <w:gridSpan w:val="5"/>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5034"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生产能力（或投资规模）</w:t>
            </w:r>
          </w:p>
        </w:tc>
        <w:tc>
          <w:tcPr>
            <w:tcW w:w="3932" w:type="dxa"/>
            <w:gridSpan w:val="5"/>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工程总投资</w:t>
            </w:r>
            <w:r>
              <w:rPr>
                <w:rFonts w:hint="eastAsia" w:eastAsia="仿宋_GB2312" w:cs="Times New Roman"/>
                <w:color w:val="000000" w:themeColor="text1"/>
                <w:kern w:val="0"/>
                <w:sz w:val="24"/>
                <w:szCs w:val="24"/>
                <w:lang w:val="en-US" w:eastAsia="zh-CN"/>
                <w14:textFill>
                  <w14:solidFill>
                    <w14:schemeClr w14:val="tx1"/>
                  </w14:solidFill>
                </w14:textFill>
              </w:rPr>
              <w:t>5380.74</w:t>
            </w:r>
            <w:r>
              <w:rPr>
                <w:rFonts w:hint="eastAsia" w:eastAsia="仿宋_GB2312" w:cs="Times New Roman"/>
                <w:color w:val="000000" w:themeColor="text1"/>
                <w:sz w:val="24"/>
                <w:szCs w:val="24"/>
                <w:lang w:val="en-US" w:eastAsia="zh-CN"/>
                <w14:textFill>
                  <w14:solidFill>
                    <w14:schemeClr w14:val="tx1"/>
                  </w14:solidFill>
                </w14:textFill>
              </w:rPr>
              <w:t>万</w:t>
            </w: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5034"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生产年限（或建设期限）</w:t>
            </w:r>
          </w:p>
        </w:tc>
        <w:tc>
          <w:tcPr>
            <w:tcW w:w="3932" w:type="dxa"/>
            <w:gridSpan w:val="5"/>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24个月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方案编制单位</w:t>
            </w: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编制单位名称</w:t>
            </w:r>
          </w:p>
        </w:tc>
        <w:tc>
          <w:tcPr>
            <w:tcW w:w="7028" w:type="dxa"/>
            <w:gridSpan w:val="7"/>
            <w:noWrap w:val="0"/>
            <w:vAlign w:val="center"/>
          </w:tcPr>
          <w:p>
            <w:pPr>
              <w:widowControl/>
              <w:adjustRightInd w:val="0"/>
              <w:snapToGrid w:val="0"/>
              <w:jc w:val="center"/>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eastAsia="仿宋_GB2312" w:cs="Times New Roman"/>
                <w:color w:val="000000" w:themeColor="text1"/>
                <w:sz w:val="24"/>
                <w:lang w:eastAsia="zh-CN"/>
                <w14:textFill>
                  <w14:solidFill>
                    <w14:schemeClr w14:val="tx1"/>
                  </w14:solidFill>
                </w14:textFill>
              </w:rPr>
              <w:t>新疆国绘信息科技有限公司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法 人 代 表</w:t>
            </w:r>
          </w:p>
        </w:tc>
        <w:tc>
          <w:tcPr>
            <w:tcW w:w="7028" w:type="dxa"/>
            <w:gridSpan w:val="7"/>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eastAsia="zh-CN"/>
                <w14:textFill>
                  <w14:solidFill>
                    <w14:schemeClr w14:val="tx1"/>
                  </w14:solidFill>
                </w14:textFill>
              </w:rPr>
              <w:t>余龙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地址</w:t>
            </w:r>
          </w:p>
        </w:tc>
        <w:tc>
          <w:tcPr>
            <w:tcW w:w="7028"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eastAsia="zh-CN"/>
                <w14:textFill>
                  <w14:solidFill>
                    <w14:schemeClr w14:val="tx1"/>
                  </w14:solidFill>
                </w14:textFill>
              </w:rPr>
              <w:t>新疆喀什地区喀什经济开发区深喀大道总部经济区深圳城3号楼3楼3015号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联  系  人</w:t>
            </w:r>
          </w:p>
        </w:tc>
        <w:tc>
          <w:tcPr>
            <w:tcW w:w="3550"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eastAsia="zh-CN"/>
                <w14:textFill>
                  <w14:solidFill>
                    <w14:schemeClr w14:val="tx1"/>
                  </w14:solidFill>
                </w14:textFill>
              </w:rPr>
              <w:t>余龙</w:t>
            </w:r>
          </w:p>
        </w:tc>
        <w:tc>
          <w:tcPr>
            <w:tcW w:w="1624"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联系电话</w:t>
            </w:r>
          </w:p>
        </w:tc>
        <w:tc>
          <w:tcPr>
            <w:tcW w:w="1854"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8966" w:type="dxa"/>
            <w:gridSpan w:val="8"/>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主   要   编   制   人   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姓  名</w:t>
            </w: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职  务</w:t>
            </w:r>
          </w:p>
        </w:tc>
        <w:tc>
          <w:tcPr>
            <w:tcW w:w="141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职  位</w:t>
            </w:r>
          </w:p>
        </w:tc>
        <w:tc>
          <w:tcPr>
            <w:tcW w:w="251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签  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涂  源</w:t>
            </w:r>
          </w:p>
        </w:tc>
        <w:tc>
          <w:tcPr>
            <w:tcW w:w="3096"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项目负责</w:t>
            </w:r>
          </w:p>
        </w:tc>
        <w:tc>
          <w:tcPr>
            <w:tcW w:w="141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工程师</w:t>
            </w:r>
          </w:p>
        </w:tc>
        <w:tc>
          <w:tcPr>
            <w:tcW w:w="251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王金龙</w:t>
            </w: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技术负责</w:t>
            </w:r>
          </w:p>
        </w:tc>
        <w:tc>
          <w:tcPr>
            <w:tcW w:w="141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工程师</w:t>
            </w:r>
          </w:p>
        </w:tc>
        <w:tc>
          <w:tcPr>
            <w:tcW w:w="251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top"/>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李  霞</w:t>
            </w: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编写人</w:t>
            </w:r>
          </w:p>
        </w:tc>
        <w:tc>
          <w:tcPr>
            <w:tcW w:w="141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工程师</w:t>
            </w:r>
          </w:p>
        </w:tc>
        <w:tc>
          <w:tcPr>
            <w:tcW w:w="251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56" w:type="dxa"/>
            <w:vMerge w:val="continue"/>
            <w:noWrap w:val="0"/>
            <w:vAlign w:val="top"/>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938"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邓  超</w:t>
            </w:r>
          </w:p>
        </w:tc>
        <w:tc>
          <w:tcPr>
            <w:tcW w:w="309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编写人</w:t>
            </w:r>
          </w:p>
        </w:tc>
        <w:tc>
          <w:tcPr>
            <w:tcW w:w="1416"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助理工程师</w:t>
            </w:r>
          </w:p>
        </w:tc>
        <w:tc>
          <w:tcPr>
            <w:tcW w:w="2516"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sz w:val="24"/>
                <w:szCs w:val="24"/>
                <w:lang w:eastAsia="zh-CN"/>
                <w14:textFill>
                  <w14:solidFill>
                    <w14:schemeClr w14:val="tx1"/>
                  </w14:solidFill>
                </w14:textFill>
              </w:rPr>
            </w:pPr>
          </w:p>
        </w:tc>
      </w:tr>
    </w:tbl>
    <w:p>
      <w:pPr>
        <w:pageBreakBefore w:val="0"/>
        <w:kinsoku/>
        <w:wordWrap/>
        <w:topLinePunct w:val="0"/>
        <w:bidi w:val="0"/>
        <w:adjustRightInd w:val="0"/>
        <w:snapToGrid w:val="0"/>
        <w:spacing w:line="360" w:lineRule="auto"/>
        <w:ind w:firstLine="480"/>
        <w:rPr>
          <w:rFonts w:eastAsia="仿宋_GB2312"/>
          <w:color w:val="000000" w:themeColor="text1"/>
          <w:sz w:val="24"/>
          <w14:textFill>
            <w14:solidFill>
              <w14:schemeClr w14:val="tx1"/>
            </w14:solidFill>
          </w14:textFill>
        </w:rPr>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pPr>
    </w:p>
    <w:tbl>
      <w:tblPr>
        <w:tblStyle w:val="20"/>
        <w:tblW w:w="945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43"/>
        <w:gridCol w:w="793"/>
        <w:gridCol w:w="837"/>
        <w:gridCol w:w="1843"/>
        <w:gridCol w:w="1756"/>
        <w:gridCol w:w="55"/>
        <w:gridCol w:w="9"/>
        <w:gridCol w:w="1349"/>
        <w:gridCol w:w="172"/>
        <w:gridCol w:w="1436"/>
        <w:gridCol w:w="3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t>复垦区土地利用现状</w:t>
            </w:r>
          </w:p>
        </w:tc>
        <w:tc>
          <w:tcPr>
            <w:tcW w:w="3473" w:type="dxa"/>
            <w:gridSpan w:val="3"/>
            <w:noWrap w:val="0"/>
            <w:vAlign w:val="center"/>
          </w:tcPr>
          <w:p>
            <w:pPr>
              <w:pageBreakBefore w:val="0"/>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t>地类</w:t>
            </w:r>
          </w:p>
        </w:tc>
        <w:tc>
          <w:tcPr>
            <w:tcW w:w="5122"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面积（hm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noWrap w:val="0"/>
            <w:vAlign w:val="center"/>
          </w:tcPr>
          <w:p>
            <w:pPr>
              <w:pageBreakBefore w:val="0"/>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一级地类</w:t>
            </w:r>
          </w:p>
        </w:tc>
        <w:tc>
          <w:tcPr>
            <w:tcW w:w="1843" w:type="dxa"/>
            <w:noWrap w:val="0"/>
            <w:vAlign w:val="center"/>
          </w:tcPr>
          <w:p>
            <w:pPr>
              <w:pageBreakBefore w:val="0"/>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二级地类</w:t>
            </w:r>
          </w:p>
        </w:tc>
        <w:tc>
          <w:tcPr>
            <w:tcW w:w="181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t>小计</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拟损毁（hm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已损毁（hm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耕地（01）</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水浇地（0102）</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0.1754</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0.1754</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种植园用地（02）</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果园（0201）</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0.705</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0.705</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林地（03）</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灌木林地（0305）</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0.0601</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0.0601</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住宅用地（07）</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农村宅基地（0702）</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0.2788</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0.2788</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vMerge w:val="restart"/>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交通运输用地（10）</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公路用地（1003）</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0.0508</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0.0508</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vMerge w:val="continue"/>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农村道路（1006）</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0.2616</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0.2616</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vMerge w:val="restart"/>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水域及水利设施用地（11）</w:t>
            </w: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河流水面（1101）</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1.5254</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1.5254</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vMerge w:val="continue"/>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坑塘水面（1104）</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4.9181</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4.9181</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shd w:val="clear" w:color="auto" w:fill="auto"/>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eastAsia="zh-CN"/>
                <w14:textFill>
                  <w14:solidFill>
                    <w14:schemeClr w14:val="tx1"/>
                  </w14:solidFill>
                </w14:textFill>
              </w:rPr>
            </w:pPr>
          </w:p>
        </w:tc>
        <w:tc>
          <w:tcPr>
            <w:tcW w:w="1630" w:type="dxa"/>
            <w:gridSpan w:val="2"/>
            <w:vMerge w:val="continue"/>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43" w:type="dxa"/>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沟渠（1107）</w:t>
            </w:r>
          </w:p>
        </w:tc>
        <w:tc>
          <w:tcPr>
            <w:tcW w:w="1811" w:type="dxa"/>
            <w:gridSpan w:val="2"/>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0.074</w:t>
            </w:r>
          </w:p>
        </w:tc>
        <w:tc>
          <w:tcPr>
            <w:tcW w:w="1530" w:type="dxa"/>
            <w:gridSpan w:val="3"/>
            <w:shd w:val="clear" w:color="auto" w:fill="FFFFFF"/>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0.074</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合    计</w:t>
            </w:r>
          </w:p>
        </w:tc>
        <w:tc>
          <w:tcPr>
            <w:tcW w:w="181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530"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复垦责任范围区内土地损毁类型</w:t>
            </w:r>
          </w:p>
        </w:tc>
        <w:tc>
          <w:tcPr>
            <w:tcW w:w="3473" w:type="dxa"/>
            <w:gridSpan w:val="3"/>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类</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0"/>
                <w:sz w:val="24"/>
                <w:szCs w:val="24"/>
                <w14:textFill>
                  <w14:solidFill>
                    <w14:schemeClr w14:val="tx1"/>
                  </w14:solidFill>
                </w14:textFill>
              </w:rPr>
              <w:t>型</w:t>
            </w:r>
          </w:p>
        </w:tc>
        <w:tc>
          <w:tcPr>
            <w:tcW w:w="1811" w:type="dxa"/>
            <w:gridSpan w:val="2"/>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面积</w:t>
            </w:r>
          </w:p>
        </w:tc>
        <w:tc>
          <w:tcPr>
            <w:tcW w:w="3311" w:type="dxa"/>
            <w:gridSpan w:val="5"/>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811"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拟损毁（hm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已损毁（hm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挖    损</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塌    陷</w:t>
            </w:r>
          </w:p>
        </w:tc>
        <w:tc>
          <w:tcPr>
            <w:tcW w:w="181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压    占</w:t>
            </w:r>
          </w:p>
        </w:tc>
        <w:tc>
          <w:tcPr>
            <w:tcW w:w="181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合    计</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530"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2"/>
                <w:sz w:val="24"/>
                <w:szCs w:val="24"/>
                <w:lang w:val="en-US"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restart"/>
            <w:noWrap w:val="0"/>
            <w:vAlign w:val="center"/>
          </w:tcPr>
          <w:p>
            <w:pPr>
              <w:pageBreakBefore w:val="0"/>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复垦</w:t>
            </w:r>
          </w:p>
          <w:p>
            <w:pPr>
              <w:pageBreakBefore w:val="0"/>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面积</w:t>
            </w: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一级地类</w:t>
            </w:r>
          </w:p>
        </w:tc>
        <w:tc>
          <w:tcPr>
            <w:tcW w:w="181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二级地类</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已复垦</w:t>
            </w:r>
          </w:p>
        </w:tc>
        <w:tc>
          <w:tcPr>
            <w:tcW w:w="1781" w:type="dxa"/>
            <w:gridSpan w:val="2"/>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拟复垦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耕地（01）</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水浇地（0102）</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0.1754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种植园用地（02）</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果园（0201）</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林地（03）</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灌木林地（0305）</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住宅用地（07）</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农村宅基地（0702）</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0.2788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restart"/>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交通运输用地（10）</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公路用地（1003）</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0.0508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continue"/>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农村道路（1006）</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0.2616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restart"/>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水域及水利设施用地（11）</w:t>
            </w: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河流水面（1101）</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1.5254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continue"/>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坑塘水面（1104）</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4.9181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vMerge w:val="continue"/>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81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沟渠（1107）</w:t>
            </w:r>
          </w:p>
        </w:tc>
        <w:tc>
          <w:tcPr>
            <w:tcW w:w="1530"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pPr>
          </w:p>
        </w:tc>
        <w:tc>
          <w:tcPr>
            <w:tcW w:w="1781" w:type="dxa"/>
            <w:gridSpan w:val="2"/>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t>0.074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347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合    计</w:t>
            </w:r>
          </w:p>
        </w:tc>
        <w:tc>
          <w:tcPr>
            <w:tcW w:w="5122" w:type="dxa"/>
            <w:gridSpan w:val="7"/>
            <w:noWrap w:val="0"/>
            <w:vAlign w:val="center"/>
          </w:tcPr>
          <w:p>
            <w:pPr>
              <w:pageBreakBefore w:val="0"/>
              <w:widowControl/>
              <w:kinsoku/>
              <w:wordWrap/>
              <w:topLinePunct w:val="0"/>
              <w:bidi w:val="0"/>
              <w:adjustRightInd w:val="0"/>
              <w:snapToGrid w:val="0"/>
              <w:jc w:val="center"/>
              <w:rPr>
                <w:rFonts w:hint="eastAsia" w:ascii="Times New Roman" w:hAnsi="Times New Roman" w:eastAsia="仿宋_GB2312" w:cs="Times New Roman"/>
                <w:color w:val="000000" w:themeColor="text1"/>
                <w:kern w:val="0"/>
                <w:sz w:val="24"/>
                <w:szCs w:val="24"/>
                <w:lang w:val="en-US" w:eastAsia="zh-CN"/>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8.0492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6" w:type="dxa"/>
            <w:gridSpan w:val="2"/>
            <w:vMerge w:val="continue"/>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p>
        </w:tc>
        <w:tc>
          <w:tcPr>
            <w:tcW w:w="6642" w:type="dxa"/>
            <w:gridSpan w:val="7"/>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土地复垦率（%）</w:t>
            </w:r>
          </w:p>
        </w:tc>
        <w:tc>
          <w:tcPr>
            <w:tcW w:w="195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329" w:type="dxa"/>
            <w:gridSpan w:val="5"/>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土地复垦投资估（概）算</w:t>
            </w:r>
          </w:p>
        </w:tc>
        <w:tc>
          <w:tcPr>
            <w:tcW w:w="1756" w:type="dxa"/>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kern w:val="0"/>
                <w:sz w:val="24"/>
                <w:szCs w:val="24"/>
                <w14:textFill>
                  <w14:solidFill>
                    <w14:schemeClr w14:val="tx1"/>
                  </w14:solidFill>
                </w14:textFill>
              </w:rPr>
              <w:t>静态</w:t>
            </w:r>
          </w:p>
        </w:tc>
        <w:tc>
          <w:tcPr>
            <w:tcW w:w="141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26.31</w:t>
            </w:r>
            <w:r>
              <w:rPr>
                <w:rFonts w:hint="default" w:ascii="Times New Roman" w:hAnsi="Times New Roman" w:eastAsia="仿宋_GB2312" w:cs="Times New Roman"/>
                <w:color w:val="000000" w:themeColor="text1"/>
                <w:kern w:val="0"/>
                <w:sz w:val="24"/>
                <w:szCs w:val="24"/>
                <w14:textFill>
                  <w14:solidFill>
                    <w14:schemeClr w14:val="tx1"/>
                  </w14:solidFill>
                </w14:textFill>
              </w:rPr>
              <w:t>万元</w:t>
            </w:r>
          </w:p>
        </w:tc>
        <w:tc>
          <w:tcPr>
            <w:tcW w:w="1953" w:type="dxa"/>
            <w:gridSpan w:val="3"/>
            <w:noWrap w:val="0"/>
            <w:vAlign w:val="center"/>
          </w:tcPr>
          <w:p>
            <w:pPr>
              <w:pageBreakBefore w:val="0"/>
              <w:widowControl/>
              <w:kinsoku/>
              <w:wordWrap/>
              <w:topLinePunct w:val="0"/>
              <w:bidi w:val="0"/>
              <w:adjustRightInd w:val="0"/>
              <w:snapToGrid w:val="0"/>
              <w:jc w:val="center"/>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eastAsia" w:eastAsia="仿宋_GB2312" w:cs="Times New Roman"/>
                <w:color w:val="000000" w:themeColor="text1"/>
                <w:kern w:val="0"/>
                <w:sz w:val="24"/>
                <w:szCs w:val="24"/>
                <w:lang w:val="en-US" w:eastAsia="zh-CN"/>
                <w14:textFill>
                  <w14:solidFill>
                    <w14:schemeClr w14:val="tx1"/>
                  </w14:solidFill>
                </w14:textFill>
              </w:rPr>
              <w:t>2179.10</w:t>
            </w:r>
            <w:r>
              <w:rPr>
                <w:rFonts w:hint="default" w:ascii="Times New Roman" w:hAnsi="Times New Roman" w:eastAsia="仿宋_GB2312" w:cs="Times New Roman"/>
                <w:color w:val="000000" w:themeColor="text1"/>
                <w:kern w:val="0"/>
                <w:sz w:val="24"/>
                <w:szCs w:val="24"/>
                <w14:textFill>
                  <w14:solidFill>
                    <w14:schemeClr w14:val="tx1"/>
                  </w14:solidFill>
                </w14:textFill>
              </w:rPr>
              <w:t>元/</w:t>
            </w:r>
            <w:r>
              <w:rPr>
                <w:rFonts w:hint="eastAsia" w:ascii="Times New Roman" w:hAnsi="Times New Roman" w:eastAsia="仿宋_GB2312" w:cs="Times New Roman"/>
                <w:color w:val="000000" w:themeColor="text1"/>
                <w:kern w:val="0"/>
                <w:sz w:val="24"/>
                <w:szCs w:val="24"/>
                <w:lang w:eastAsia="zh-CN"/>
                <w14:textFill>
                  <w14:solidFill>
                    <w14:schemeClr w14:val="tx1"/>
                  </w14:solidFill>
                </w14:textFill>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工</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作</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计</w:t>
            </w:r>
          </w:p>
          <w:p>
            <w:pPr>
              <w:pageBreakBefore w:val="0"/>
              <w:kinsoku/>
              <w:wordWrap/>
              <w:topLinePunct w:val="0"/>
              <w:bidi w:val="0"/>
              <w:adjustRightInd w:val="0"/>
              <w:snapToGrid w:val="0"/>
              <w:ind w:left="105" w:leftChars="5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划</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及</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主</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要</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措</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施</w:t>
            </w:r>
          </w:p>
        </w:tc>
        <w:tc>
          <w:tcPr>
            <w:tcW w:w="8393" w:type="dxa"/>
            <w:gridSpan w:val="10"/>
            <w:noWrap w:val="0"/>
            <w:vAlign w:val="top"/>
          </w:tcPr>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1、主要复垦措施及工程量</w:t>
            </w:r>
          </w:p>
          <w:p>
            <w:pPr>
              <w:pageBreakBefore w:val="0"/>
              <w:kinsoku/>
              <w:wordWrap/>
              <w:topLinePunct w:val="0"/>
              <w:bidi w:val="0"/>
              <w:adjustRightInd w:val="0"/>
              <w:snapToGrid w:val="0"/>
              <w:ind w:firstLine="435"/>
              <w:rPr>
                <w:rFonts w:hint="eastAsia" w:eastAsia="仿宋_GB2312" w:cs="Times New Roman"/>
                <w:color w:val="000000" w:themeColor="text1"/>
                <w:lang w:val="en-US" w:eastAsia="zh-CN"/>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1）场地清理工程</w:t>
            </w:r>
          </w:p>
          <w:p>
            <w:pPr>
              <w:pageBreakBefore w:val="0"/>
              <w:kinsoku/>
              <w:wordWrap/>
              <w:topLinePunct w:val="0"/>
              <w:bidi w:val="0"/>
              <w:adjustRightInd w:val="0"/>
              <w:snapToGrid w:val="0"/>
              <w:ind w:firstLine="435"/>
              <w:rPr>
                <w:rFonts w:hint="default" w:eastAsia="仿宋_GB2312" w:cs="Times New Roman"/>
                <w:color w:val="000000" w:themeColor="text1"/>
                <w:lang w:val="en-US" w:eastAsia="zh-CN"/>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机械拆除场地樱花去及外运：拆除769立方米硬化体，外运769立方米硬化物，运距10km。</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w:t>
            </w:r>
            <w:r>
              <w:rPr>
                <w:rFonts w:hint="default" w:ascii="Times New Roman" w:hAnsi="Times New Roman" w:eastAsia="仿宋_GB2312" w:cs="Times New Roman"/>
                <w:color w:val="000000" w:themeColor="text1"/>
                <w:lang w:eastAsia="zh-CN"/>
                <w14:textFill>
                  <w14:solidFill>
                    <w14:schemeClr w14:val="tx1"/>
                  </w14:solidFill>
                </w14:textFill>
              </w:rPr>
              <w:t>土地重构</w:t>
            </w:r>
            <w:r>
              <w:rPr>
                <w:rFonts w:hint="default" w:ascii="Times New Roman" w:hAnsi="Times New Roman" w:eastAsia="仿宋_GB2312" w:cs="Times New Roman"/>
                <w:color w:val="000000" w:themeColor="text1"/>
                <w14:textFill>
                  <w14:solidFill>
                    <w14:schemeClr w14:val="tx1"/>
                  </w14:solidFill>
                </w14:textFill>
              </w:rPr>
              <w:t>工程</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1</w:t>
            </w:r>
            <w:r>
              <w:rPr>
                <w:rFonts w:hint="default" w:ascii="Times New Roman" w:hAnsi="Times New Roman" w:eastAsia="仿宋_GB2312" w:cs="Times New Roman"/>
                <w:color w:val="000000" w:themeColor="text1"/>
                <w14:textFill>
                  <w14:solidFill>
                    <w14:schemeClr w14:val="tx1"/>
                  </w14:solidFill>
                </w14:textFill>
              </w:rPr>
              <w:t>）土地平整工程：对复垦</w:t>
            </w:r>
            <w:r>
              <w:rPr>
                <w:rFonts w:hint="default" w:ascii="Times New Roman" w:hAnsi="Times New Roman" w:eastAsia="仿宋_GB2312" w:cs="Times New Roman"/>
                <w:color w:val="000000" w:themeColor="text1"/>
                <w:lang w:eastAsia="zh-CN"/>
                <w14:textFill>
                  <w14:solidFill>
                    <w14:schemeClr w14:val="tx1"/>
                  </w14:solidFill>
                </w14:textFill>
              </w:rPr>
              <w:t>的土地</w:t>
            </w:r>
            <w:r>
              <w:rPr>
                <w:rFonts w:hint="default" w:ascii="Times New Roman" w:hAnsi="Times New Roman" w:eastAsia="仿宋_GB2312" w:cs="Times New Roman"/>
                <w:color w:val="000000" w:themeColor="text1"/>
                <w14:textFill>
                  <w14:solidFill>
                    <w14:schemeClr w14:val="tx1"/>
                  </w14:solidFill>
                </w14:textFill>
              </w:rPr>
              <w:t>，应对其进行土地平整，</w:t>
            </w:r>
            <w:r>
              <w:rPr>
                <w:rFonts w:hint="default" w:ascii="Times New Roman" w:hAnsi="Times New Roman" w:eastAsia="仿宋_GB2312" w:cs="Times New Roman"/>
                <w:color w:val="000000" w:themeColor="text1"/>
                <w:lang w:val="en-US" w:eastAsia="zh-CN"/>
                <w14:textFill>
                  <w14:solidFill>
                    <w14:schemeClr w14:val="tx1"/>
                  </w14:solidFill>
                </w14:textFill>
              </w:rPr>
              <w:t>本次复垦责任范围</w:t>
            </w:r>
            <w:r>
              <w:rPr>
                <w:rFonts w:hint="eastAsia" w:eastAsia="仿宋_GB2312" w:cs="Times New Roman"/>
                <w:color w:val="000000" w:themeColor="text1"/>
                <w:lang w:val="en-US" w:eastAsia="zh-CN"/>
                <w14:textFill>
                  <w14:solidFill>
                    <w14:schemeClr w14:val="tx1"/>
                  </w14:solidFill>
                </w14:textFill>
              </w:rPr>
              <w:t>7.7368</w:t>
            </w:r>
            <w:r>
              <w:rPr>
                <w:rFonts w:hint="default" w:ascii="Times New Roman" w:hAnsi="Times New Roman" w:eastAsia="仿宋_GB2312" w:cs="Times New Roman"/>
                <w:color w:val="000000" w:themeColor="text1"/>
                <w:lang w:val="en-US" w:eastAsia="zh-CN"/>
                <w14:textFill>
                  <w14:solidFill>
                    <w14:schemeClr w14:val="tx1"/>
                  </w14:solidFill>
                </w14:textFill>
              </w:rPr>
              <w:t>hm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lang w:val="en-US" w:eastAsia="zh-CN"/>
                <w14:textFill>
                  <w14:solidFill>
                    <w14:schemeClr w14:val="tx1"/>
                  </w14:solidFill>
                </w14:textFill>
              </w:rPr>
              <w:t>，土地平整需推运土方</w:t>
            </w:r>
            <w:r>
              <w:rPr>
                <w:rFonts w:hint="eastAsia" w:eastAsia="仿宋_GB2312" w:cs="Times New Roman"/>
                <w:color w:val="000000" w:themeColor="text1"/>
                <w:lang w:val="en-US" w:eastAsia="zh-CN"/>
                <w14:textFill>
                  <w14:solidFill>
                    <w14:schemeClr w14:val="tx1"/>
                  </w14:solidFill>
                </w14:textFill>
              </w:rPr>
              <w:t>11605</w:t>
            </w:r>
            <w:r>
              <w:rPr>
                <w:rFonts w:hint="default" w:ascii="Times New Roman" w:hAnsi="Times New Roman" w:eastAsia="仿宋_GB2312" w:cs="Times New Roman"/>
                <w:color w:val="000000" w:themeColor="text1"/>
                <w:lang w:val="en-US" w:eastAsia="zh-CN"/>
                <w14:textFill>
                  <w14:solidFill>
                    <w14:schemeClr w14:val="tx1"/>
                  </w14:solidFill>
                </w14:textFill>
              </w:rPr>
              <w:t>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仿宋_GB2312" w:cs="Times New Roman"/>
                <w:color w:val="000000" w:themeColor="text1"/>
                <w14:textFill>
                  <w14:solidFill>
                    <w14:schemeClr w14:val="tx1"/>
                  </w14:solidFill>
                </w14:textFill>
              </w:rPr>
              <w:t>。</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2</w:t>
            </w:r>
            <w:r>
              <w:rPr>
                <w:rFonts w:hint="default" w:ascii="Times New Roman" w:hAnsi="Times New Roman" w:eastAsia="仿宋_GB2312" w:cs="Times New Roman"/>
                <w:color w:val="000000" w:themeColor="text1"/>
                <w14:textFill>
                  <w14:solidFill>
                    <w14:schemeClr w14:val="tx1"/>
                  </w14:solidFill>
                </w14:textFill>
              </w:rPr>
              <w:t>）覆土工程：对复垦方向为</w:t>
            </w:r>
            <w:r>
              <w:rPr>
                <w:rFonts w:hint="eastAsia" w:eastAsia="仿宋_GB2312" w:cs="Times New Roman"/>
                <w:color w:val="000000" w:themeColor="text1"/>
                <w:lang w:val="en-US" w:eastAsia="zh-CN"/>
                <w14:textFill>
                  <w14:solidFill>
                    <w14:schemeClr w14:val="tx1"/>
                  </w14:solidFill>
                </w14:textFill>
              </w:rPr>
              <w:t>耕地、种植园用地、林地</w:t>
            </w:r>
            <w:r>
              <w:rPr>
                <w:rFonts w:hint="default" w:ascii="Times New Roman" w:hAnsi="Times New Roman" w:eastAsia="仿宋_GB2312" w:cs="Times New Roman"/>
                <w:color w:val="000000" w:themeColor="text1"/>
                <w14:textFill>
                  <w14:solidFill>
                    <w14:schemeClr w14:val="tx1"/>
                  </w14:solidFill>
                </w14:textFill>
              </w:rPr>
              <w:t>的场地平整后需要进行覆土，覆土厚度为</w:t>
            </w:r>
            <w:r>
              <w:rPr>
                <w:rFonts w:hint="default" w:ascii="Times New Roman" w:hAnsi="Times New Roman" w:eastAsia="仿宋_GB2312" w:cs="Times New Roman"/>
                <w:color w:val="000000" w:themeColor="text1"/>
                <w:lang w:val="en-US" w:eastAsia="zh-CN"/>
                <w14:textFill>
                  <w14:solidFill>
                    <w14:schemeClr w14:val="tx1"/>
                  </w14:solidFill>
                </w14:textFill>
              </w:rPr>
              <w:t>0.3-0.5</w:t>
            </w:r>
            <w:r>
              <w:rPr>
                <w:rFonts w:hint="default" w:ascii="Times New Roman" w:hAnsi="Times New Roman" w:eastAsia="仿宋_GB2312" w:cs="Times New Roman"/>
                <w:color w:val="000000" w:themeColor="text1"/>
                <w:lang w:eastAsia="zh-CN"/>
                <w14:textFill>
                  <w14:solidFill>
                    <w14:schemeClr w14:val="tx1"/>
                  </w14:solidFill>
                </w14:textFill>
              </w:rPr>
              <w:t>m</w:t>
            </w:r>
            <w:r>
              <w:rPr>
                <w:rFonts w:hint="default" w:ascii="Times New Roman" w:hAnsi="Times New Roman" w:eastAsia="仿宋_GB2312" w:cs="Times New Roman"/>
                <w:color w:val="000000" w:themeColor="text1"/>
                <w14:textFill>
                  <w14:solidFill>
                    <w14:schemeClr w14:val="tx1"/>
                  </w14:solidFill>
                </w14:textFill>
              </w:rPr>
              <w:t>，土方搬</w:t>
            </w:r>
            <w:r>
              <w:rPr>
                <w:rFonts w:hint="default" w:ascii="Times New Roman" w:hAnsi="Times New Roman" w:eastAsia="仿宋_GB2312" w:cs="Times New Roman"/>
                <w:color w:val="000000" w:themeColor="text1"/>
                <w:lang w:val="en-US" w:eastAsia="zh-CN"/>
                <w14:textFill>
                  <w14:solidFill>
                    <w14:schemeClr w14:val="tx1"/>
                  </w14:solidFill>
                </w14:textFill>
              </w:rPr>
              <w:t>运</w:t>
            </w:r>
            <w:r>
              <w:rPr>
                <w:rFonts w:hint="eastAsia" w:ascii="Times New Roman" w:hAnsi="Times New Roman" w:eastAsia="仿宋_GB2312" w:cs="Times New Roman"/>
                <w:color w:val="000000" w:themeColor="text1"/>
                <w:lang w:val="en-US" w:eastAsia="zh-CN"/>
                <w14:textFill>
                  <w14:solidFill>
                    <w14:schemeClr w14:val="tx1"/>
                  </w14:solidFill>
                </w14:textFill>
              </w:rPr>
              <w:t>4582</w:t>
            </w:r>
            <w:r>
              <w:rPr>
                <w:rFonts w:hint="default" w:ascii="Times New Roman" w:hAnsi="Times New Roman" w:eastAsia="仿宋_GB2312" w:cs="Times New Roman"/>
                <w:color w:val="000000" w:themeColor="text1"/>
                <w:lang w:val="en-US" w:eastAsia="zh-CN"/>
                <w14:textFill>
                  <w14:solidFill>
                    <w14:schemeClr w14:val="tx1"/>
                  </w14:solidFill>
                </w14:textFill>
              </w:rPr>
              <w:t>m3</w:t>
            </w:r>
            <w:r>
              <w:rPr>
                <w:rFonts w:hint="default" w:ascii="Times New Roman" w:hAnsi="Times New Roman" w:eastAsia="仿宋_GB2312" w:cs="Times New Roman"/>
                <w:color w:val="000000" w:themeColor="text1"/>
                <w14:textFill>
                  <w14:solidFill>
                    <w14:schemeClr w14:val="tx1"/>
                  </w14:solidFill>
                </w14:textFill>
              </w:rPr>
              <w:t>。</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（3）土地翻耕：本次复垦责任范围</w:t>
            </w:r>
            <w:r>
              <w:rPr>
                <w:rFonts w:hint="eastAsia" w:eastAsia="仿宋_GB2312" w:cs="Times New Roman"/>
                <w:color w:val="000000" w:themeColor="text1"/>
                <w:lang w:val="en-US" w:eastAsia="zh-CN"/>
                <w14:textFill>
                  <w14:solidFill>
                    <w14:schemeClr w14:val="tx1"/>
                  </w14:solidFill>
                </w14:textFill>
              </w:rPr>
              <w:t>8.0492</w:t>
            </w:r>
            <w:r>
              <w:rPr>
                <w:rFonts w:hint="default" w:ascii="Times New Roman" w:hAnsi="Times New Roman" w:eastAsia="仿宋_GB2312" w:cs="Times New Roman"/>
                <w:color w:val="000000" w:themeColor="text1"/>
                <w:lang w:val="en-US" w:eastAsia="zh-CN"/>
                <w14:textFill>
                  <w14:solidFill>
                    <w14:schemeClr w14:val="tx1"/>
                  </w14:solidFill>
                </w14:textFill>
              </w:rPr>
              <w:t>hm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lang w:val="en-US" w:eastAsia="zh-CN"/>
                <w14:textFill>
                  <w14:solidFill>
                    <w14:schemeClr w14:val="tx1"/>
                  </w14:solidFill>
                </w14:textFill>
              </w:rPr>
              <w:t>，土地翻耕面积</w:t>
            </w:r>
            <w:r>
              <w:rPr>
                <w:rFonts w:hint="eastAsia" w:eastAsia="仿宋_GB2312" w:cs="Times New Roman"/>
                <w:color w:val="000000" w:themeColor="text1"/>
                <w:lang w:val="en-US" w:eastAsia="zh-CN"/>
                <w14:textFill>
                  <w14:solidFill>
                    <w14:schemeClr w14:val="tx1"/>
                  </w14:solidFill>
                </w14:textFill>
              </w:rPr>
              <w:t>0.9405</w:t>
            </w:r>
            <w:r>
              <w:rPr>
                <w:rFonts w:hint="default" w:ascii="Times New Roman" w:hAnsi="Times New Roman" w:eastAsia="仿宋_GB2312" w:cs="Times New Roman"/>
                <w:color w:val="000000" w:themeColor="text1"/>
                <w:lang w:val="en-US" w:eastAsia="zh-CN"/>
                <w14:textFill>
                  <w14:solidFill>
                    <w14:schemeClr w14:val="tx1"/>
                  </w14:solidFill>
                </w14:textFill>
              </w:rPr>
              <w:t>hm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lang w:val="en-US" w:eastAsia="zh-CN"/>
                <w14:textFill>
                  <w14:solidFill>
                    <w14:schemeClr w14:val="tx1"/>
                  </w14:solidFill>
                </w14:textFill>
              </w:rPr>
              <w:t>。</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（4）土壤培肥：本次复垦责任范围</w:t>
            </w:r>
            <w:r>
              <w:rPr>
                <w:rFonts w:hint="eastAsia" w:eastAsia="仿宋_GB2312" w:cs="Times New Roman"/>
                <w:color w:val="000000" w:themeColor="text1"/>
                <w:lang w:val="en-US" w:eastAsia="zh-CN"/>
                <w14:textFill>
                  <w14:solidFill>
                    <w14:schemeClr w14:val="tx1"/>
                  </w14:solidFill>
                </w14:textFill>
              </w:rPr>
              <w:t>8.0492</w:t>
            </w:r>
            <w:r>
              <w:rPr>
                <w:rFonts w:hint="default" w:ascii="Times New Roman" w:hAnsi="Times New Roman" w:eastAsia="仿宋_GB2312" w:cs="Times New Roman"/>
                <w:color w:val="000000" w:themeColor="text1"/>
                <w:lang w:val="en-US" w:eastAsia="zh-CN"/>
                <w14:textFill>
                  <w14:solidFill>
                    <w14:schemeClr w14:val="tx1"/>
                  </w14:solidFill>
                </w14:textFill>
              </w:rPr>
              <w:t>hm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lang w:val="en-US" w:eastAsia="zh-CN"/>
                <w14:textFill>
                  <w14:solidFill>
                    <w14:schemeClr w14:val="tx1"/>
                  </w14:solidFill>
                </w14:textFill>
              </w:rPr>
              <w:t>，土壤培肥面积</w:t>
            </w:r>
            <w:r>
              <w:rPr>
                <w:rFonts w:hint="eastAsia" w:eastAsia="仿宋_GB2312" w:cs="Times New Roman"/>
                <w:color w:val="000000" w:themeColor="text1"/>
                <w:lang w:val="en-US" w:eastAsia="zh-CN"/>
                <w14:textFill>
                  <w14:solidFill>
                    <w14:schemeClr w14:val="tx1"/>
                  </w14:solidFill>
                </w14:textFill>
              </w:rPr>
              <w:t>0.9405</w:t>
            </w:r>
            <w:r>
              <w:rPr>
                <w:rFonts w:hint="default" w:ascii="Times New Roman" w:hAnsi="Times New Roman" w:eastAsia="仿宋_GB2312" w:cs="Times New Roman"/>
                <w:color w:val="000000" w:themeColor="text1"/>
                <w:lang w:val="en-US" w:eastAsia="zh-CN"/>
                <w14:textFill>
                  <w14:solidFill>
                    <w14:schemeClr w14:val="tx1"/>
                  </w14:solidFill>
                </w14:textFill>
              </w:rPr>
              <w:t>hm</w:t>
            </w:r>
            <w:r>
              <w:rPr>
                <w:rFonts w:hint="default" w:ascii="Times New Roman" w:hAnsi="Times New Roman" w:eastAsia="仿宋_GB2312"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仿宋_GB2312" w:cs="Times New Roman"/>
                <w:color w:val="000000" w:themeColor="text1"/>
                <w:lang w:val="en-US" w:eastAsia="zh-CN"/>
                <w14:textFill>
                  <w14:solidFill>
                    <w14:schemeClr w14:val="tx1"/>
                  </w14:solidFill>
                </w14:textFill>
              </w:rPr>
              <w:t>。</w:t>
            </w:r>
          </w:p>
          <w:p>
            <w:pPr>
              <w:pageBreakBefore w:val="0"/>
              <w:kinsoku/>
              <w:wordWrap/>
              <w:topLinePunct w:val="0"/>
              <w:bidi w:val="0"/>
              <w:adjustRightInd w:val="0"/>
              <w:snapToGrid w:val="0"/>
              <w:ind w:firstLine="42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 xml:space="preserve">2）生物措施工程量 </w:t>
            </w:r>
          </w:p>
          <w:p>
            <w:pPr>
              <w:pageBreakBefore w:val="0"/>
              <w:kinsoku/>
              <w:wordWrap/>
              <w:topLinePunct w:val="0"/>
              <w:bidi w:val="0"/>
              <w:adjustRightInd w:val="0"/>
              <w:snapToGrid w:val="0"/>
              <w:ind w:firstLine="42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 xml:space="preserve">本方案根据临时用地工程设计部分，进行复垦区内生物措施工程量统计。 </w:t>
            </w:r>
          </w:p>
          <w:p>
            <w:pPr>
              <w:pageBreakBefore w:val="0"/>
              <w:kinsoku/>
              <w:wordWrap/>
              <w:topLinePunct w:val="0"/>
              <w:bidi w:val="0"/>
              <w:adjustRightInd w:val="0"/>
              <w:snapToGrid w:val="0"/>
              <w:ind w:firstLine="42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 xml:space="preserve">（1）植被工程 </w:t>
            </w:r>
          </w:p>
          <w:p>
            <w:pPr>
              <w:pageBreakBefore w:val="0"/>
              <w:kinsoku/>
              <w:wordWrap/>
              <w:topLinePunct w:val="0"/>
              <w:bidi w:val="0"/>
              <w:adjustRightInd w:val="0"/>
              <w:snapToGrid w:val="0"/>
              <w:ind w:firstLine="420" w:firstLineChars="200"/>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植被工程即为在平整好的林地上按照2500株/公顷栽植骆驼刺栽植面积0.</w:t>
            </w:r>
            <w:r>
              <w:rPr>
                <w:rFonts w:hint="eastAsia" w:eastAsia="仿宋_GB2312" w:cs="Times New Roman"/>
                <w:color w:val="000000" w:themeColor="text1"/>
                <w:lang w:val="en-US" w:eastAsia="zh-CN"/>
                <w14:textFill>
                  <w14:solidFill>
                    <w14:schemeClr w14:val="tx1"/>
                  </w14:solidFill>
                </w14:textFill>
              </w:rPr>
              <w:t>0601</w:t>
            </w:r>
            <w:r>
              <w:rPr>
                <w:rFonts w:hint="default" w:ascii="Times New Roman" w:hAnsi="Times New Roman" w:eastAsia="仿宋_GB2312" w:cs="Times New Roman"/>
                <w:color w:val="000000" w:themeColor="text1"/>
                <w:lang w:val="en-US" w:eastAsia="zh-CN"/>
                <w14:textFill>
                  <w14:solidFill>
                    <w14:schemeClr w14:val="tx1"/>
                  </w14:solidFill>
                </w14:textFill>
              </w:rPr>
              <w:t>公顷，栽植工程量</w:t>
            </w:r>
            <w:r>
              <w:rPr>
                <w:rFonts w:hint="eastAsia" w:eastAsia="仿宋_GB2312" w:cs="Times New Roman"/>
                <w:color w:val="000000" w:themeColor="text1"/>
                <w:lang w:val="en-US" w:eastAsia="zh-CN"/>
                <w14:textFill>
                  <w14:solidFill>
                    <w14:schemeClr w14:val="tx1"/>
                  </w14:solidFill>
                </w14:textFill>
              </w:rPr>
              <w:t>150</w:t>
            </w:r>
            <w:r>
              <w:rPr>
                <w:rFonts w:hint="default" w:ascii="Times New Roman" w:hAnsi="Times New Roman" w:eastAsia="仿宋_GB2312" w:cs="Times New Roman"/>
                <w:color w:val="000000" w:themeColor="text1"/>
                <w:lang w:val="en-US" w:eastAsia="zh-CN"/>
                <w14:textFill>
                  <w14:solidFill>
                    <w14:schemeClr w14:val="tx1"/>
                  </w14:solidFill>
                </w14:textFill>
              </w:rPr>
              <w:t>株。</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2、主要复垦工作计划</w:t>
            </w:r>
          </w:p>
          <w:p>
            <w:pPr>
              <w:pageBreakBefore w:val="0"/>
              <w:kinsoku/>
              <w:wordWrap/>
              <w:topLinePunct w:val="0"/>
              <w:bidi w:val="0"/>
              <w:adjustRightInd w:val="0"/>
              <w:snapToGrid w:val="0"/>
              <w:ind w:firstLine="42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lang w:eastAsia="zh-CN"/>
                <w14:textFill>
                  <w14:solidFill>
                    <w14:schemeClr w14:val="tx1"/>
                  </w14:solidFill>
                </w14:textFill>
              </w:rPr>
              <w:t>根据《</w:t>
            </w:r>
            <w:r>
              <w:rPr>
                <w:rFonts w:hint="eastAsia" w:eastAsia="仿宋_GB2312" w:cs="Times New Roman"/>
                <w:color w:val="000000" w:themeColor="text1"/>
                <w:lang w:eastAsia="zh-CN"/>
                <w14:textFill>
                  <w14:solidFill>
                    <w14:schemeClr w14:val="tx1"/>
                  </w14:solidFill>
                </w14:textFill>
              </w:rPr>
              <w:t>新疆克孜河大桥渠首除险加固工程</w:t>
            </w:r>
            <w:r>
              <w:rPr>
                <w:rFonts w:hint="default" w:ascii="Times New Roman" w:hAnsi="Times New Roman" w:eastAsia="仿宋_GB2312" w:cs="Times New Roman"/>
                <w:color w:val="000000" w:themeColor="text1"/>
                <w:lang w:eastAsia="zh-CN"/>
                <w14:textFill>
                  <w14:solidFill>
                    <w14:schemeClr w14:val="tx1"/>
                  </w14:solidFill>
                </w14:textFill>
              </w:rPr>
              <w:t>》该</w:t>
            </w:r>
            <w:r>
              <w:rPr>
                <w:rFonts w:hint="default" w:ascii="Times New Roman" w:hAnsi="Times New Roman" w:eastAsia="仿宋_GB2312" w:cs="Times New Roman"/>
                <w:color w:val="000000" w:themeColor="text1"/>
                <w:lang w:val="en-US" w:eastAsia="zh-CN"/>
                <w14:textFill>
                  <w14:solidFill>
                    <w14:schemeClr w14:val="tx1"/>
                  </w14:solidFill>
                </w14:textFill>
              </w:rPr>
              <w:t>土地复垦</w:t>
            </w:r>
            <w:r>
              <w:rPr>
                <w:rFonts w:hint="default" w:ascii="Times New Roman" w:hAnsi="Times New Roman" w:eastAsia="仿宋_GB2312" w:cs="Times New Roman"/>
                <w:color w:val="000000" w:themeColor="text1"/>
                <w:lang w:eastAsia="zh-CN"/>
                <w14:textFill>
                  <w14:solidFill>
                    <w14:schemeClr w14:val="tx1"/>
                  </w14:solidFill>
                </w14:textFill>
              </w:rPr>
              <w:t>项目临时用地使用期为</w:t>
            </w:r>
            <w:r>
              <w:rPr>
                <w:rFonts w:hint="eastAsia" w:eastAsia="仿宋_GB2312" w:cs="Times New Roman"/>
                <w:color w:val="000000" w:themeColor="text1"/>
                <w:lang w:val="en-US" w:eastAsia="zh-CN"/>
                <w14:textFill>
                  <w14:solidFill>
                    <w14:schemeClr w14:val="tx1"/>
                  </w14:solidFill>
                </w14:textFill>
              </w:rPr>
              <w:t>64个月</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本复垦方案服务期限</w:t>
            </w:r>
            <w:r>
              <w:rPr>
                <w:rFonts w:hint="default" w:ascii="Times New Roman" w:hAnsi="Times New Roman" w:eastAsia="仿宋_GB2312" w:cs="Times New Roman"/>
                <w:color w:val="000000" w:themeColor="text1"/>
                <w:lang w:eastAsia="zh-CN"/>
                <w14:textFill>
                  <w14:solidFill>
                    <w14:schemeClr w14:val="tx1"/>
                  </w14:solidFill>
                </w14:textFill>
              </w:rPr>
              <w:t>为</w:t>
            </w:r>
            <w:r>
              <w:rPr>
                <w:rFonts w:hint="eastAsia" w:eastAsia="仿宋_GB2312" w:cs="Times New Roman"/>
                <w:color w:val="000000" w:themeColor="text1"/>
                <w:lang w:val="en-US" w:eastAsia="zh-CN"/>
                <w14:textFill>
                  <w14:solidFill>
                    <w14:schemeClr w14:val="tx1"/>
                  </w14:solidFill>
                </w14:textFill>
              </w:rPr>
              <w:t>64个月</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eastAsia" w:eastAsia="仿宋_GB2312" w:cs="Times New Roman"/>
                <w:color w:val="000000" w:themeColor="text1"/>
                <w:lang w:eastAsia="zh-CN"/>
                <w14:textFill>
                  <w14:solidFill>
                    <w14:schemeClr w14:val="tx1"/>
                  </w14:solidFill>
                </w14:textFill>
              </w:rPr>
              <w:t>2024年4月</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eastAsia" w:eastAsia="仿宋_GB2312" w:cs="Times New Roman"/>
                <w:color w:val="000000" w:themeColor="text1"/>
                <w:lang w:eastAsia="zh-CN"/>
                <w14:textFill>
                  <w14:solidFill>
                    <w14:schemeClr w14:val="tx1"/>
                  </w14:solidFill>
                </w14:textFill>
              </w:rPr>
              <w:t>2029年7月</w:t>
            </w:r>
            <w:r>
              <w:rPr>
                <w:rFonts w:hint="default" w:ascii="Times New Roman" w:hAnsi="Times New Roman" w:eastAsia="仿宋_GB2312" w:cs="Times New Roman"/>
                <w:color w:val="000000" w:themeColor="text1"/>
                <w:lang w:eastAsia="zh-CN"/>
                <w14:textFill>
                  <w14:solidFill>
                    <w14:schemeClr w14:val="tx1"/>
                  </w14:solidFill>
                </w14:textFill>
              </w:rPr>
              <w:t>），（含增设3年管护期</w:t>
            </w:r>
            <w:r>
              <w:rPr>
                <w:rFonts w:hint="default" w:ascii="Times New Roman" w:hAnsi="Times New Roman" w:eastAsia="仿宋_GB2312" w:cs="Times New Roman"/>
                <w:color w:val="000000" w:themeColor="text1"/>
                <w14:textFill>
                  <w14:solidFill>
                    <w14:schemeClr w14:val="tx1"/>
                  </w14:solidFill>
                </w14:textFill>
              </w:rPr>
              <w:t>）。</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3、组织领导措施</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为确保土地复垦方案提出的各项土地损毁防治措施的实施和落实，地方国土行政主管部门与企业联合成立土地复垦领导小组，负责工程建设中的土地复垦工程管理和实施工作，按照土地复垦实施方案的治理措施、进度安排、技术标准等，严格要求施工单位，保质保量地完成水土保持各项措施。</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4、政策措施</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（1）做好对项目区当地群众的宣传发动工作，取得广大群众的理解和支持，充分依靠政府及上级政府的有力支持。</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（2）</w:t>
            </w:r>
            <w:r>
              <w:rPr>
                <w:rFonts w:hint="default" w:ascii="Times New Roman" w:hAnsi="Times New Roman" w:eastAsia="仿宋_GB2312" w:cs="Times New Roman"/>
                <w:color w:val="000000" w:themeColor="text1"/>
                <w:lang w:eastAsia="zh-CN"/>
                <w14:textFill>
                  <w14:solidFill>
                    <w14:schemeClr w14:val="tx1"/>
                  </w14:solidFill>
                </w14:textFill>
              </w:rPr>
              <w:t>自然资源</w:t>
            </w:r>
            <w:r>
              <w:rPr>
                <w:rFonts w:hint="default" w:ascii="Times New Roman" w:hAnsi="Times New Roman" w:eastAsia="仿宋_GB2312" w:cs="Times New Roman"/>
                <w:color w:val="000000" w:themeColor="text1"/>
                <w14:textFill>
                  <w14:solidFill>
                    <w14:schemeClr w14:val="tx1"/>
                  </w14:solidFill>
                </w14:textFill>
              </w:rPr>
              <w:t>部门制定土地复垦和植被恢复的优惠政策。</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（3）按照“谁进行损毁、谁负责复垦”的原则，进行项目区土地复垦工作。</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（4）土地复垦规划应当与土地利用总体规划相协调。</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5、管理措施</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（1）加强对复垦后土地的管理，严格执行复垦方案。</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（2）按照年度复垦方案逐地块落实，对土地开发复垦实行统一管理。</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（3）保护土地复垦单位的利益，调动土地复垦的积极性。</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（4）坚持全面规划，综合治理，要治理一片见效一片，不搞半截子工程。</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6、技术保证措施</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项目一经批准，项目实施单位必须严格按总体规划执行，并确保资金、人员、机械、技术服务到位，设立专门办公室，具体负责复垦工程的规划指导、监督、检查、组织协调和工程实施，并对其实行目标管理，确保规划设计目标的实现。</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7、资金来源和管理使用办法</w:t>
            </w:r>
          </w:p>
          <w:p>
            <w:pPr>
              <w:pageBreakBefore w:val="0"/>
              <w:kinsoku/>
              <w:wordWrap/>
              <w:topLinePunct w:val="0"/>
              <w:bidi w:val="0"/>
              <w:adjustRightInd w:val="0"/>
              <w:snapToGrid w:val="0"/>
              <w:ind w:firstLine="435"/>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工程建设中的各项土地复垦措施所需资金均来源于工程建设投资中，列入工程建设的总体安排和年度计划中，按方案有计划、有组织的实施。</w:t>
            </w:r>
          </w:p>
          <w:p>
            <w:pPr>
              <w:pStyle w:val="8"/>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restart"/>
            <w:noWrap w:val="0"/>
            <w:vAlign w:val="top"/>
          </w:tcPr>
          <w:p>
            <w:pPr>
              <w:pageBreakBefore w:val="0"/>
              <w:kinsoku/>
              <w:wordWrap/>
              <w:topLinePunct w:val="0"/>
              <w:bidi w:val="0"/>
              <w:adjustRightInd w:val="0"/>
              <w:snapToGrid w:val="0"/>
              <w:ind w:firstLine="210" w:firstLineChars="10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 xml:space="preserve">           </w:t>
            </w: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 xml:space="preserve">                 </w:t>
            </w: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预</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算</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依</w:t>
            </w: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p>
          <w:p>
            <w:pPr>
              <w:pageBreakBefore w:val="0"/>
              <w:kinsoku/>
              <w:wordWrap/>
              <w:topLinePunct w:val="0"/>
              <w:bidi w:val="0"/>
              <w:adjustRightInd w:val="0"/>
              <w:snapToGrid w:val="0"/>
              <w:jc w:val="center"/>
              <w:rPr>
                <w:rFonts w:eastAsia="仿宋_GB2312"/>
                <w:b/>
                <w:color w:val="000000" w:themeColor="text1"/>
                <w:szCs w:val="21"/>
                <w14:textFill>
                  <w14:solidFill>
                    <w14:schemeClr w14:val="tx1"/>
                  </w14:solidFill>
                </w14:textFill>
              </w:rPr>
            </w:pPr>
            <w:r>
              <w:rPr>
                <w:rFonts w:eastAsia="仿宋_GB2312"/>
                <w:b/>
                <w:color w:val="000000" w:themeColor="text1"/>
                <w:szCs w:val="21"/>
                <w14:textFill>
                  <w14:solidFill>
                    <w14:schemeClr w14:val="tx1"/>
                  </w14:solidFill>
                </w14:textFill>
              </w:rPr>
              <w:t>据</w:t>
            </w: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8393" w:type="dxa"/>
            <w:gridSpan w:val="10"/>
            <w:noWrap w:val="0"/>
            <w:vAlign w:val="top"/>
          </w:tcPr>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1、</w:t>
            </w:r>
            <w:r>
              <w:rPr>
                <w:rFonts w:eastAsia="仿宋_GB2312"/>
                <w:color w:val="000000" w:themeColor="text1"/>
                <w:szCs w:val="21"/>
                <w14:textFill>
                  <w14:solidFill>
                    <w14:schemeClr w14:val="tx1"/>
                  </w14:solidFill>
                </w14:textFill>
              </w:rPr>
              <w:t>投资估算依据：</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（1）《土地复垦方案编制规程》（TD/T1031.1-2011）；</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（2）《土地开发整理项目规划设计规范》（TD/T1012-2000）；</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（3）财政部、国土资源部《土地开发整理项目预算编制规定》（2012年2月）；</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（4）财政部、国土资源部《土地开发整理项目预算定额》（2012年2月）；</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（5）财政部、国土资源部《土地开发整理项目施工机械台班费定额》（2012年2月）；</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（6）国土资源部土地整理中心《土地复垦方案编制实务》（2011年）；</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（7）水利部《开发建设项目水土保持工程概（估）算编制规定》（2003年）；</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（8）《关于印发土地开发整理项目预算定额标准的通知》财综（2011）128号；</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（9）新疆维吾尔自治区工程建设标准造价信息网发布的</w:t>
            </w:r>
            <w:r>
              <w:rPr>
                <w:rFonts w:hint="eastAsia" w:eastAsia="仿宋_GB2312"/>
                <w:color w:val="000000" w:themeColor="text1"/>
                <w:szCs w:val="21"/>
                <w:lang w:eastAsia="zh-CN"/>
                <w14:textFill>
                  <w14:solidFill>
                    <w14:schemeClr w14:val="tx1"/>
                  </w14:solidFill>
                </w14:textFill>
              </w:rPr>
              <w:t>2024年1月份定额材料</w:t>
            </w:r>
            <w:r>
              <w:rPr>
                <w:rFonts w:eastAsia="仿宋_GB2312"/>
                <w:color w:val="000000" w:themeColor="text1"/>
                <w:szCs w:val="21"/>
                <w14:textFill>
                  <w14:solidFill>
                    <w14:schemeClr w14:val="tx1"/>
                  </w14:solidFill>
                </w14:textFill>
              </w:rPr>
              <w:t>价格以及实地调查价格；</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（10）项目所在地的当地物价部门、物资部门等有关部门对材料设备价格的规定；</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（11）项目规划工程量及相关图纸、资料。</w:t>
            </w:r>
          </w:p>
          <w:p>
            <w:pPr>
              <w:pageBreakBefore w:val="0"/>
              <w:kinsoku/>
              <w:wordWrap/>
              <w:topLinePunct w:val="0"/>
              <w:bidi w:val="0"/>
              <w:adjustRightInd w:val="0"/>
              <w:snapToGrid w:val="0"/>
              <w:ind w:left="360"/>
              <w:rPr>
                <w:rFonts w:eastAsia="仿宋_GB2312"/>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2.投资估算：</w:t>
            </w:r>
          </w:p>
          <w:p>
            <w:pPr>
              <w:pageBreakBefore w:val="0"/>
              <w:kinsoku/>
              <w:wordWrap/>
              <w:topLinePunct w:val="0"/>
              <w:bidi w:val="0"/>
              <w:adjustRightInd w:val="0"/>
              <w:snapToGrid w:val="0"/>
              <w:ind w:left="225" w:leftChars="107" w:firstLine="420" w:firstLineChars="200"/>
              <w:rPr>
                <w:rFonts w:hint="eastAsia"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土地复垦方案静态总投资为</w:t>
            </w:r>
            <w:r>
              <w:rPr>
                <w:rFonts w:hint="eastAsia" w:eastAsia="仿宋_GB2312"/>
                <w:color w:val="000000" w:themeColor="text1"/>
                <w:szCs w:val="21"/>
                <w:lang w:val="en-US" w:eastAsia="zh-CN"/>
                <w14:textFill>
                  <w14:solidFill>
                    <w14:schemeClr w14:val="tx1"/>
                  </w14:solidFill>
                </w14:textFill>
              </w:rPr>
              <w:t>26.31</w:t>
            </w:r>
            <w:r>
              <w:rPr>
                <w:rFonts w:hint="eastAsia" w:eastAsia="仿宋_GB2312"/>
                <w:color w:val="000000" w:themeColor="text1"/>
                <w:szCs w:val="21"/>
                <w14:textFill>
                  <w14:solidFill>
                    <w14:schemeClr w14:val="tx1"/>
                  </w14:solidFill>
                </w14:textFill>
              </w:rPr>
              <w:t>万</w:t>
            </w:r>
            <w:r>
              <w:rPr>
                <w:rFonts w:eastAsia="仿宋_GB2312"/>
                <w:color w:val="000000" w:themeColor="text1"/>
                <w:szCs w:val="21"/>
                <w14:textFill>
                  <w14:solidFill>
                    <w14:schemeClr w14:val="tx1"/>
                  </w14:solidFill>
                </w14:textFill>
              </w:rPr>
              <w:t>元</w:t>
            </w:r>
          </w:p>
          <w:p>
            <w:pPr>
              <w:pageBreakBefore w:val="0"/>
              <w:kinsoku/>
              <w:wordWrap/>
              <w:topLinePunct w:val="0"/>
              <w:bidi w:val="0"/>
              <w:adjustRightInd w:val="0"/>
              <w:snapToGrid w:val="0"/>
              <w:ind w:left="225" w:leftChars="107" w:firstLine="420" w:firstLineChars="200"/>
              <w:rPr>
                <w:rFonts w:eastAsia="仿宋_GB2312"/>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序号</w:t>
            </w:r>
          </w:p>
        </w:tc>
        <w:tc>
          <w:tcPr>
            <w:tcW w:w="4500" w:type="dxa"/>
            <w:gridSpan w:val="5"/>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工程费用名称</w:t>
            </w:r>
          </w:p>
        </w:tc>
        <w:tc>
          <w:tcPr>
            <w:tcW w:w="2957" w:type="dxa"/>
            <w:gridSpan w:val="3"/>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费用（万元）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一</w:t>
            </w:r>
          </w:p>
        </w:tc>
        <w:tc>
          <w:tcPr>
            <w:tcW w:w="4500" w:type="dxa"/>
            <w:gridSpan w:val="5"/>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工程施工费</w:t>
            </w:r>
          </w:p>
        </w:tc>
        <w:tc>
          <w:tcPr>
            <w:tcW w:w="2957" w:type="dxa"/>
            <w:gridSpan w:val="3"/>
            <w:noWrap w:val="0"/>
            <w:vAlign w:val="center"/>
          </w:tcPr>
          <w:p>
            <w:pPr>
              <w:pageBreakBefore w:val="0"/>
              <w:kinsoku/>
              <w:wordWrap/>
              <w:topLinePunct w:val="0"/>
              <w:bidi w:val="0"/>
              <w:adjustRightInd w:val="0"/>
              <w:snapToGrid w:val="0"/>
              <w:spacing w:line="0" w:lineRule="atLeast"/>
              <w:jc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19.14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二</w:t>
            </w:r>
          </w:p>
        </w:tc>
        <w:tc>
          <w:tcPr>
            <w:tcW w:w="4500" w:type="dxa"/>
            <w:gridSpan w:val="5"/>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设备费</w:t>
            </w:r>
          </w:p>
        </w:tc>
        <w:tc>
          <w:tcPr>
            <w:tcW w:w="2957" w:type="dxa"/>
            <w:gridSpan w:val="3"/>
            <w:noWrap w:val="0"/>
            <w:vAlign w:val="center"/>
          </w:tcPr>
          <w:p>
            <w:pPr>
              <w:pageBreakBefore w:val="0"/>
              <w:kinsoku/>
              <w:wordWrap/>
              <w:topLinePunct w:val="0"/>
              <w:bidi w:val="0"/>
              <w:adjustRightInd w:val="0"/>
              <w:snapToGrid w:val="0"/>
              <w:spacing w:line="0" w:lineRule="atLeast"/>
              <w:jc w:val="center"/>
              <w:rPr>
                <w:rFonts w:hint="eastAsia" w:eastAsia="仿宋_GB2312"/>
                <w:color w:val="000000" w:themeColor="text1"/>
                <w:szCs w:val="21"/>
                <w:lang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三</w:t>
            </w:r>
          </w:p>
        </w:tc>
        <w:tc>
          <w:tcPr>
            <w:tcW w:w="4500" w:type="dxa"/>
            <w:gridSpan w:val="5"/>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其他费用</w:t>
            </w:r>
          </w:p>
        </w:tc>
        <w:tc>
          <w:tcPr>
            <w:tcW w:w="2957" w:type="dxa"/>
            <w:gridSpan w:val="3"/>
            <w:noWrap w:val="0"/>
            <w:vAlign w:val="center"/>
          </w:tcPr>
          <w:p>
            <w:pPr>
              <w:keepNext w:val="0"/>
              <w:keepLines w:val="0"/>
              <w:widowControl/>
              <w:suppressLineNumbers w:val="0"/>
              <w:jc w:val="center"/>
              <w:textAlignment w:val="center"/>
              <w:rPr>
                <w:rFonts w:hint="eastAsia" w:eastAsia="仿宋_GB2312"/>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w:t>
            </w:r>
            <w:r>
              <w:rPr>
                <w:rFonts w:hint="eastAsia" w:cs="Times New Roman"/>
                <w:i w:val="0"/>
                <w:iCs w:val="0"/>
                <w:color w:val="000000" w:themeColor="text1"/>
                <w:kern w:val="0"/>
                <w:sz w:val="22"/>
                <w:szCs w:val="22"/>
                <w:u w:val="none"/>
                <w:lang w:val="en-US" w:eastAsia="zh-CN" w:bidi="ar"/>
                <w14:textFill>
                  <w14:solidFill>
                    <w14:schemeClr w14:val="tx1"/>
                  </w14:solidFill>
                </w14:textFill>
              </w:rPr>
              <w:t>59</w:t>
            </w: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ind w:firstLine="210" w:firstLineChars="10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四</w:t>
            </w:r>
          </w:p>
        </w:tc>
        <w:tc>
          <w:tcPr>
            <w:tcW w:w="4500" w:type="dxa"/>
            <w:gridSpan w:val="5"/>
            <w:noWrap w:val="0"/>
            <w:vAlign w:val="top"/>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预备费</w:t>
            </w:r>
          </w:p>
        </w:tc>
        <w:tc>
          <w:tcPr>
            <w:tcW w:w="2957" w:type="dxa"/>
            <w:gridSpan w:val="3"/>
            <w:noWrap w:val="0"/>
            <w:vAlign w:val="center"/>
          </w:tcPr>
          <w:p>
            <w:pPr>
              <w:keepNext w:val="0"/>
              <w:keepLines w:val="0"/>
              <w:widowControl/>
              <w:suppressLineNumbers w:val="0"/>
              <w:jc w:val="center"/>
              <w:textAlignment w:val="center"/>
              <w:rPr>
                <w:rFonts w:hint="eastAsia" w:eastAsia="仿宋_GB2312"/>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0.6</w:t>
            </w:r>
            <w:r>
              <w:rPr>
                <w:rFonts w:hint="eastAsia" w:cs="Times New Roman"/>
                <w:i w:val="0"/>
                <w:iCs w:val="0"/>
                <w:color w:val="000000" w:themeColor="text1"/>
                <w:kern w:val="0"/>
                <w:sz w:val="22"/>
                <w:szCs w:val="22"/>
                <w:u w:val="none"/>
                <w:lang w:val="en-US" w:eastAsia="zh-CN" w:bidi="ar"/>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五</w:t>
            </w:r>
          </w:p>
        </w:tc>
        <w:tc>
          <w:tcPr>
            <w:tcW w:w="4500" w:type="dxa"/>
            <w:gridSpan w:val="5"/>
            <w:noWrap w:val="0"/>
            <w:vAlign w:val="top"/>
          </w:tcPr>
          <w:p>
            <w:pPr>
              <w:pageBreakBefore w:val="0"/>
              <w:widowControl/>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复垦</w:t>
            </w:r>
            <w:r>
              <w:rPr>
                <w:rFonts w:hint="eastAsia" w:eastAsia="仿宋_GB2312"/>
                <w:color w:val="000000" w:themeColor="text1"/>
                <w:szCs w:val="21"/>
                <w:lang w:eastAsia="zh-CN"/>
                <w14:textFill>
                  <w14:solidFill>
                    <w14:schemeClr w14:val="tx1"/>
                  </w14:solidFill>
                </w14:textFill>
              </w:rPr>
              <w:t>监测管护</w:t>
            </w:r>
            <w:r>
              <w:rPr>
                <w:rFonts w:eastAsia="仿宋_GB2312"/>
                <w:color w:val="000000" w:themeColor="text1"/>
                <w:szCs w:val="21"/>
                <w14:textFill>
                  <w14:solidFill>
                    <w14:schemeClr w14:val="tx1"/>
                  </w14:solidFill>
                </w14:textFill>
              </w:rPr>
              <w:t>费</w:t>
            </w:r>
          </w:p>
        </w:tc>
        <w:tc>
          <w:tcPr>
            <w:tcW w:w="2957" w:type="dxa"/>
            <w:gridSpan w:val="3"/>
            <w:noWrap w:val="0"/>
            <w:vAlign w:val="center"/>
          </w:tcPr>
          <w:p>
            <w:pPr>
              <w:keepNext w:val="0"/>
              <w:keepLines w:val="0"/>
              <w:widowControl/>
              <w:suppressLineNumbers w:val="0"/>
              <w:jc w:val="center"/>
              <w:textAlignment w:val="center"/>
              <w:rPr>
                <w:rFonts w:hint="default" w:eastAsia="仿宋_GB2312"/>
                <w:color w:val="000000" w:themeColor="text1"/>
                <w:szCs w:val="21"/>
                <w:lang w:val="en-US" w:eastAsia="zh-CN"/>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2.90</w:t>
            </w: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45" w:type="dxa"/>
          <w:cantSplit/>
          <w:trHeight w:val="283" w:hRule="atLeast"/>
          <w:jc w:val="center"/>
        </w:trPr>
        <w:tc>
          <w:tcPr>
            <w:tcW w:w="713" w:type="dxa"/>
            <w:vMerge w:val="continue"/>
            <w:noWrap w:val="0"/>
            <w:vAlign w:val="top"/>
          </w:tcPr>
          <w:p>
            <w:pPr>
              <w:pageBreakBefore w:val="0"/>
              <w:kinsoku/>
              <w:wordWrap/>
              <w:topLinePunct w:val="0"/>
              <w:bidi w:val="0"/>
              <w:adjustRightInd w:val="0"/>
              <w:snapToGrid w:val="0"/>
              <w:ind w:left="105" w:leftChars="50"/>
              <w:jc w:val="center"/>
              <w:rPr>
                <w:rFonts w:eastAsia="仿宋_GB2312"/>
                <w:color w:val="000000" w:themeColor="text1"/>
                <w:szCs w:val="21"/>
                <w14:textFill>
                  <w14:solidFill>
                    <w14:schemeClr w14:val="tx1"/>
                  </w14:solidFill>
                </w14:textFill>
              </w:rPr>
            </w:pPr>
          </w:p>
        </w:tc>
        <w:tc>
          <w:tcPr>
            <w:tcW w:w="936" w:type="dxa"/>
            <w:gridSpan w:val="2"/>
            <w:noWrap w:val="0"/>
            <w:vAlign w:val="center"/>
          </w:tcPr>
          <w:p>
            <w:pPr>
              <w:pageBreakBefore w:val="0"/>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六</w:t>
            </w:r>
          </w:p>
        </w:tc>
        <w:tc>
          <w:tcPr>
            <w:tcW w:w="4500" w:type="dxa"/>
            <w:gridSpan w:val="5"/>
            <w:noWrap w:val="0"/>
            <w:vAlign w:val="top"/>
          </w:tcPr>
          <w:p>
            <w:pPr>
              <w:pageBreakBefore w:val="0"/>
              <w:widowControl/>
              <w:kinsoku/>
              <w:wordWrap/>
              <w:topLinePunct w:val="0"/>
              <w:bidi w:val="0"/>
              <w:adjustRightInd w:val="0"/>
              <w:snapToGrid w:val="0"/>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静态总投资</w:t>
            </w:r>
          </w:p>
        </w:tc>
        <w:tc>
          <w:tcPr>
            <w:tcW w:w="2957" w:type="dxa"/>
            <w:gridSpan w:val="3"/>
            <w:noWrap w:val="0"/>
            <w:vAlign w:val="center"/>
          </w:tcPr>
          <w:p>
            <w:pPr>
              <w:pageBreakBefore w:val="0"/>
              <w:kinsoku/>
              <w:wordWrap/>
              <w:topLinePunct w:val="0"/>
              <w:bidi w:val="0"/>
              <w:adjustRightInd w:val="0"/>
              <w:snapToGrid w:val="0"/>
              <w:spacing w:line="0" w:lineRule="atLeast"/>
              <w:jc w:val="center"/>
              <w:rPr>
                <w:rFonts w:hint="default" w:eastAsia="仿宋_GB2312"/>
                <w:color w:val="000000" w:themeColor="text1"/>
                <w:szCs w:val="21"/>
                <w:lang w:val="en-US" w:eastAsia="zh-CN"/>
                <w14:textFill>
                  <w14:solidFill>
                    <w14:schemeClr w14:val="tx1"/>
                  </w14:solidFill>
                </w14:textFill>
              </w:rPr>
            </w:pPr>
            <w:r>
              <w:rPr>
                <w:rFonts w:hint="eastAsia" w:eastAsia="仿宋_GB2312"/>
                <w:color w:val="000000" w:themeColor="text1"/>
                <w:szCs w:val="21"/>
                <w:lang w:val="en-US" w:eastAsia="zh-CN"/>
                <w14:textFill>
                  <w14:solidFill>
                    <w14:schemeClr w14:val="tx1"/>
                  </w14:solidFill>
                </w14:textFill>
              </w:rPr>
              <w:t>26.31</w:t>
            </w:r>
          </w:p>
        </w:tc>
      </w:tr>
    </w:tbl>
    <w:p>
      <w:pPr>
        <w:pageBreakBefore w:val="0"/>
        <w:kinsoku/>
        <w:wordWrap/>
        <w:topLinePunct w:val="0"/>
        <w:bidi w:val="0"/>
        <w:adjustRightInd w:val="0"/>
        <w:snapToGrid w:val="0"/>
        <w:ind w:firstLine="360" w:firstLineChars="150"/>
        <w:rPr>
          <w:rFonts w:hint="eastAsia" w:eastAsia="仿宋_GB2312"/>
          <w:color w:val="000000" w:themeColor="text1"/>
          <w:sz w:val="24"/>
          <w:lang w:eastAsia="zh-CN"/>
          <w14:textFill>
            <w14:solidFill>
              <w14:schemeClr w14:val="tx1"/>
            </w14:solidFill>
          </w14:textFill>
        </w:rPr>
      </w:pPr>
      <w:r>
        <w:rPr>
          <w:rFonts w:eastAsia="仿宋_GB2312"/>
          <w:color w:val="000000" w:themeColor="text1"/>
          <w:sz w:val="24"/>
          <w14:textFill>
            <w14:solidFill>
              <w14:schemeClr w14:val="tx1"/>
            </w14:solidFill>
          </w14:textFill>
        </w:rPr>
        <w:t>填表人：</w:t>
      </w:r>
      <w:r>
        <w:rPr>
          <w:rFonts w:hint="eastAsia" w:eastAsia="仿宋_GB2312"/>
          <w:color w:val="000000" w:themeColor="text1"/>
          <w:sz w:val="24"/>
          <w:lang w:eastAsia="zh-CN"/>
          <w14:textFill>
            <w14:solidFill>
              <w14:schemeClr w14:val="tx1"/>
            </w14:solidFill>
          </w14:textFill>
        </w:rPr>
        <w:t>余龙</w:t>
      </w:r>
      <w:r>
        <w:rPr>
          <w:rFonts w:hint="eastAsia" w:eastAsia="仿宋_GB2312"/>
          <w:color w:val="000000" w:themeColor="text1"/>
          <w:sz w:val="24"/>
          <w14:textFill>
            <w14:solidFill>
              <w14:schemeClr w14:val="tx1"/>
            </w14:solidFill>
          </w14:textFill>
        </w:rPr>
        <w:t xml:space="preserve"> </w:t>
      </w:r>
      <w:r>
        <w:rPr>
          <w:rFonts w:eastAsia="仿宋_GB2312"/>
          <w:color w:val="000000" w:themeColor="text1"/>
          <w:sz w:val="24"/>
          <w14:textFill>
            <w14:solidFill>
              <w14:schemeClr w14:val="tx1"/>
            </w14:solidFill>
          </w14:textFill>
        </w:rPr>
        <w:t xml:space="preserve">                             </w:t>
      </w:r>
      <w:r>
        <w:rPr>
          <w:rFonts w:hint="eastAsia" w:eastAsia="仿宋_GB2312"/>
          <w:color w:val="000000" w:themeColor="text1"/>
          <w:sz w:val="24"/>
          <w14:textFill>
            <w14:solidFill>
              <w14:schemeClr w14:val="tx1"/>
            </w14:solidFill>
          </w14:textFill>
        </w:rPr>
        <w:t xml:space="preserve">  </w:t>
      </w:r>
      <w:r>
        <w:rPr>
          <w:rFonts w:eastAsia="仿宋_GB2312"/>
          <w:color w:val="000000" w:themeColor="text1"/>
          <w:sz w:val="24"/>
          <w14:textFill>
            <w14:solidFill>
              <w14:schemeClr w14:val="tx1"/>
            </w14:solidFill>
          </w14:textFill>
        </w:rPr>
        <w:t>填表日期：</w:t>
      </w:r>
      <w:r>
        <w:rPr>
          <w:rFonts w:hint="eastAsia" w:eastAsia="仿宋_GB2312"/>
          <w:color w:val="000000" w:themeColor="text1"/>
          <w:sz w:val="24"/>
          <w:lang w:eastAsia="zh-CN"/>
          <w14:textFill>
            <w14:solidFill>
              <w14:schemeClr w14:val="tx1"/>
            </w14:solidFill>
          </w14:textFill>
        </w:rPr>
        <w:t>2024年</w:t>
      </w:r>
      <w:r>
        <w:rPr>
          <w:rFonts w:hint="eastAsia" w:eastAsia="仿宋_GB2312"/>
          <w:color w:val="000000" w:themeColor="text1"/>
          <w:sz w:val="24"/>
          <w:lang w:val="en-US" w:eastAsia="zh-CN"/>
          <w14:textFill>
            <w14:solidFill>
              <w14:schemeClr w14:val="tx1"/>
            </w14:solidFill>
          </w14:textFill>
        </w:rPr>
        <w:t>2</w:t>
      </w:r>
      <w:r>
        <w:rPr>
          <w:rFonts w:hint="eastAsia" w:eastAsia="仿宋_GB2312"/>
          <w:color w:val="000000" w:themeColor="text1"/>
          <w:sz w:val="24"/>
          <w:lang w:eastAsia="zh-CN"/>
          <w14:textFill>
            <w14:solidFill>
              <w14:schemeClr w14:val="tx1"/>
            </w14:solidFill>
          </w14:textFill>
        </w:rPr>
        <w:t>月</w:t>
      </w:r>
    </w:p>
    <w:p>
      <w:pPr>
        <w:pageBreakBefore w:val="0"/>
        <w:kinsoku/>
        <w:wordWrap/>
        <w:topLinePunct w:val="0"/>
        <w:bidi w:val="0"/>
        <w:adjustRightInd w:val="0"/>
        <w:snapToGrid w:val="0"/>
        <w:ind w:firstLine="3720" w:firstLineChars="155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填 表 说 明</w:t>
      </w:r>
    </w:p>
    <w:p>
      <w:pPr>
        <w:pageBreakBefore w:val="0"/>
        <w:kinsoku/>
        <w:wordWrap/>
        <w:topLinePunct w:val="0"/>
        <w:bidi w:val="0"/>
        <w:adjustRightInd w:val="0"/>
        <w:snapToGrid w:val="0"/>
        <w:spacing w:line="360" w:lineRule="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1、有关指标解释：</w:t>
      </w:r>
    </w:p>
    <w:p>
      <w:pPr>
        <w:pageBreakBefore w:val="0"/>
        <w:kinsoku/>
        <w:wordWrap/>
        <w:topLinePunct w:val="0"/>
        <w:bidi w:val="0"/>
        <w:adjustRightInd w:val="0"/>
        <w:snapToGrid w:val="0"/>
        <w:spacing w:line="360" w:lineRule="auto"/>
        <w:rPr>
          <w:rFonts w:eastAsia="仿宋_GB2312"/>
          <w:color w:val="000000" w:themeColor="text1"/>
          <w:sz w:val="24"/>
          <w14:textFill>
            <w14:solidFill>
              <w14:schemeClr w14:val="tx1"/>
            </w14:solidFill>
          </w14:textFill>
        </w:rPr>
      </w:pPr>
      <w:r>
        <w:rPr>
          <w:color w:val="000000" w:themeColor="text1"/>
          <w:sz w:val="24"/>
          <w14:textFill>
            <w14:solidFill>
              <w14:schemeClr w14:val="tx1"/>
            </w14:solidFill>
          </w14:textFill>
        </w:rPr>
        <w:t>⑴</w:t>
      </w:r>
      <w:r>
        <w:rPr>
          <w:rFonts w:eastAsia="仿宋_GB2312"/>
          <w:color w:val="000000" w:themeColor="text1"/>
          <w:sz w:val="24"/>
          <w14:textFill>
            <w14:solidFill>
              <w14:schemeClr w14:val="tx1"/>
            </w14:solidFill>
          </w14:textFill>
        </w:rPr>
        <w:t>其他农用地三级地类：畜禽饲养地、设施农业用地、农村道路、坑塘水面、农田水利用地、田坎、晒谷等用地。</w:t>
      </w:r>
    </w:p>
    <w:p>
      <w:pPr>
        <w:pageBreakBefore w:val="0"/>
        <w:kinsoku/>
        <w:wordWrap/>
        <w:topLinePunct w:val="0"/>
        <w:bidi w:val="0"/>
        <w:adjustRightInd w:val="0"/>
        <w:snapToGrid w:val="0"/>
        <w:spacing w:line="360" w:lineRule="auto"/>
        <w:rPr>
          <w:rFonts w:eastAsia="仿宋_GB2312"/>
          <w:color w:val="000000" w:themeColor="text1"/>
          <w:sz w:val="24"/>
          <w14:textFill>
            <w14:solidFill>
              <w14:schemeClr w14:val="tx1"/>
            </w14:solidFill>
          </w14:textFill>
        </w:rPr>
      </w:pPr>
      <w:r>
        <w:rPr>
          <w:color w:val="000000" w:themeColor="text1"/>
          <w:sz w:val="24"/>
          <w14:textFill>
            <w14:solidFill>
              <w14:schemeClr w14:val="tx1"/>
            </w14:solidFill>
          </w14:textFill>
        </w:rPr>
        <w:t>⑵</w:t>
      </w:r>
      <w:r>
        <w:rPr>
          <w:rFonts w:eastAsia="仿宋_GB2312"/>
          <w:color w:val="000000" w:themeColor="text1"/>
          <w:sz w:val="24"/>
          <w14:textFill>
            <w14:solidFill>
              <w14:schemeClr w14:val="tx1"/>
            </w14:solidFill>
          </w14:textFill>
        </w:rPr>
        <w:t>建设用地三级地类：居民点及独立工矿用地、交通运输用地、水利设施用地。</w:t>
      </w:r>
    </w:p>
    <w:p>
      <w:pPr>
        <w:pageBreakBefore w:val="0"/>
        <w:kinsoku/>
        <w:wordWrap/>
        <w:topLinePunct w:val="0"/>
        <w:bidi w:val="0"/>
        <w:adjustRightInd w:val="0"/>
        <w:snapToGrid w:val="0"/>
        <w:spacing w:line="360" w:lineRule="auto"/>
        <w:rPr>
          <w:rFonts w:eastAsia="仿宋_GB2312"/>
          <w:color w:val="000000" w:themeColor="text1"/>
          <w:sz w:val="24"/>
          <w14:textFill>
            <w14:solidFill>
              <w14:schemeClr w14:val="tx1"/>
            </w14:solidFill>
          </w14:textFill>
        </w:rPr>
      </w:pPr>
      <w:r>
        <w:rPr>
          <w:color w:val="000000" w:themeColor="text1"/>
          <w:sz w:val="24"/>
          <w14:textFill>
            <w14:solidFill>
              <w14:schemeClr w14:val="tx1"/>
            </w14:solidFill>
          </w14:textFill>
        </w:rPr>
        <w:t>⑶</w:t>
      </w:r>
      <w:r>
        <w:rPr>
          <w:rFonts w:eastAsia="仿宋_GB2312"/>
          <w:color w:val="000000" w:themeColor="text1"/>
          <w:sz w:val="24"/>
          <w14:textFill>
            <w14:solidFill>
              <w14:schemeClr w14:val="tx1"/>
            </w14:solidFill>
          </w14:textFill>
        </w:rPr>
        <w:t>未利用地三级分类：未利用土地、其他土地。</w:t>
      </w:r>
    </w:p>
    <w:p>
      <w:pPr>
        <w:pageBreakBefore w:val="0"/>
        <w:kinsoku/>
        <w:wordWrap/>
        <w:topLinePunct w:val="0"/>
        <w:bidi w:val="0"/>
        <w:adjustRightInd w:val="0"/>
        <w:snapToGrid w:val="0"/>
        <w:spacing w:line="360" w:lineRule="auto"/>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2、表内关系：</w:t>
      </w:r>
    </w:p>
    <w:p>
      <w:pPr>
        <w:pageBreakBefore w:val="0"/>
        <w:kinsoku/>
        <w:wordWrap/>
        <w:topLinePunct w:val="0"/>
        <w:bidi w:val="0"/>
        <w:adjustRightInd w:val="0"/>
        <w:snapToGrid w:val="0"/>
        <w:spacing w:line="360" w:lineRule="auto"/>
        <w:ind w:left="225"/>
        <w:rPr>
          <w:rFonts w:eastAsia="仿宋_GB2312"/>
          <w:color w:val="000000" w:themeColor="text1"/>
          <w:sz w:val="24"/>
          <w14:textFill>
            <w14:solidFill>
              <w14:schemeClr w14:val="tx1"/>
            </w14:solidFill>
          </w14:textFill>
        </w:rPr>
      </w:pPr>
      <w:r>
        <w:rPr>
          <w:color w:val="000000" w:themeColor="text1"/>
          <w:sz w:val="24"/>
          <w14:textFill>
            <w14:solidFill>
              <w14:schemeClr w14:val="tx1"/>
            </w14:solidFill>
          </w14:textFill>
        </w:rPr>
        <w:t>⑴</w:t>
      </w:r>
      <w:r>
        <w:rPr>
          <w:rFonts w:eastAsia="仿宋_GB2312"/>
          <w:color w:val="000000" w:themeColor="text1"/>
          <w:sz w:val="24"/>
          <w14:textFill>
            <w14:solidFill>
              <w14:schemeClr w14:val="tx1"/>
            </w14:solidFill>
          </w14:textFill>
        </w:rPr>
        <w:t>用地面积=永久性用地面积+临时损毁土地面积=项目区内土地利用现状合计。</w:t>
      </w:r>
    </w:p>
    <w:p>
      <w:pPr>
        <w:pageBreakBefore w:val="0"/>
        <w:kinsoku/>
        <w:wordWrap/>
        <w:topLinePunct w:val="0"/>
        <w:bidi w:val="0"/>
        <w:adjustRightInd w:val="0"/>
        <w:snapToGrid w:val="0"/>
        <w:spacing w:line="360" w:lineRule="auto"/>
        <w:ind w:left="225"/>
        <w:rPr>
          <w:rFonts w:hint="eastAsia" w:eastAsia="仿宋_GB2312"/>
          <w:color w:val="000000" w:themeColor="text1"/>
          <w:sz w:val="24"/>
          <w14:textFill>
            <w14:solidFill>
              <w14:schemeClr w14:val="tx1"/>
            </w14:solidFill>
          </w14:textFill>
        </w:rPr>
      </w:pPr>
      <w:r>
        <w:rPr>
          <w:color w:val="000000" w:themeColor="text1"/>
          <w:sz w:val="24"/>
          <w14:textFill>
            <w14:solidFill>
              <w14:schemeClr w14:val="tx1"/>
            </w14:solidFill>
          </w14:textFill>
        </w:rPr>
        <w:t>⑵</w:t>
      </w:r>
      <w:r>
        <w:rPr>
          <w:rFonts w:eastAsia="仿宋_GB2312"/>
          <w:color w:val="000000" w:themeColor="text1"/>
          <w:sz w:val="24"/>
          <w14:textFill>
            <w14:solidFill>
              <w14:schemeClr w14:val="tx1"/>
            </w14:solidFill>
          </w14:textFill>
        </w:rPr>
        <w:t>临时损毁土地面积=项目区内土地损毁类型合计≥预期复垦面积合计。</w:t>
      </w:r>
    </w:p>
    <w:p>
      <w:pPr>
        <w:pageBreakBefore w:val="0"/>
        <w:kinsoku/>
        <w:wordWrap/>
        <w:topLinePunct w:val="0"/>
        <w:bidi w:val="0"/>
        <w:adjustRightInd w:val="0"/>
        <w:snapToGrid w:val="0"/>
        <w:spacing w:line="360" w:lineRule="auto"/>
        <w:ind w:left="225"/>
        <w:rPr>
          <w:rFonts w:hint="eastAsia" w:eastAsia="仿宋_GB2312"/>
          <w:color w:val="000000" w:themeColor="text1"/>
          <w:sz w:val="24"/>
          <w14:textFill>
            <w14:solidFill>
              <w14:schemeClr w14:val="tx1"/>
            </w14:solidFill>
          </w14:textFill>
        </w:rPr>
      </w:pPr>
    </w:p>
    <w:p>
      <w:pPr>
        <w:pageBreakBefore w:val="0"/>
        <w:kinsoku/>
        <w:wordWrap/>
        <w:topLinePunct w:val="0"/>
        <w:bidi w:val="0"/>
        <w:adjustRightInd w:val="0"/>
        <w:snapToGrid w:val="0"/>
        <w:spacing w:line="360" w:lineRule="auto"/>
        <w:ind w:left="225"/>
        <w:rPr>
          <w:rFonts w:hint="eastAsia" w:eastAsia="仿宋_GB2312"/>
          <w:color w:val="000000" w:themeColor="text1"/>
          <w:sz w:val="24"/>
          <w14:textFill>
            <w14:solidFill>
              <w14:schemeClr w14:val="tx1"/>
            </w14:solidFill>
          </w14:textFill>
        </w:rPr>
      </w:pPr>
    </w:p>
    <w:p>
      <w:pPr>
        <w:pageBreakBefore w:val="0"/>
        <w:kinsoku/>
        <w:wordWrap/>
        <w:topLinePunct w:val="0"/>
        <w:bidi w:val="0"/>
        <w:adjustRightInd w:val="0"/>
        <w:snapToGrid w:val="0"/>
        <w:spacing w:line="360" w:lineRule="auto"/>
        <w:ind w:left="225"/>
        <w:rPr>
          <w:rFonts w:hint="eastAsia" w:eastAsia="仿宋_GB2312"/>
          <w:color w:val="000000" w:themeColor="text1"/>
          <w:sz w:val="24"/>
          <w14:textFill>
            <w14:solidFill>
              <w14:schemeClr w14:val="tx1"/>
            </w14:solidFill>
          </w14:textFill>
        </w:rPr>
      </w:pPr>
    </w:p>
    <w:p>
      <w:pPr>
        <w:pStyle w:val="4"/>
        <w:pageBreakBefore w:val="0"/>
        <w:kinsoku/>
        <w:wordWrap/>
        <w:topLinePunct w:val="0"/>
        <w:bidi w:val="0"/>
        <w:adjustRightInd w:val="0"/>
        <w:snapToGrid w:val="0"/>
        <w:rPr>
          <w:rFonts w:hint="eastAsia"/>
          <w:color w:val="000000" w:themeColor="text1"/>
          <w14:textFill>
            <w14:solidFill>
              <w14:schemeClr w14:val="tx1"/>
            </w14:solidFill>
          </w14:textFill>
        </w:rPr>
      </w:pPr>
      <w:bookmarkStart w:id="259" w:name="_Toc14311"/>
      <w:bookmarkStart w:id="260" w:name="_Toc20609"/>
      <w:r>
        <w:rPr>
          <w:rFonts w:hint="eastAsia"/>
          <w:color w:val="000000" w:themeColor="text1"/>
          <w14:textFill>
            <w14:solidFill>
              <w14:schemeClr w14:val="tx1"/>
            </w14:solidFill>
          </w14:textFill>
        </w:rPr>
        <w:t>附件</w:t>
      </w:r>
      <w:bookmarkEnd w:id="259"/>
      <w:bookmarkEnd w:id="260"/>
    </w:p>
    <w:p>
      <w:pPr>
        <w:pageBreakBefore w:val="0"/>
        <w:kinsoku/>
        <w:wordWrap/>
        <w:topLinePunct w:val="0"/>
        <w:bidi w:val="0"/>
        <w:adjustRightInd w:val="0"/>
        <w:snapToGrid w:val="0"/>
        <w:spacing w:line="360" w:lineRule="auto"/>
        <w:ind w:firstLine="480" w:firstLineChars="200"/>
        <w:jc w:val="left"/>
        <w:rPr>
          <w:rFonts w:hint="eastAsia"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附件1、土地复垦方案编制单位资质证书</w:t>
      </w:r>
    </w:p>
    <w:p>
      <w:pPr>
        <w:pageBreakBefore w:val="0"/>
        <w:kinsoku/>
        <w:wordWrap/>
        <w:topLinePunct w:val="0"/>
        <w:bidi w:val="0"/>
        <w:adjustRightInd w:val="0"/>
        <w:snapToGrid w:val="0"/>
        <w:spacing w:line="360" w:lineRule="auto"/>
        <w:ind w:firstLine="480" w:firstLineChars="200"/>
        <w:jc w:val="left"/>
        <w:rPr>
          <w:rFonts w:hint="eastAsia" w:eastAsia="仿宋_GB2312"/>
          <w:color w:val="000000" w:themeColor="text1"/>
          <w:sz w:val="24"/>
          <w:lang w:val="en-US" w:eastAsia="zh-CN"/>
          <w14:textFill>
            <w14:solidFill>
              <w14:schemeClr w14:val="tx1"/>
            </w14:solidFill>
          </w14:textFill>
        </w:rPr>
      </w:pP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2</w:t>
      </w:r>
      <w:r>
        <w:rPr>
          <w:rFonts w:eastAsia="仿宋_GB2312"/>
          <w:color w:val="000000" w:themeColor="text1"/>
          <w:sz w:val="24"/>
          <w14:textFill>
            <w14:solidFill>
              <w14:schemeClr w14:val="tx1"/>
            </w14:solidFill>
          </w14:textFill>
        </w:rPr>
        <w:t>、</w:t>
      </w:r>
      <w:bookmarkStart w:id="261" w:name="_Toc383432758"/>
      <w:bookmarkStart w:id="262" w:name="_Toc383432860"/>
      <w:bookmarkStart w:id="263" w:name="_Toc383432956"/>
      <w:bookmarkStart w:id="264" w:name="_Toc383460563"/>
      <w:r>
        <w:rPr>
          <w:rFonts w:hint="eastAsia" w:eastAsia="仿宋_GB2312"/>
          <w:color w:val="000000" w:themeColor="text1"/>
          <w:sz w:val="24"/>
          <w14:textFill>
            <w14:solidFill>
              <w14:schemeClr w14:val="tx1"/>
            </w14:solidFill>
          </w14:textFill>
        </w:rPr>
        <w:t xml:space="preserve"> 关于对《</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lang w:val="en-US" w:eastAsia="zh-CN"/>
          <w14:textFill>
            <w14:solidFill>
              <w14:schemeClr w14:val="tx1"/>
            </w14:solidFill>
          </w14:textFill>
        </w:rPr>
        <w:t>可行性研究报告</w:t>
      </w:r>
      <w:r>
        <w:rPr>
          <w:rFonts w:hint="eastAsia" w:eastAsia="仿宋_GB2312"/>
          <w:color w:val="000000" w:themeColor="text1"/>
          <w:sz w:val="24"/>
          <w14:textFill>
            <w14:solidFill>
              <w14:schemeClr w14:val="tx1"/>
            </w14:solidFill>
          </w14:textFill>
        </w:rPr>
        <w:t>》的批复</w:t>
      </w:r>
      <w:r>
        <w:rPr>
          <w:rFonts w:hint="eastAsia" w:eastAsia="仿宋_GB2312"/>
          <w:color w:val="000000" w:themeColor="text1"/>
          <w:sz w:val="24"/>
          <w:lang w:val="en-US" w:eastAsia="zh-CN"/>
          <w14:textFill>
            <w14:solidFill>
              <w14:schemeClr w14:val="tx1"/>
            </w14:solidFill>
          </w14:textFill>
        </w:rPr>
        <w:t xml:space="preserve">  </w:t>
      </w:r>
    </w:p>
    <w:p>
      <w:pPr>
        <w:pageBreakBefore w:val="0"/>
        <w:kinsoku/>
        <w:wordWrap/>
        <w:topLinePunct w:val="0"/>
        <w:bidi w:val="0"/>
        <w:adjustRightInd w:val="0"/>
        <w:snapToGrid w:val="0"/>
        <w:spacing w:line="360" w:lineRule="auto"/>
        <w:ind w:firstLine="480" w:firstLineChars="200"/>
        <w:jc w:val="left"/>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3</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师市水发〔2023〕40号 关于对《</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14:textFill>
            <w14:solidFill>
              <w14:schemeClr w14:val="tx1"/>
            </w14:solidFill>
          </w14:textFill>
        </w:rPr>
        <w:t>初步设计报告》的批复</w:t>
      </w:r>
    </w:p>
    <w:p>
      <w:pPr>
        <w:pageBreakBefore w:val="0"/>
        <w:kinsoku/>
        <w:wordWrap/>
        <w:topLinePunct w:val="0"/>
        <w:bidi w:val="0"/>
        <w:adjustRightInd w:val="0"/>
        <w:snapToGrid w:val="0"/>
        <w:spacing w:line="360" w:lineRule="auto"/>
        <w:ind w:firstLine="480" w:firstLineChars="200"/>
        <w:jc w:val="left"/>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4</w:t>
      </w:r>
      <w:r>
        <w:rPr>
          <w:rFonts w:eastAsia="仿宋_GB2312"/>
          <w:color w:val="000000" w:themeColor="text1"/>
          <w:sz w:val="24"/>
          <w14:textFill>
            <w14:solidFill>
              <w14:schemeClr w14:val="tx1"/>
            </w14:solidFill>
          </w14:textFill>
        </w:rPr>
        <w:t>、土地复垦方案编制委托函</w:t>
      </w:r>
    </w:p>
    <w:p>
      <w:pPr>
        <w:pageBreakBefore w:val="0"/>
        <w:kinsoku/>
        <w:wordWrap/>
        <w:topLinePunct w:val="0"/>
        <w:bidi w:val="0"/>
        <w:adjustRightInd w:val="0"/>
        <w:snapToGrid w:val="0"/>
        <w:spacing w:line="360" w:lineRule="auto"/>
        <w:jc w:val="left"/>
        <w:rPr>
          <w:rFonts w:eastAsia="仿宋_GB2312"/>
          <w:color w:val="000000" w:themeColor="text1"/>
          <w:sz w:val="24"/>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5</w:t>
      </w:r>
      <w:r>
        <w:rPr>
          <w:rFonts w:eastAsia="仿宋_GB2312"/>
          <w:color w:val="000000" w:themeColor="text1"/>
          <w:sz w:val="24"/>
          <w14:textFill>
            <w14:solidFill>
              <w14:schemeClr w14:val="tx1"/>
            </w14:solidFill>
          </w14:textFill>
        </w:rPr>
        <w:t>、</w:t>
      </w:r>
      <w:r>
        <w:rPr>
          <w:rFonts w:hint="eastAsia" w:eastAsia="仿宋_GB2312"/>
          <w:color w:val="000000" w:themeColor="text1"/>
          <w:sz w:val="24"/>
          <w14:textFill>
            <w14:solidFill>
              <w14:schemeClr w14:val="tx1"/>
            </w14:solidFill>
          </w14:textFill>
        </w:rPr>
        <w:t>土地复垦方案编制</w:t>
      </w:r>
      <w:r>
        <w:rPr>
          <w:rFonts w:eastAsia="仿宋_GB2312"/>
          <w:color w:val="000000" w:themeColor="text1"/>
          <w:sz w:val="24"/>
          <w14:textFill>
            <w14:solidFill>
              <w14:schemeClr w14:val="tx1"/>
            </w14:solidFill>
          </w14:textFill>
        </w:rPr>
        <w:t>意见</w:t>
      </w:r>
    </w:p>
    <w:p>
      <w:pPr>
        <w:pageBreakBefore w:val="0"/>
        <w:kinsoku/>
        <w:wordWrap/>
        <w:topLinePunct w:val="0"/>
        <w:bidi w:val="0"/>
        <w:adjustRightInd w:val="0"/>
        <w:snapToGrid w:val="0"/>
        <w:spacing w:line="360" w:lineRule="auto"/>
        <w:ind w:firstLine="480" w:firstLineChars="200"/>
        <w:jc w:val="left"/>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6</w:t>
      </w:r>
      <w:r>
        <w:rPr>
          <w:rFonts w:eastAsia="仿宋_GB2312"/>
          <w:color w:val="000000" w:themeColor="text1"/>
          <w:sz w:val="24"/>
          <w14:textFill>
            <w14:solidFill>
              <w14:schemeClr w14:val="tx1"/>
            </w14:solidFill>
          </w14:textFill>
        </w:rPr>
        <w:t>、土地复垦义务人的土地复垦承诺书</w:t>
      </w:r>
    </w:p>
    <w:p>
      <w:pPr>
        <w:pageBreakBefore w:val="0"/>
        <w:kinsoku/>
        <w:wordWrap/>
        <w:topLinePunct w:val="0"/>
        <w:bidi w:val="0"/>
        <w:adjustRightInd w:val="0"/>
        <w:snapToGrid w:val="0"/>
        <w:spacing w:line="360" w:lineRule="auto"/>
        <w:ind w:firstLine="480" w:firstLineChars="200"/>
        <w:jc w:val="left"/>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附件</w:t>
      </w:r>
      <w:r>
        <w:rPr>
          <w:rFonts w:hint="eastAsia" w:eastAsia="仿宋_GB2312"/>
          <w:color w:val="000000" w:themeColor="text1"/>
          <w:sz w:val="24"/>
          <w:lang w:val="en-US" w:eastAsia="zh-CN"/>
          <w14:textFill>
            <w14:solidFill>
              <w14:schemeClr w14:val="tx1"/>
            </w14:solidFill>
          </w14:textFill>
        </w:rPr>
        <w:t>7</w:t>
      </w:r>
      <w:r>
        <w:rPr>
          <w:rFonts w:eastAsia="仿宋_GB2312"/>
          <w:color w:val="000000" w:themeColor="text1"/>
          <w:sz w:val="24"/>
          <w14:textFill>
            <w14:solidFill>
              <w14:schemeClr w14:val="tx1"/>
            </w14:solidFill>
          </w14:textFill>
        </w:rPr>
        <w:t>、</w:t>
      </w:r>
      <w:r>
        <w:rPr>
          <w:rFonts w:hint="eastAsia" w:eastAsia="仿宋_GB2312"/>
          <w:color w:val="000000" w:themeColor="text1"/>
          <w:sz w:val="24"/>
          <w:lang w:val="en-US" w:eastAsia="zh-CN"/>
          <w14:textFill>
            <w14:solidFill>
              <w14:schemeClr w14:val="tx1"/>
            </w14:solidFill>
          </w14:textFill>
        </w:rPr>
        <w:t>公众</w:t>
      </w:r>
      <w:r>
        <w:rPr>
          <w:rFonts w:hint="eastAsia" w:eastAsia="仿宋_GB2312"/>
          <w:color w:val="000000" w:themeColor="text1"/>
          <w:sz w:val="24"/>
          <w14:textFill>
            <w14:solidFill>
              <w14:schemeClr w14:val="tx1"/>
            </w14:solidFill>
          </w14:textFill>
        </w:rPr>
        <w:t>参与调查表</w:t>
      </w:r>
    </w:p>
    <w:p>
      <w:pPr>
        <w:pageBreakBefore w:val="0"/>
        <w:kinsoku/>
        <w:wordWrap/>
        <w:topLinePunct w:val="0"/>
        <w:bidi w:val="0"/>
        <w:adjustRightInd w:val="0"/>
        <w:snapToGrid w:val="0"/>
        <w:spacing w:line="360" w:lineRule="auto"/>
        <w:ind w:firstLine="480" w:firstLineChars="200"/>
        <w:jc w:val="left"/>
        <w:rPr>
          <w:rFonts w:hint="eastAsia" w:ascii="Times New Roman" w:hAnsi="Times New Roman" w:eastAsia="仿宋_GB2312" w:cs="Times New Roman"/>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w:t>
      </w:r>
      <w:r>
        <w:rPr>
          <w:rFonts w:hint="eastAsia" w:ascii="Times New Roman" w:hAnsi="Times New Roman" w:eastAsia="仿宋_GB2312" w:cs="Times New Roman"/>
          <w:color w:val="000000" w:themeColor="text1"/>
          <w:sz w:val="24"/>
          <w14:textFill>
            <w14:solidFill>
              <w14:schemeClr w14:val="tx1"/>
            </w14:solidFill>
          </w14:textFill>
        </w:rPr>
        <w:t>件</w:t>
      </w:r>
      <w:r>
        <w:rPr>
          <w:rFonts w:hint="eastAsia" w:eastAsia="仿宋_GB2312" w:cs="Times New Roman"/>
          <w:color w:val="000000" w:themeColor="text1"/>
          <w:sz w:val="24"/>
          <w:lang w:val="en-US" w:eastAsia="zh-CN"/>
          <w14:textFill>
            <w14:solidFill>
              <w14:schemeClr w14:val="tx1"/>
            </w14:solidFill>
          </w14:textFill>
        </w:rPr>
        <w:t>8</w:t>
      </w:r>
      <w:r>
        <w:rPr>
          <w:rFonts w:hint="eastAsia" w:ascii="Times New Roman" w:hAnsi="Times New Roman" w:eastAsia="仿宋_GB2312" w:cs="Times New Roman"/>
          <w:color w:val="000000" w:themeColor="text1"/>
          <w:sz w:val="24"/>
          <w14:textFill>
            <w14:solidFill>
              <w14:schemeClr w14:val="tx1"/>
            </w14:solidFill>
          </w14:textFill>
        </w:rPr>
        <w:t>、项目区及周边照片集</w:t>
      </w:r>
    </w:p>
    <w:p>
      <w:pPr>
        <w:pageBreakBefore w:val="0"/>
        <w:kinsoku/>
        <w:wordWrap/>
        <w:topLinePunct w:val="0"/>
        <w:bidi w:val="0"/>
        <w:adjustRightInd w:val="0"/>
        <w:snapToGrid w:val="0"/>
        <w:spacing w:line="360" w:lineRule="auto"/>
        <w:ind w:firstLine="480" w:firstLineChars="200"/>
        <w:jc w:val="left"/>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附件</w:t>
      </w:r>
      <w:r>
        <w:rPr>
          <w:rFonts w:hint="eastAsia" w:eastAsia="仿宋_GB2312" w:cs="Times New Roman"/>
          <w:color w:val="000000" w:themeColor="text1"/>
          <w:sz w:val="24"/>
          <w:lang w:val="en-US" w:eastAsia="zh-CN"/>
          <w14:textFill>
            <w14:solidFill>
              <w14:schemeClr w14:val="tx1"/>
            </w14:solidFill>
          </w14:textFill>
        </w:rPr>
        <w:t>9</w:t>
      </w:r>
      <w:r>
        <w:rPr>
          <w:rFonts w:hint="default" w:ascii="Times New Roman" w:hAnsi="Times New Roman" w:eastAsia="仿宋_GB2312" w:cs="Times New Roman"/>
          <w:color w:val="000000" w:themeColor="text1"/>
          <w:sz w:val="24"/>
          <w:lang w:val="en-US" w:eastAsia="zh-CN"/>
          <w14:textFill>
            <w14:solidFill>
              <w14:schemeClr w14:val="tx1"/>
            </w14:solidFill>
          </w14:textFill>
        </w:rPr>
        <w:t>、</w:t>
      </w:r>
      <w:r>
        <w:rPr>
          <w:rFonts w:hint="eastAsia" w:ascii="Times New Roman" w:hAnsi="Times New Roman" w:eastAsia="仿宋_GB2312" w:cs="Times New Roman"/>
          <w:color w:val="000000" w:themeColor="text1"/>
          <w:sz w:val="24"/>
          <w:lang w:val="en-US" w:eastAsia="zh-CN"/>
          <w14:textFill>
            <w14:solidFill>
              <w14:schemeClr w14:val="tx1"/>
            </w14:solidFill>
          </w14:textFill>
        </w:rPr>
        <w:t>土地利用现状类型及权属证明</w:t>
      </w:r>
    </w:p>
    <w:p>
      <w:pPr>
        <w:pageBreakBefore w:val="0"/>
        <w:kinsoku/>
        <w:wordWrap/>
        <w:topLinePunct w:val="0"/>
        <w:bidi w:val="0"/>
        <w:adjustRightInd w:val="0"/>
        <w:snapToGrid w:val="0"/>
        <w:spacing w:line="360" w:lineRule="auto"/>
        <w:ind w:firstLine="480" w:firstLineChars="200"/>
        <w:jc w:val="left"/>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附件</w:t>
      </w:r>
      <w:r>
        <w:rPr>
          <w:rFonts w:hint="eastAsia" w:eastAsia="仿宋_GB2312" w:cs="Times New Roman"/>
          <w:color w:val="000000" w:themeColor="text1"/>
          <w:sz w:val="24"/>
          <w:lang w:val="en-US" w:eastAsia="zh-CN"/>
          <w14:textFill>
            <w14:solidFill>
              <w14:schemeClr w14:val="tx1"/>
            </w14:solidFill>
          </w14:textFill>
        </w:rPr>
        <w:t>10</w:t>
      </w:r>
      <w:r>
        <w:rPr>
          <w:rFonts w:hint="eastAsia" w:ascii="Times New Roman" w:hAnsi="Times New Roman" w:eastAsia="仿宋_GB2312" w:cs="Times New Roman"/>
          <w:color w:val="000000" w:themeColor="text1"/>
          <w:sz w:val="24"/>
          <w:lang w:val="en-US" w:eastAsia="zh-CN"/>
          <w14:textFill>
            <w14:solidFill>
              <w14:schemeClr w14:val="tx1"/>
            </w14:solidFill>
          </w14:textFill>
        </w:rPr>
        <w:t>、临时用地拐点坐标表</w:t>
      </w:r>
    </w:p>
    <w:p>
      <w:pPr>
        <w:pageBreakBefore w:val="0"/>
        <w:kinsoku/>
        <w:wordWrap/>
        <w:topLinePunct w:val="0"/>
        <w:bidi w:val="0"/>
        <w:adjustRightInd w:val="0"/>
        <w:snapToGrid w:val="0"/>
        <w:spacing w:line="360" w:lineRule="auto"/>
        <w:ind w:firstLine="480" w:firstLineChars="200"/>
        <w:jc w:val="left"/>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附件</w:t>
      </w:r>
      <w:r>
        <w:rPr>
          <w:rFonts w:hint="eastAsia" w:ascii="Times New Roman" w:hAnsi="Times New Roman" w:eastAsia="仿宋_GB2312" w:cs="Times New Roman"/>
          <w:color w:val="000000" w:themeColor="text1"/>
          <w:sz w:val="24"/>
          <w:lang w:val="en-US" w:eastAsia="zh-CN"/>
          <w14:textFill>
            <w14:solidFill>
              <w14:schemeClr w14:val="tx1"/>
            </w14:solidFill>
          </w14:textFill>
        </w:rPr>
        <w:t>11</w:t>
      </w:r>
      <w:r>
        <w:rPr>
          <w:rFonts w:hint="default" w:ascii="Times New Roman" w:hAnsi="Times New Roman" w:eastAsia="仿宋_GB2312" w:cs="Times New Roman"/>
          <w:color w:val="000000" w:themeColor="text1"/>
          <w:sz w:val="24"/>
          <w:lang w:val="en-US" w:eastAsia="zh-CN"/>
          <w14:textFill>
            <w14:solidFill>
              <w14:schemeClr w14:val="tx1"/>
            </w14:solidFill>
          </w14:textFill>
        </w:rPr>
        <w:t>、</w:t>
      </w:r>
      <w:r>
        <w:rPr>
          <w:rFonts w:ascii="Times New Roman" w:hAnsi="Times New Roman" w:eastAsia="仿宋_GB2312" w:cs="Times New Roman"/>
          <w:color w:val="000000" w:themeColor="text1"/>
          <w:sz w:val="24"/>
          <w14:textFill>
            <w14:solidFill>
              <w14:schemeClr w14:val="tx1"/>
            </w14:solidFill>
          </w14:textFill>
        </w:rPr>
        <w:t>土地复垦方案</w:t>
      </w:r>
      <w:r>
        <w:rPr>
          <w:rFonts w:hint="eastAsia" w:ascii="Times New Roman" w:hAnsi="Times New Roman" w:eastAsia="仿宋_GB2312" w:cs="Times New Roman"/>
          <w:color w:val="000000" w:themeColor="text1"/>
          <w:sz w:val="24"/>
          <w:lang w:val="en-US" w:eastAsia="zh-CN"/>
          <w14:textFill>
            <w14:solidFill>
              <w14:schemeClr w14:val="tx1"/>
            </w14:solidFill>
          </w14:textFill>
        </w:rPr>
        <w:t>初审意见</w:t>
      </w:r>
    </w:p>
    <w:p>
      <w:pPr>
        <w:pageBreakBefore w:val="0"/>
        <w:kinsoku/>
        <w:wordWrap/>
        <w:topLinePunct w:val="0"/>
        <w:bidi w:val="0"/>
        <w:adjustRightInd w:val="0"/>
        <w:snapToGrid w:val="0"/>
        <w:spacing w:line="360" w:lineRule="auto"/>
        <w:ind w:firstLine="480" w:firstLineChars="200"/>
        <w:jc w:val="lef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14:textFill>
            <w14:solidFill>
              <w14:schemeClr w14:val="tx1"/>
            </w14:solidFill>
          </w14:textFill>
        </w:rPr>
        <w:t>附件</w:t>
      </w:r>
      <w:r>
        <w:rPr>
          <w:rFonts w:hint="eastAsia" w:ascii="Times New Roman" w:hAnsi="Times New Roman" w:eastAsia="仿宋_GB2312" w:cs="Times New Roman"/>
          <w:color w:val="000000" w:themeColor="text1"/>
          <w:sz w:val="24"/>
          <w:lang w:val="en-US" w:eastAsia="zh-CN"/>
          <w14:textFill>
            <w14:solidFill>
              <w14:schemeClr w14:val="tx1"/>
            </w14:solidFill>
          </w14:textFill>
        </w:rPr>
        <w:t>12</w:t>
      </w:r>
      <w:r>
        <w:rPr>
          <w:rFonts w:hint="default" w:ascii="Times New Roman" w:hAnsi="Times New Roman" w:eastAsia="仿宋_GB2312" w:cs="Times New Roman"/>
          <w:color w:val="000000" w:themeColor="text1"/>
          <w:sz w:val="24"/>
          <w:lang w:val="en-US" w:eastAsia="zh-CN"/>
          <w14:textFill>
            <w14:solidFill>
              <w14:schemeClr w14:val="tx1"/>
            </w14:solidFill>
          </w14:textFill>
        </w:rPr>
        <w:t>、</w:t>
      </w:r>
      <w:r>
        <w:rPr>
          <w:rFonts w:hint="eastAsia" w:eastAsia="仿宋_GB2312" w:cs="Times New Roman"/>
          <w:color w:val="000000" w:themeColor="text1"/>
          <w:sz w:val="24"/>
          <w:lang w:val="en-US" w:eastAsia="zh-CN"/>
          <w14:textFill>
            <w14:solidFill>
              <w14:schemeClr w14:val="tx1"/>
            </w14:solidFill>
          </w14:textFill>
        </w:rPr>
        <w:t>喀什地区</w:t>
      </w:r>
      <w:r>
        <w:rPr>
          <w:rFonts w:hint="eastAsia" w:eastAsia="仿宋_GB2312" w:cs="Times New Roman"/>
          <w:color w:val="000000" w:themeColor="text1"/>
          <w:sz w:val="24"/>
          <w:lang w:eastAsia="zh-CN"/>
          <w14:textFill>
            <w14:solidFill>
              <w14:schemeClr w14:val="tx1"/>
            </w14:solidFill>
          </w14:textFill>
        </w:rPr>
        <w:t>202</w:t>
      </w:r>
      <w:r>
        <w:rPr>
          <w:rFonts w:hint="eastAsia" w:eastAsia="仿宋_GB2312" w:cs="Times New Roman"/>
          <w:color w:val="000000" w:themeColor="text1"/>
          <w:sz w:val="24"/>
          <w:lang w:val="en-US" w:eastAsia="zh-CN"/>
          <w14:textFill>
            <w14:solidFill>
              <w14:schemeClr w14:val="tx1"/>
            </w14:solidFill>
          </w14:textFill>
        </w:rPr>
        <w:t>4</w:t>
      </w:r>
      <w:r>
        <w:rPr>
          <w:rFonts w:hint="eastAsia" w:eastAsia="仿宋_GB2312" w:cs="Times New Roman"/>
          <w:color w:val="000000" w:themeColor="text1"/>
          <w:sz w:val="24"/>
          <w:lang w:eastAsia="zh-CN"/>
          <w14:textFill>
            <w14:solidFill>
              <w14:schemeClr w14:val="tx1"/>
            </w14:solidFill>
          </w14:textFill>
        </w:rPr>
        <w:t>年</w:t>
      </w:r>
      <w:r>
        <w:rPr>
          <w:rFonts w:hint="eastAsia" w:eastAsia="仿宋_GB2312" w:cs="Times New Roman"/>
          <w:color w:val="000000" w:themeColor="text1"/>
          <w:sz w:val="24"/>
          <w:lang w:val="en-US" w:eastAsia="zh-CN"/>
          <w14:textFill>
            <w14:solidFill>
              <w14:schemeClr w14:val="tx1"/>
            </w14:solidFill>
          </w14:textFill>
        </w:rPr>
        <w:t>1</w:t>
      </w:r>
      <w:r>
        <w:rPr>
          <w:rFonts w:hint="eastAsia" w:eastAsia="仿宋_GB2312" w:cs="Times New Roman"/>
          <w:color w:val="000000" w:themeColor="text1"/>
          <w:sz w:val="24"/>
          <w:lang w:eastAsia="zh-CN"/>
          <w14:textFill>
            <w14:solidFill>
              <w14:schemeClr w14:val="tx1"/>
            </w14:solidFill>
          </w14:textFill>
        </w:rPr>
        <w:t>月</w:t>
      </w:r>
      <w:r>
        <w:rPr>
          <w:rFonts w:hint="eastAsia" w:ascii="Times New Roman" w:hAnsi="Times New Roman" w:eastAsia="仿宋_GB2312" w:cs="Times New Roman"/>
          <w:color w:val="000000" w:themeColor="text1"/>
          <w:sz w:val="24"/>
          <w14:textFill>
            <w14:solidFill>
              <w14:schemeClr w14:val="tx1"/>
            </w14:solidFill>
          </w14:textFill>
        </w:rPr>
        <w:t>建设工程除税综合价格信息</w:t>
      </w: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ageBreakBefore w:val="0"/>
        <w:kinsoku/>
        <w:wordWrap/>
        <w:topLinePunct w:val="0"/>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p>
    <w:p>
      <w:pPr>
        <w:pStyle w:val="4"/>
        <w:pageBreakBefore w:val="0"/>
        <w:kinsoku/>
        <w:wordWrap/>
        <w:topLinePunct w:val="0"/>
        <w:bidi w:val="0"/>
        <w:adjustRightInd w:val="0"/>
        <w:snapToGrid w:val="0"/>
        <w:rPr>
          <w:rFonts w:hint="eastAsia"/>
          <w:color w:val="000000" w:themeColor="text1"/>
          <w14:textFill>
            <w14:solidFill>
              <w14:schemeClr w14:val="tx1"/>
            </w14:solidFill>
          </w14:textFill>
        </w:rPr>
      </w:pPr>
      <w:bookmarkStart w:id="265" w:name="_Toc11075"/>
      <w:r>
        <w:rPr>
          <w:rFonts w:hint="eastAsia"/>
          <w:color w:val="000000" w:themeColor="text1"/>
          <w14:textFill>
            <w14:solidFill>
              <w14:schemeClr w14:val="tx1"/>
            </w14:solidFill>
          </w14:textFill>
        </w:rPr>
        <w:br w:type="page"/>
      </w:r>
      <w:bookmarkStart w:id="266" w:name="_Toc110"/>
      <w:r>
        <w:rPr>
          <w:rFonts w:hint="eastAsia"/>
          <w:color w:val="000000" w:themeColor="text1"/>
          <w14:textFill>
            <w14:solidFill>
              <w14:schemeClr w14:val="tx1"/>
            </w14:solidFill>
          </w14:textFill>
        </w:rPr>
        <w:t>附图</w:t>
      </w:r>
      <w:bookmarkEnd w:id="261"/>
      <w:bookmarkEnd w:id="262"/>
      <w:bookmarkEnd w:id="263"/>
      <w:bookmarkEnd w:id="264"/>
      <w:bookmarkEnd w:id="265"/>
      <w:bookmarkEnd w:id="266"/>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附图1、</w:t>
      </w:r>
      <w:r>
        <w:rPr>
          <w:rFonts w:hint="eastAsia" w:eastAsia="仿宋_GB2312"/>
          <w:color w:val="000000" w:themeColor="text1"/>
          <w:sz w:val="24"/>
          <w:lang w:eastAsia="zh-CN"/>
          <w14:textFill>
            <w14:solidFill>
              <w14:schemeClr w14:val="tx1"/>
            </w14:solidFill>
          </w14:textFill>
        </w:rPr>
        <w:t>新疆克孜河大桥渠首除险加固工程</w:t>
      </w:r>
      <w:r>
        <w:rPr>
          <w:rFonts w:hint="eastAsia" w:eastAsia="仿宋_GB2312"/>
          <w:color w:val="000000" w:themeColor="text1"/>
          <w:sz w:val="24"/>
          <w14:textFill>
            <w14:solidFill>
              <w14:schemeClr w14:val="tx1"/>
            </w14:solidFill>
          </w14:textFill>
        </w:rPr>
        <w:t>土地</w:t>
      </w:r>
      <w:r>
        <w:rPr>
          <w:rFonts w:hint="eastAsia" w:eastAsia="仿宋_GB2312"/>
          <w:color w:val="000000" w:themeColor="text1"/>
          <w:sz w:val="24"/>
          <w:lang w:val="en-US" w:eastAsia="zh-CN"/>
          <w14:textFill>
            <w14:solidFill>
              <w14:schemeClr w14:val="tx1"/>
            </w14:solidFill>
          </w14:textFill>
        </w:rPr>
        <w:t>利用</w:t>
      </w:r>
      <w:r>
        <w:rPr>
          <w:rFonts w:hint="eastAsia" w:eastAsia="仿宋_GB2312"/>
          <w:color w:val="000000" w:themeColor="text1"/>
          <w:sz w:val="24"/>
          <w14:textFill>
            <w14:solidFill>
              <w14:schemeClr w14:val="tx1"/>
            </w14:solidFill>
          </w14:textFill>
        </w:rPr>
        <w:t>现状图</w:t>
      </w:r>
      <w:r>
        <w:rPr>
          <w:rFonts w:hint="eastAsia" w:eastAsia="仿宋_GB2312"/>
          <w:color w:val="000000" w:themeColor="text1"/>
          <w:sz w:val="24"/>
          <w:lang w:eastAsia="zh-CN"/>
          <w14:textFill>
            <w14:solidFill>
              <w14:schemeClr w14:val="tx1"/>
            </w14:solidFill>
          </w14:textFill>
        </w:rPr>
        <w:t>（比例尺1：</w:t>
      </w:r>
      <w:r>
        <w:rPr>
          <w:rFonts w:hint="eastAsia" w:eastAsia="仿宋_GB2312"/>
          <w:color w:val="000000" w:themeColor="text1"/>
          <w:sz w:val="24"/>
          <w:lang w:val="en-US" w:eastAsia="zh-CN"/>
          <w14:textFill>
            <w14:solidFill>
              <w14:schemeClr w14:val="tx1"/>
            </w14:solidFill>
          </w14:textFill>
        </w:rPr>
        <w:t>3000</w:t>
      </w:r>
      <w:r>
        <w:rPr>
          <w:rFonts w:hint="eastAsia" w:eastAsia="仿宋_GB2312"/>
          <w:color w:val="000000" w:themeColor="text1"/>
          <w:sz w:val="24"/>
          <w:lang w:eastAsia="zh-CN"/>
          <w14:textFill>
            <w14:solidFill>
              <w14:schemeClr w14:val="tx1"/>
            </w14:solidFill>
          </w14:textFill>
        </w:rPr>
        <w:t>）</w:t>
      </w:r>
    </w:p>
    <w:p>
      <w:pPr>
        <w:pageBreakBefore w:val="0"/>
        <w:kinsoku/>
        <w:wordWrap/>
        <w:topLinePunct w:val="0"/>
        <w:bidi w:val="0"/>
        <w:adjustRightInd w:val="0"/>
        <w:snapToGrid w:val="0"/>
        <w:spacing w:line="360" w:lineRule="auto"/>
        <w:ind w:firstLine="400" w:firstLineChars="200"/>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pacing w:val="-20"/>
          <w:sz w:val="24"/>
          <w:lang w:val="en-US" w:eastAsia="zh-CN"/>
          <w14:textFill>
            <w14:solidFill>
              <w14:schemeClr w14:val="tx1"/>
            </w14:solidFill>
          </w14:textFill>
        </w:rPr>
        <w:t xml:space="preserve"> </w:t>
      </w:r>
      <w:r>
        <w:rPr>
          <w:rFonts w:hint="eastAsia" w:eastAsia="仿宋_GB2312"/>
          <w:color w:val="000000" w:themeColor="text1"/>
          <w:sz w:val="24"/>
          <w:lang w:eastAsia="zh-CN"/>
          <w14:textFill>
            <w14:solidFill>
              <w14:schemeClr w14:val="tx1"/>
            </w14:solidFill>
          </w14:textFill>
        </w:rPr>
        <w:t>附图2、新疆克孜河大桥渠首除险加固工程土地损毁预测图（比例尺1：</w:t>
      </w:r>
      <w:r>
        <w:rPr>
          <w:rFonts w:hint="eastAsia" w:eastAsia="仿宋_GB2312"/>
          <w:color w:val="000000" w:themeColor="text1"/>
          <w:sz w:val="24"/>
          <w:lang w:val="en-US" w:eastAsia="zh-CN"/>
          <w14:textFill>
            <w14:solidFill>
              <w14:schemeClr w14:val="tx1"/>
            </w14:solidFill>
          </w14:textFill>
        </w:rPr>
        <w:t>3</w:t>
      </w:r>
      <w:r>
        <w:rPr>
          <w:rFonts w:hint="eastAsia" w:eastAsia="仿宋_GB2312"/>
          <w:color w:val="000000" w:themeColor="text1"/>
          <w:sz w:val="24"/>
          <w:lang w:eastAsia="zh-CN"/>
          <w14:textFill>
            <w14:solidFill>
              <w14:schemeClr w14:val="tx1"/>
            </w14:solidFill>
          </w14:textFill>
        </w:rPr>
        <w:t>000）</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t>附图3、新疆克孜河大桥渠首除险加固工程土地复垦规划图（比例尺1：</w:t>
      </w:r>
      <w:r>
        <w:rPr>
          <w:rFonts w:hint="eastAsia" w:eastAsia="仿宋_GB2312"/>
          <w:color w:val="000000" w:themeColor="text1"/>
          <w:sz w:val="24"/>
          <w:lang w:val="en-US" w:eastAsia="zh-CN"/>
          <w14:textFill>
            <w14:solidFill>
              <w14:schemeClr w14:val="tx1"/>
            </w14:solidFill>
          </w14:textFill>
        </w:rPr>
        <w:t>3000</w:t>
      </w:r>
      <w:r>
        <w:rPr>
          <w:rFonts w:hint="eastAsia" w:eastAsia="仿宋_GB2312"/>
          <w:color w:val="000000" w:themeColor="text1"/>
          <w:sz w:val="24"/>
          <w:lang w:eastAsia="zh-CN"/>
          <w14:textFill>
            <w14:solidFill>
              <w14:schemeClr w14:val="tx1"/>
            </w14:solidFill>
          </w14:textFill>
        </w:rPr>
        <w:t>）</w:t>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p>
    <w:p>
      <w:pPr>
        <w:pageBreakBefore w:val="0"/>
        <w:kinsoku/>
        <w:wordWrap/>
        <w:topLinePunct w:val="0"/>
        <w:bidi w:val="0"/>
        <w:adjustRightInd w:val="0"/>
        <w:snapToGrid w:val="0"/>
        <w:spacing w:line="360" w:lineRule="auto"/>
        <w:ind w:firstLine="480" w:firstLineChars="200"/>
        <w:rPr>
          <w:rFonts w:hint="eastAsia" w:eastAsia="仿宋_GB2312"/>
          <w:color w:val="000000" w:themeColor="text1"/>
          <w:sz w:val="24"/>
          <w:lang w:eastAsia="zh-CN"/>
          <w14:textFill>
            <w14:solidFill>
              <w14:schemeClr w14:val="tx1"/>
            </w14:solidFill>
          </w14:textFill>
        </w:rPr>
      </w:pPr>
      <w:r>
        <w:rPr>
          <w:rFonts w:hint="eastAsia" w:eastAsia="仿宋_GB2312"/>
          <w:color w:val="000000" w:themeColor="text1"/>
          <w:sz w:val="24"/>
          <w:lang w:eastAsia="zh-CN"/>
          <w14:textFill>
            <w14:solidFill>
              <w14:schemeClr w14:val="tx1"/>
            </w14:solidFill>
          </w14:textFill>
        </w:rPr>
        <w:drawing>
          <wp:inline distT="0" distB="0" distL="114300" distR="114300">
            <wp:extent cx="5755005" cy="8129270"/>
            <wp:effectExtent l="0" t="0" r="10795" b="11430"/>
            <wp:docPr id="2" name="图片 2" descr="大桥终审意见(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桥终审意见(1)_页面_1"/>
                    <pic:cNvPicPr>
                      <a:picLocks noChangeAspect="1"/>
                    </pic:cNvPicPr>
                  </pic:nvPicPr>
                  <pic:blipFill>
                    <a:blip r:embed="rId17"/>
                    <a:stretch>
                      <a:fillRect/>
                    </a:stretch>
                  </pic:blipFill>
                  <pic:spPr>
                    <a:xfrm>
                      <a:off x="0" y="0"/>
                      <a:ext cx="5755005" cy="8129270"/>
                    </a:xfrm>
                    <a:prstGeom prst="rect">
                      <a:avLst/>
                    </a:prstGeom>
                  </pic:spPr>
                </pic:pic>
              </a:graphicData>
            </a:graphic>
          </wp:inline>
        </w:drawing>
      </w:r>
      <w:r>
        <w:rPr>
          <w:rFonts w:hint="eastAsia" w:eastAsia="仿宋_GB2312"/>
          <w:color w:val="000000" w:themeColor="text1"/>
          <w:sz w:val="24"/>
          <w:lang w:eastAsia="zh-CN"/>
          <w14:textFill>
            <w14:solidFill>
              <w14:schemeClr w14:val="tx1"/>
            </w14:solidFill>
          </w14:textFill>
        </w:rPr>
        <w:drawing>
          <wp:inline distT="0" distB="0" distL="114300" distR="114300">
            <wp:extent cx="5755005" cy="4069715"/>
            <wp:effectExtent l="0" t="0" r="10795" b="6985"/>
            <wp:docPr id="1" name="图片 1" descr="大桥终审意见(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桥终审意见(1)_页面_2"/>
                    <pic:cNvPicPr>
                      <a:picLocks noChangeAspect="1"/>
                    </pic:cNvPicPr>
                  </pic:nvPicPr>
                  <pic:blipFill>
                    <a:blip r:embed="rId18"/>
                    <a:stretch>
                      <a:fillRect/>
                    </a:stretch>
                  </pic:blipFill>
                  <pic:spPr>
                    <a:xfrm>
                      <a:off x="0" y="0"/>
                      <a:ext cx="5755005" cy="4069715"/>
                    </a:xfrm>
                    <a:prstGeom prst="rect">
                      <a:avLst/>
                    </a:prstGeom>
                  </pic:spPr>
                </pic:pic>
              </a:graphicData>
            </a:graphic>
          </wp:inline>
        </w:drawing>
      </w:r>
    </w:p>
    <w:p>
      <w:pPr>
        <w:pageBreakBefore w:val="0"/>
        <w:kinsoku/>
        <w:wordWrap/>
        <w:topLinePunct w:val="0"/>
        <w:bidi w:val="0"/>
        <w:adjustRightInd w:val="0"/>
        <w:snapToGrid w:val="0"/>
        <w:spacing w:line="360" w:lineRule="auto"/>
        <w:ind w:firstLine="480" w:firstLineChars="200"/>
        <w:rPr>
          <w:rFonts w:eastAsia="仿宋_GB2312"/>
          <w:color w:val="000000" w:themeColor="text1"/>
          <w:sz w:val="24"/>
          <w14:textFill>
            <w14:solidFill>
              <w14:schemeClr w14:val="tx1"/>
            </w14:solidFill>
          </w14:textFill>
        </w:rPr>
      </w:pPr>
    </w:p>
    <w:p>
      <w:pPr>
        <w:rPr>
          <w:color w:val="000000" w:themeColor="text1"/>
          <w14:textFill>
            <w14:solidFill>
              <w14:schemeClr w14:val="tx1"/>
            </w14:solidFill>
          </w14:textFill>
        </w:rPr>
      </w:pPr>
    </w:p>
    <w:sectPr>
      <w:pgSz w:w="11906" w:h="16838"/>
      <w:pgMar w:top="1417" w:right="1417" w:bottom="1417" w:left="1417" w:header="850" w:footer="992" w:gutter="0"/>
      <w:pgBorders w:offsetFrom="page">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Lzqg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liVZgpLunz9cvn24/L9M4lKQNRav4DnzsI3dK9NB/dR76GMk3eV&#10;U/HGTAR2gH2+Aiy6QHgMms/m8xwmDtv4QP7sKdw6H94Io0gUCuqwwQQsO2196F1Hl1hNm00jZdqi&#10;1KQt6M3LV3kKuFqQXGrUiEP0zUYpdPtumGxvyjMGc6Znh7d806D4lvnwyBzogIZB8fCAo5IGRcwg&#10;UVIb9+lv+uiPLcFKSQt6FVSD/5TItxrbi0wcBTcK+1HQR3VnwNcpvo7lSUSAC3IUK2fUR/B+HWvA&#10;xDRHpYKGUbwLPcXxb7hYr5PT0brmUPcB4J5lYat3lscyEUhv18cAMBPGEaAelQE3sC9tafgpkd6/&#10;vpPX039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cvOqBQCAAAXBAAADgAAAAAAAAAB&#10;ACAAAAAfAQAAZHJzL2Uyb0RvYy54bWxQSwUGAAAAAAYABgBZAQAAp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0"/>
      </w:pBdr>
      <w:ind w:right="420"/>
      <w:rPr>
        <w:sz w:val="21"/>
        <w:u w:val="single"/>
      </w:rPr>
    </w:pPr>
    <w:r>
      <w:rPr>
        <w:rFonts w:hint="eastAsia" w:cs="Times New Roman"/>
        <w:spacing w:val="0"/>
        <w:sz w:val="18"/>
        <w:szCs w:val="18"/>
        <w:lang w:eastAsia="zh-CN"/>
      </w:rPr>
      <w:t>新疆克孜河大桥渠首除险加固工程临时用地土地复垦方案</w:t>
    </w:r>
    <w:r>
      <w:rPr>
        <w:rFonts w:hint="default" w:ascii="Times New Roman" w:hAnsi="Times New Roman" w:cs="Times New Roman"/>
        <w:spacing w:val="0"/>
        <w:sz w:val="18"/>
        <w:szCs w:val="18"/>
      </w:rPr>
      <w:t>报告书</w:t>
    </w:r>
    <w:r>
      <w:rPr>
        <w:rFonts w:hint="default" w:ascii="Times New Roman" w:hAnsi="Times New Roman" w:cs="Times New Roman"/>
        <w:spacing w:val="0"/>
        <w:sz w:val="21"/>
      </w:rPr>
      <w:t xml:space="preserve">  </w:t>
    </w:r>
    <w:r>
      <w:rPr>
        <w:rFonts w:hint="eastAsia"/>
        <w:spacing w:val="-9"/>
        <w:sz w:val="21"/>
      </w:rPr>
      <w:t xml:space="preserve"> </w:t>
    </w:r>
    <w:r>
      <w:rPr>
        <w:rFonts w:hint="eastAsia"/>
        <w:sz w:val="21"/>
      </w:rPr>
      <w:t xml:space="preserve">              </w:t>
    </w:r>
    <w:r>
      <w:rPr>
        <w:rFonts w:hint="eastAsia"/>
        <w:sz w:val="21"/>
        <w:lang w:val="en-US" w:eastAsia="zh-CN"/>
      </w:rPr>
      <w:t xml:space="preserve"> </w:t>
    </w:r>
    <w:r>
      <w:rPr>
        <w:rFonts w:hint="eastAsia"/>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before="0" w:after="0" w:line="200" w:lineRule="exact"/>
      <w:jc w:val="center"/>
      <w:rPr>
        <w:rFonts w:hint="eastAsia" w:eastAsia="宋体"/>
        <w:sz w:val="20"/>
        <w:szCs w:val="20"/>
        <w:lang w:val="en-US" w:eastAsia="zh-CN"/>
      </w:rPr>
    </w:pPr>
    <w:r>
      <w:rPr>
        <w:rFonts w:hint="eastAsia" w:cs="Times New Roman"/>
        <w:spacing w:val="0"/>
        <w:sz w:val="18"/>
        <w:szCs w:val="18"/>
        <w:lang w:eastAsia="zh-CN"/>
      </w:rPr>
      <w:t>新疆克孜河大桥渠首除险加固工程</w:t>
    </w:r>
    <w:r>
      <w:rPr>
        <w:rFonts w:hint="eastAsia" w:ascii="宋体" w:hAnsi="宋体" w:cs="宋体"/>
        <w:color w:val="000000"/>
        <w:sz w:val="18"/>
        <w:szCs w:val="18"/>
        <w:lang w:eastAsia="zh-CN"/>
      </w:rPr>
      <w:t>临时用地土地复垦方案</w:t>
    </w:r>
    <w:r>
      <w:rPr>
        <w:rFonts w:hint="eastAsia" w:ascii="宋体" w:hAnsi="宋体" w:eastAsia="宋体" w:cs="宋体"/>
        <w:color w:val="000000"/>
        <w:sz w:val="18"/>
        <w:szCs w:val="18"/>
      </w:rP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3A20E"/>
    <w:multiLevelType w:val="singleLevel"/>
    <w:tmpl w:val="5353A20E"/>
    <w:lvl w:ilvl="0" w:tentative="0">
      <w:start w:val="1"/>
      <w:numFmt w:val="decimal"/>
      <w:suff w:val="nothing"/>
      <w:lvlText w:val="%1）"/>
      <w:lvlJc w:val="left"/>
    </w:lvl>
  </w:abstractNum>
  <w:abstractNum w:abstractNumId="1">
    <w:nsid w:val="5353AEF4"/>
    <w:multiLevelType w:val="singleLevel"/>
    <w:tmpl w:val="5353AEF4"/>
    <w:lvl w:ilvl="0" w:tentative="0">
      <w:start w:val="2"/>
      <w:numFmt w:val="decimal"/>
      <w:suff w:val="nothing"/>
      <w:lvlText w:val="%1）"/>
      <w:lvlJc w:val="left"/>
    </w:lvl>
  </w:abstractNum>
  <w:abstractNum w:abstractNumId="2">
    <w:nsid w:val="5353AFE4"/>
    <w:multiLevelType w:val="singleLevel"/>
    <w:tmpl w:val="5353AFE4"/>
    <w:lvl w:ilvl="0" w:tentative="0">
      <w:start w:val="3"/>
      <w:numFmt w:val="decimal"/>
      <w:suff w:val="nothing"/>
      <w:lvlText w:val="%1）"/>
      <w:lvlJc w:val="left"/>
    </w:lvl>
  </w:abstractNum>
  <w:abstractNum w:abstractNumId="3">
    <w:nsid w:val="5353B68E"/>
    <w:multiLevelType w:val="singleLevel"/>
    <w:tmpl w:val="5353B68E"/>
    <w:lvl w:ilvl="0" w:tentative="0">
      <w:start w:val="1"/>
      <w:numFmt w:val="decimal"/>
      <w:suff w:val="nothing"/>
      <w:lvlText w:val="%1）"/>
      <w:lvlJc w:val="left"/>
    </w:lvl>
  </w:abstractNum>
  <w:abstractNum w:abstractNumId="4">
    <w:nsid w:val="5353B8C7"/>
    <w:multiLevelType w:val="singleLevel"/>
    <w:tmpl w:val="5353B8C7"/>
    <w:lvl w:ilvl="0" w:tentative="0">
      <w:start w:val="2"/>
      <w:numFmt w:val="decimal"/>
      <w:suff w:val="nothing"/>
      <w:lvlText w:val="%1）"/>
      <w:lvlJc w:val="left"/>
    </w:lvl>
  </w:abstractNum>
  <w:abstractNum w:abstractNumId="5">
    <w:nsid w:val="5353BC95"/>
    <w:multiLevelType w:val="singleLevel"/>
    <w:tmpl w:val="5353BC95"/>
    <w:lvl w:ilvl="0" w:tentative="0">
      <w:start w:val="3"/>
      <w:numFmt w:val="decimal"/>
      <w:suff w:val="nothing"/>
      <w:lvlText w:val="%1）"/>
      <w:lvlJc w:val="left"/>
    </w:lvl>
  </w:abstractNum>
  <w:abstractNum w:abstractNumId="6">
    <w:nsid w:val="5353C23B"/>
    <w:multiLevelType w:val="singleLevel"/>
    <w:tmpl w:val="5353C23B"/>
    <w:lvl w:ilvl="0" w:tentative="0">
      <w:start w:val="4"/>
      <w:numFmt w:val="decimal"/>
      <w:suff w:val="nothing"/>
      <w:lvlText w:val="%1）"/>
      <w:lvlJc w:val="left"/>
    </w:lvl>
  </w:abstractNum>
  <w:abstractNum w:abstractNumId="7">
    <w:nsid w:val="5353C568"/>
    <w:multiLevelType w:val="singleLevel"/>
    <w:tmpl w:val="5353C568"/>
    <w:lvl w:ilvl="0" w:tentative="0">
      <w:start w:val="2"/>
      <w:numFmt w:val="decimal"/>
      <w:suff w:val="nothing"/>
      <w:lvlText w:val="%1）"/>
      <w:lvlJc w:val="left"/>
    </w:lvl>
  </w:abstractNum>
  <w:abstractNum w:abstractNumId="8">
    <w:nsid w:val="5353C7F9"/>
    <w:multiLevelType w:val="singleLevel"/>
    <w:tmpl w:val="5353C7F9"/>
    <w:lvl w:ilvl="0" w:tentative="0">
      <w:start w:val="1"/>
      <w:numFmt w:val="decimal"/>
      <w:suff w:val="nothing"/>
      <w:lvlText w:val="%1）"/>
      <w:lvlJc w:val="left"/>
    </w:lvl>
  </w:abstractNum>
  <w:abstractNum w:abstractNumId="9">
    <w:nsid w:val="5459F297"/>
    <w:multiLevelType w:val="singleLevel"/>
    <w:tmpl w:val="5459F297"/>
    <w:lvl w:ilvl="0" w:tentative="0">
      <w:start w:val="1"/>
      <w:numFmt w:val="decimal"/>
      <w:suff w:val="nothing"/>
      <w:lvlText w:val="%1）"/>
      <w:lvlJc w:val="left"/>
    </w:lvl>
  </w:abstractNum>
  <w:abstractNum w:abstractNumId="10">
    <w:nsid w:val="552DE39F"/>
    <w:multiLevelType w:val="singleLevel"/>
    <w:tmpl w:val="552DE39F"/>
    <w:lvl w:ilvl="0" w:tentative="0">
      <w:start w:val="1"/>
      <w:numFmt w:val="lowerLetter"/>
      <w:suff w:val="nothing"/>
      <w:lvlText w:val="%1）"/>
      <w:lvlJc w:val="left"/>
    </w:lvl>
  </w:abstractNum>
  <w:abstractNum w:abstractNumId="11">
    <w:nsid w:val="7C297918"/>
    <w:multiLevelType w:val="singleLevel"/>
    <w:tmpl w:val="7C297918"/>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11"/>
  </w:num>
  <w:num w:numId="2">
    <w:abstractNumId w:val="9"/>
  </w:num>
  <w:num w:numId="3">
    <w:abstractNumId w:val="1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4ZDIxZjFkZWY0OWNiYzVlODBiNGZiMGIyMjU4MzQifQ=="/>
  </w:docVars>
  <w:rsids>
    <w:rsidRoot w:val="63D12450"/>
    <w:rsid w:val="00186BF0"/>
    <w:rsid w:val="003B4DE3"/>
    <w:rsid w:val="00BA2D45"/>
    <w:rsid w:val="01A233F1"/>
    <w:rsid w:val="01D93B83"/>
    <w:rsid w:val="01EE5E5A"/>
    <w:rsid w:val="02435763"/>
    <w:rsid w:val="024A3CE3"/>
    <w:rsid w:val="025B79C3"/>
    <w:rsid w:val="028209BC"/>
    <w:rsid w:val="02B21BA8"/>
    <w:rsid w:val="02DF3A87"/>
    <w:rsid w:val="02E12CC5"/>
    <w:rsid w:val="02E82FDC"/>
    <w:rsid w:val="0305345B"/>
    <w:rsid w:val="036876A2"/>
    <w:rsid w:val="03716D43"/>
    <w:rsid w:val="03AC50B2"/>
    <w:rsid w:val="03D71645"/>
    <w:rsid w:val="044E2D97"/>
    <w:rsid w:val="046027B8"/>
    <w:rsid w:val="04B62533"/>
    <w:rsid w:val="04B75CB2"/>
    <w:rsid w:val="04C65E8D"/>
    <w:rsid w:val="04D61BD6"/>
    <w:rsid w:val="05047458"/>
    <w:rsid w:val="05352272"/>
    <w:rsid w:val="057B7A05"/>
    <w:rsid w:val="060B2B65"/>
    <w:rsid w:val="060D1FF7"/>
    <w:rsid w:val="064C13A1"/>
    <w:rsid w:val="067C4A37"/>
    <w:rsid w:val="06CE5CA8"/>
    <w:rsid w:val="06E301CE"/>
    <w:rsid w:val="06FA6BB9"/>
    <w:rsid w:val="07725881"/>
    <w:rsid w:val="07CC7D8F"/>
    <w:rsid w:val="082F79C5"/>
    <w:rsid w:val="084F33CB"/>
    <w:rsid w:val="0881673A"/>
    <w:rsid w:val="088970C6"/>
    <w:rsid w:val="08B27026"/>
    <w:rsid w:val="08E007E1"/>
    <w:rsid w:val="09107FB8"/>
    <w:rsid w:val="09272887"/>
    <w:rsid w:val="09E33DCA"/>
    <w:rsid w:val="0A116208"/>
    <w:rsid w:val="0A290B0F"/>
    <w:rsid w:val="0A610E6B"/>
    <w:rsid w:val="0AD6443D"/>
    <w:rsid w:val="0B3F7414"/>
    <w:rsid w:val="0B923724"/>
    <w:rsid w:val="0BAD744B"/>
    <w:rsid w:val="0BDE0E1F"/>
    <w:rsid w:val="0C031923"/>
    <w:rsid w:val="0C421E8C"/>
    <w:rsid w:val="0C727688"/>
    <w:rsid w:val="0C9306E8"/>
    <w:rsid w:val="0CC433F5"/>
    <w:rsid w:val="0CC9599E"/>
    <w:rsid w:val="0CD25991"/>
    <w:rsid w:val="0D1039D1"/>
    <w:rsid w:val="0D4238C6"/>
    <w:rsid w:val="0D6D5C52"/>
    <w:rsid w:val="0D871672"/>
    <w:rsid w:val="0DBD4112"/>
    <w:rsid w:val="0DFB23C6"/>
    <w:rsid w:val="0E3E4348"/>
    <w:rsid w:val="0E6B1A6A"/>
    <w:rsid w:val="0E7B6CC7"/>
    <w:rsid w:val="0E875B56"/>
    <w:rsid w:val="0E933324"/>
    <w:rsid w:val="0EBE40BE"/>
    <w:rsid w:val="0ED66EC4"/>
    <w:rsid w:val="0F2A5A77"/>
    <w:rsid w:val="0F4672D5"/>
    <w:rsid w:val="0F711E78"/>
    <w:rsid w:val="0FB56209"/>
    <w:rsid w:val="0FC163A7"/>
    <w:rsid w:val="0FD13980"/>
    <w:rsid w:val="0FEB3F6C"/>
    <w:rsid w:val="0FEC5C23"/>
    <w:rsid w:val="104430E9"/>
    <w:rsid w:val="1097590F"/>
    <w:rsid w:val="10A7799D"/>
    <w:rsid w:val="11502F06"/>
    <w:rsid w:val="12247333"/>
    <w:rsid w:val="12460F47"/>
    <w:rsid w:val="124A2B80"/>
    <w:rsid w:val="12555664"/>
    <w:rsid w:val="12706A64"/>
    <w:rsid w:val="12A33DA1"/>
    <w:rsid w:val="13024C24"/>
    <w:rsid w:val="131E16B6"/>
    <w:rsid w:val="13203E3F"/>
    <w:rsid w:val="139E0D62"/>
    <w:rsid w:val="13FE1D2E"/>
    <w:rsid w:val="142C2DE9"/>
    <w:rsid w:val="14DC2AD9"/>
    <w:rsid w:val="14E0123A"/>
    <w:rsid w:val="14E31122"/>
    <w:rsid w:val="14F62B2A"/>
    <w:rsid w:val="15360A41"/>
    <w:rsid w:val="153B44F3"/>
    <w:rsid w:val="15484F82"/>
    <w:rsid w:val="15673B02"/>
    <w:rsid w:val="15685C6F"/>
    <w:rsid w:val="15B17473"/>
    <w:rsid w:val="15CA0BEE"/>
    <w:rsid w:val="15DD49C7"/>
    <w:rsid w:val="15E53AE5"/>
    <w:rsid w:val="160D318D"/>
    <w:rsid w:val="161C5A1E"/>
    <w:rsid w:val="162520E7"/>
    <w:rsid w:val="16310D9D"/>
    <w:rsid w:val="16353C00"/>
    <w:rsid w:val="169E73EA"/>
    <w:rsid w:val="16A46DD6"/>
    <w:rsid w:val="16AA55E7"/>
    <w:rsid w:val="16AB3327"/>
    <w:rsid w:val="16CB6312"/>
    <w:rsid w:val="17520FAE"/>
    <w:rsid w:val="178462CC"/>
    <w:rsid w:val="17935CD1"/>
    <w:rsid w:val="179477BF"/>
    <w:rsid w:val="17A642FC"/>
    <w:rsid w:val="17AF1790"/>
    <w:rsid w:val="17C4144C"/>
    <w:rsid w:val="183E5870"/>
    <w:rsid w:val="184B19A5"/>
    <w:rsid w:val="186124D8"/>
    <w:rsid w:val="18716A45"/>
    <w:rsid w:val="18B119E3"/>
    <w:rsid w:val="18EF1C44"/>
    <w:rsid w:val="18EF453A"/>
    <w:rsid w:val="197607B7"/>
    <w:rsid w:val="19D379B8"/>
    <w:rsid w:val="19F17E3E"/>
    <w:rsid w:val="1ABF50DC"/>
    <w:rsid w:val="1B021163"/>
    <w:rsid w:val="1B3F32F5"/>
    <w:rsid w:val="1B510CAF"/>
    <w:rsid w:val="1B7202B4"/>
    <w:rsid w:val="1C43747B"/>
    <w:rsid w:val="1C9B3FEC"/>
    <w:rsid w:val="1D8C2775"/>
    <w:rsid w:val="1D9D278F"/>
    <w:rsid w:val="1DD22107"/>
    <w:rsid w:val="1E104084"/>
    <w:rsid w:val="1E4D585F"/>
    <w:rsid w:val="1E5F5409"/>
    <w:rsid w:val="1ED550F9"/>
    <w:rsid w:val="1ED76371"/>
    <w:rsid w:val="1F27526D"/>
    <w:rsid w:val="1F3709E9"/>
    <w:rsid w:val="202A7480"/>
    <w:rsid w:val="20434793"/>
    <w:rsid w:val="206D294E"/>
    <w:rsid w:val="208B1A85"/>
    <w:rsid w:val="214E3302"/>
    <w:rsid w:val="2192709C"/>
    <w:rsid w:val="2197260C"/>
    <w:rsid w:val="21D03BB1"/>
    <w:rsid w:val="2253241E"/>
    <w:rsid w:val="22695E91"/>
    <w:rsid w:val="229964AE"/>
    <w:rsid w:val="22DF6CC5"/>
    <w:rsid w:val="234C4093"/>
    <w:rsid w:val="23C67702"/>
    <w:rsid w:val="23CD191B"/>
    <w:rsid w:val="23D84F54"/>
    <w:rsid w:val="24133E46"/>
    <w:rsid w:val="2422073E"/>
    <w:rsid w:val="24A7216D"/>
    <w:rsid w:val="24F609FE"/>
    <w:rsid w:val="25382679"/>
    <w:rsid w:val="25617EC4"/>
    <w:rsid w:val="25756AF1"/>
    <w:rsid w:val="259F4411"/>
    <w:rsid w:val="260919DB"/>
    <w:rsid w:val="260E68C5"/>
    <w:rsid w:val="2666382A"/>
    <w:rsid w:val="26A01D9E"/>
    <w:rsid w:val="26A767A0"/>
    <w:rsid w:val="26CA3EF0"/>
    <w:rsid w:val="270A0791"/>
    <w:rsid w:val="27830217"/>
    <w:rsid w:val="27E773DC"/>
    <w:rsid w:val="27E816DE"/>
    <w:rsid w:val="28057011"/>
    <w:rsid w:val="281D20AE"/>
    <w:rsid w:val="288F180D"/>
    <w:rsid w:val="2897327F"/>
    <w:rsid w:val="28EB4821"/>
    <w:rsid w:val="296323DA"/>
    <w:rsid w:val="298119FB"/>
    <w:rsid w:val="29FF6658"/>
    <w:rsid w:val="2A035C0F"/>
    <w:rsid w:val="2A07529F"/>
    <w:rsid w:val="2A7F3AA7"/>
    <w:rsid w:val="2A7F4FF2"/>
    <w:rsid w:val="2A802316"/>
    <w:rsid w:val="2A98390F"/>
    <w:rsid w:val="2AC125A0"/>
    <w:rsid w:val="2AF46079"/>
    <w:rsid w:val="2B1A4477"/>
    <w:rsid w:val="2B2B08D1"/>
    <w:rsid w:val="2B3526DC"/>
    <w:rsid w:val="2B8A6344"/>
    <w:rsid w:val="2BC36BC0"/>
    <w:rsid w:val="2BF22772"/>
    <w:rsid w:val="2C371498"/>
    <w:rsid w:val="2CD40F8E"/>
    <w:rsid w:val="2CE50B3E"/>
    <w:rsid w:val="2D0210EE"/>
    <w:rsid w:val="2D281971"/>
    <w:rsid w:val="2D3B1EFF"/>
    <w:rsid w:val="2D5E62BB"/>
    <w:rsid w:val="2DA10A3B"/>
    <w:rsid w:val="2DAF0D8D"/>
    <w:rsid w:val="2DED4672"/>
    <w:rsid w:val="2E240431"/>
    <w:rsid w:val="2E344345"/>
    <w:rsid w:val="2E787B9C"/>
    <w:rsid w:val="2E836190"/>
    <w:rsid w:val="2EA81A19"/>
    <w:rsid w:val="2EB448B9"/>
    <w:rsid w:val="2EEE4EB1"/>
    <w:rsid w:val="2F3027F3"/>
    <w:rsid w:val="2F48647A"/>
    <w:rsid w:val="2FB67708"/>
    <w:rsid w:val="30186369"/>
    <w:rsid w:val="30356208"/>
    <w:rsid w:val="305217CE"/>
    <w:rsid w:val="305F7D9F"/>
    <w:rsid w:val="30605C55"/>
    <w:rsid w:val="30722B50"/>
    <w:rsid w:val="3085145D"/>
    <w:rsid w:val="30B618BA"/>
    <w:rsid w:val="30CF742D"/>
    <w:rsid w:val="30F5600E"/>
    <w:rsid w:val="316C2692"/>
    <w:rsid w:val="31A00082"/>
    <w:rsid w:val="31B269C9"/>
    <w:rsid w:val="31E37A53"/>
    <w:rsid w:val="31E55EFB"/>
    <w:rsid w:val="31F8303C"/>
    <w:rsid w:val="32064453"/>
    <w:rsid w:val="32236BAB"/>
    <w:rsid w:val="32311E8E"/>
    <w:rsid w:val="324803BF"/>
    <w:rsid w:val="32676A97"/>
    <w:rsid w:val="328C4C5E"/>
    <w:rsid w:val="329830F5"/>
    <w:rsid w:val="32AE72E8"/>
    <w:rsid w:val="333975A3"/>
    <w:rsid w:val="33725452"/>
    <w:rsid w:val="34303482"/>
    <w:rsid w:val="343C769C"/>
    <w:rsid w:val="347D5A2D"/>
    <w:rsid w:val="34B403E6"/>
    <w:rsid w:val="35094D00"/>
    <w:rsid w:val="352555B8"/>
    <w:rsid w:val="355C72C0"/>
    <w:rsid w:val="35717AB5"/>
    <w:rsid w:val="35774080"/>
    <w:rsid w:val="35E50CBE"/>
    <w:rsid w:val="368B7902"/>
    <w:rsid w:val="37217B5C"/>
    <w:rsid w:val="374960B1"/>
    <w:rsid w:val="37904CE2"/>
    <w:rsid w:val="37D24495"/>
    <w:rsid w:val="38451629"/>
    <w:rsid w:val="38644903"/>
    <w:rsid w:val="388116C6"/>
    <w:rsid w:val="38A10558"/>
    <w:rsid w:val="39033292"/>
    <w:rsid w:val="39265530"/>
    <w:rsid w:val="39A805A1"/>
    <w:rsid w:val="39C77C7F"/>
    <w:rsid w:val="3A4863E1"/>
    <w:rsid w:val="3A4F55C1"/>
    <w:rsid w:val="3A886828"/>
    <w:rsid w:val="3AA502EC"/>
    <w:rsid w:val="3AAC5FCE"/>
    <w:rsid w:val="3B7641EF"/>
    <w:rsid w:val="3B8D23D3"/>
    <w:rsid w:val="3B951034"/>
    <w:rsid w:val="3BBA18A3"/>
    <w:rsid w:val="3BBD335B"/>
    <w:rsid w:val="3BF0605D"/>
    <w:rsid w:val="3C011D0B"/>
    <w:rsid w:val="3C065573"/>
    <w:rsid w:val="3C6E48B6"/>
    <w:rsid w:val="3CCD6091"/>
    <w:rsid w:val="3D5506C8"/>
    <w:rsid w:val="3D642BB9"/>
    <w:rsid w:val="3D7F363E"/>
    <w:rsid w:val="3DC716E0"/>
    <w:rsid w:val="3E3417F7"/>
    <w:rsid w:val="3E3964FC"/>
    <w:rsid w:val="3E632329"/>
    <w:rsid w:val="3EBE49AB"/>
    <w:rsid w:val="3EC62D97"/>
    <w:rsid w:val="3EF029C7"/>
    <w:rsid w:val="3EF47905"/>
    <w:rsid w:val="3F214599"/>
    <w:rsid w:val="3F544847"/>
    <w:rsid w:val="3F703557"/>
    <w:rsid w:val="3F772C19"/>
    <w:rsid w:val="3F8E15BB"/>
    <w:rsid w:val="3F964E60"/>
    <w:rsid w:val="405D597D"/>
    <w:rsid w:val="408A1289"/>
    <w:rsid w:val="40C63523"/>
    <w:rsid w:val="40CE0096"/>
    <w:rsid w:val="40FB76BD"/>
    <w:rsid w:val="410B6EC2"/>
    <w:rsid w:val="410C5EB7"/>
    <w:rsid w:val="41A82C28"/>
    <w:rsid w:val="41D81870"/>
    <w:rsid w:val="42DC1A5A"/>
    <w:rsid w:val="42DC38B0"/>
    <w:rsid w:val="42F62490"/>
    <w:rsid w:val="434E4456"/>
    <w:rsid w:val="43536C9F"/>
    <w:rsid w:val="43C55D14"/>
    <w:rsid w:val="440305EA"/>
    <w:rsid w:val="449B01B0"/>
    <w:rsid w:val="44BA6EFA"/>
    <w:rsid w:val="44E62D24"/>
    <w:rsid w:val="450776CB"/>
    <w:rsid w:val="451B3DEB"/>
    <w:rsid w:val="45681451"/>
    <w:rsid w:val="4584426D"/>
    <w:rsid w:val="46143F9D"/>
    <w:rsid w:val="462A1FD9"/>
    <w:rsid w:val="46394CD7"/>
    <w:rsid w:val="465B3A26"/>
    <w:rsid w:val="465E6184"/>
    <w:rsid w:val="467B2B21"/>
    <w:rsid w:val="46D1611D"/>
    <w:rsid w:val="46F90822"/>
    <w:rsid w:val="47FB034C"/>
    <w:rsid w:val="48040875"/>
    <w:rsid w:val="48716873"/>
    <w:rsid w:val="48AB014D"/>
    <w:rsid w:val="48BD2096"/>
    <w:rsid w:val="48D84975"/>
    <w:rsid w:val="4904420B"/>
    <w:rsid w:val="4924676D"/>
    <w:rsid w:val="492D7640"/>
    <w:rsid w:val="494E2307"/>
    <w:rsid w:val="4990494A"/>
    <w:rsid w:val="49A52127"/>
    <w:rsid w:val="49B55413"/>
    <w:rsid w:val="49C50B1F"/>
    <w:rsid w:val="49CD28D6"/>
    <w:rsid w:val="4A0F205E"/>
    <w:rsid w:val="4A3278ED"/>
    <w:rsid w:val="4A510BD5"/>
    <w:rsid w:val="4A8D64D5"/>
    <w:rsid w:val="4A995804"/>
    <w:rsid w:val="4AA86F6B"/>
    <w:rsid w:val="4AC22FAD"/>
    <w:rsid w:val="4AC35E9F"/>
    <w:rsid w:val="4AD01DCF"/>
    <w:rsid w:val="4AF710A0"/>
    <w:rsid w:val="4B032F9E"/>
    <w:rsid w:val="4B0F16FB"/>
    <w:rsid w:val="4B247EF5"/>
    <w:rsid w:val="4B516B3C"/>
    <w:rsid w:val="4B5B6F9D"/>
    <w:rsid w:val="4B6B71A0"/>
    <w:rsid w:val="4B726781"/>
    <w:rsid w:val="4B777734"/>
    <w:rsid w:val="4C726AD6"/>
    <w:rsid w:val="4C794591"/>
    <w:rsid w:val="4C961209"/>
    <w:rsid w:val="4C9F13C1"/>
    <w:rsid w:val="4CB269E8"/>
    <w:rsid w:val="4CF8089B"/>
    <w:rsid w:val="4D4203D5"/>
    <w:rsid w:val="4DBD2832"/>
    <w:rsid w:val="4E041C1D"/>
    <w:rsid w:val="4E051930"/>
    <w:rsid w:val="4E0833CC"/>
    <w:rsid w:val="4E113D5D"/>
    <w:rsid w:val="4E1B79E0"/>
    <w:rsid w:val="4E593A09"/>
    <w:rsid w:val="4E683099"/>
    <w:rsid w:val="4E8F6B96"/>
    <w:rsid w:val="4E9E0B9A"/>
    <w:rsid w:val="4EBB043F"/>
    <w:rsid w:val="4EE24A83"/>
    <w:rsid w:val="4F03302D"/>
    <w:rsid w:val="4F520F58"/>
    <w:rsid w:val="4FB74C17"/>
    <w:rsid w:val="4FF06A6D"/>
    <w:rsid w:val="502F05EA"/>
    <w:rsid w:val="50337B90"/>
    <w:rsid w:val="50614A79"/>
    <w:rsid w:val="50B80D64"/>
    <w:rsid w:val="50C51101"/>
    <w:rsid w:val="50D842A6"/>
    <w:rsid w:val="51004E1E"/>
    <w:rsid w:val="511278FC"/>
    <w:rsid w:val="51273B6A"/>
    <w:rsid w:val="512F5DA1"/>
    <w:rsid w:val="51310847"/>
    <w:rsid w:val="51B318A1"/>
    <w:rsid w:val="51E03BB8"/>
    <w:rsid w:val="51F56F1E"/>
    <w:rsid w:val="5256349A"/>
    <w:rsid w:val="526C0D01"/>
    <w:rsid w:val="52721973"/>
    <w:rsid w:val="527F3E80"/>
    <w:rsid w:val="52CB6280"/>
    <w:rsid w:val="52D00DA0"/>
    <w:rsid w:val="538738D5"/>
    <w:rsid w:val="53A227CC"/>
    <w:rsid w:val="53C42F73"/>
    <w:rsid w:val="53D33B35"/>
    <w:rsid w:val="54540B5A"/>
    <w:rsid w:val="545A3D0D"/>
    <w:rsid w:val="546C2ABA"/>
    <w:rsid w:val="547A48F8"/>
    <w:rsid w:val="54815C87"/>
    <w:rsid w:val="54837EFF"/>
    <w:rsid w:val="549F7427"/>
    <w:rsid w:val="54A008D9"/>
    <w:rsid w:val="54BB3939"/>
    <w:rsid w:val="54E0475B"/>
    <w:rsid w:val="5560764A"/>
    <w:rsid w:val="55C0121A"/>
    <w:rsid w:val="55CA28D3"/>
    <w:rsid w:val="564C4D49"/>
    <w:rsid w:val="5650715F"/>
    <w:rsid w:val="565E2A5A"/>
    <w:rsid w:val="567A0463"/>
    <w:rsid w:val="56DF416F"/>
    <w:rsid w:val="57083694"/>
    <w:rsid w:val="57190436"/>
    <w:rsid w:val="571A664A"/>
    <w:rsid w:val="5780462C"/>
    <w:rsid w:val="57A27537"/>
    <w:rsid w:val="57B179A7"/>
    <w:rsid w:val="57B679F5"/>
    <w:rsid w:val="57B75650"/>
    <w:rsid w:val="57DA7B88"/>
    <w:rsid w:val="580E1093"/>
    <w:rsid w:val="58162482"/>
    <w:rsid w:val="583D3506"/>
    <w:rsid w:val="583E0D65"/>
    <w:rsid w:val="58A65CBC"/>
    <w:rsid w:val="58B81D52"/>
    <w:rsid w:val="58F06746"/>
    <w:rsid w:val="5991071A"/>
    <w:rsid w:val="59B4380F"/>
    <w:rsid w:val="59BE5DFE"/>
    <w:rsid w:val="59CC1752"/>
    <w:rsid w:val="5A280527"/>
    <w:rsid w:val="5A5A5B18"/>
    <w:rsid w:val="5A74608B"/>
    <w:rsid w:val="5AD85ED5"/>
    <w:rsid w:val="5B4D241F"/>
    <w:rsid w:val="5B546995"/>
    <w:rsid w:val="5B5F03A4"/>
    <w:rsid w:val="5B7B718A"/>
    <w:rsid w:val="5B7D1277"/>
    <w:rsid w:val="5BDF65B7"/>
    <w:rsid w:val="5C2F7D76"/>
    <w:rsid w:val="5C3A1707"/>
    <w:rsid w:val="5C553C81"/>
    <w:rsid w:val="5C932DFC"/>
    <w:rsid w:val="5CB854AD"/>
    <w:rsid w:val="5CF872D7"/>
    <w:rsid w:val="5D162888"/>
    <w:rsid w:val="5D5D3F36"/>
    <w:rsid w:val="5D736234"/>
    <w:rsid w:val="5D887D72"/>
    <w:rsid w:val="5DD106E8"/>
    <w:rsid w:val="5E3C677A"/>
    <w:rsid w:val="5E6A32E8"/>
    <w:rsid w:val="5EC727A1"/>
    <w:rsid w:val="5EF470AA"/>
    <w:rsid w:val="5F083A13"/>
    <w:rsid w:val="5F096889"/>
    <w:rsid w:val="5F1012A7"/>
    <w:rsid w:val="5F116103"/>
    <w:rsid w:val="5F303A4B"/>
    <w:rsid w:val="5F5F5DC9"/>
    <w:rsid w:val="5F893C41"/>
    <w:rsid w:val="5F9737AE"/>
    <w:rsid w:val="5FEB0458"/>
    <w:rsid w:val="6040138E"/>
    <w:rsid w:val="604A7346"/>
    <w:rsid w:val="60522732"/>
    <w:rsid w:val="60A800F7"/>
    <w:rsid w:val="60C11232"/>
    <w:rsid w:val="60E455D3"/>
    <w:rsid w:val="60F66071"/>
    <w:rsid w:val="61072655"/>
    <w:rsid w:val="610A7B6D"/>
    <w:rsid w:val="61135EB8"/>
    <w:rsid w:val="61514066"/>
    <w:rsid w:val="617B2346"/>
    <w:rsid w:val="6210274A"/>
    <w:rsid w:val="621F4EEB"/>
    <w:rsid w:val="62326812"/>
    <w:rsid w:val="62C2474D"/>
    <w:rsid w:val="62F42177"/>
    <w:rsid w:val="62FB09B2"/>
    <w:rsid w:val="633A51C7"/>
    <w:rsid w:val="63A43F6B"/>
    <w:rsid w:val="63C90C67"/>
    <w:rsid w:val="63D12450"/>
    <w:rsid w:val="63FA34D7"/>
    <w:rsid w:val="647A0C77"/>
    <w:rsid w:val="64BE7E65"/>
    <w:rsid w:val="64DD0462"/>
    <w:rsid w:val="64F97173"/>
    <w:rsid w:val="651271CF"/>
    <w:rsid w:val="654A01C2"/>
    <w:rsid w:val="654D1C37"/>
    <w:rsid w:val="65861F4D"/>
    <w:rsid w:val="65CF2DD9"/>
    <w:rsid w:val="65E73470"/>
    <w:rsid w:val="661A55F3"/>
    <w:rsid w:val="661C136B"/>
    <w:rsid w:val="666417A9"/>
    <w:rsid w:val="66D7118B"/>
    <w:rsid w:val="670153EA"/>
    <w:rsid w:val="672D7BFA"/>
    <w:rsid w:val="67445CC9"/>
    <w:rsid w:val="679D1A32"/>
    <w:rsid w:val="68003871"/>
    <w:rsid w:val="680F0CB0"/>
    <w:rsid w:val="68120165"/>
    <w:rsid w:val="689229C2"/>
    <w:rsid w:val="689773CF"/>
    <w:rsid w:val="68996CA3"/>
    <w:rsid w:val="68C225DB"/>
    <w:rsid w:val="68F76985"/>
    <w:rsid w:val="68FC5484"/>
    <w:rsid w:val="696A6892"/>
    <w:rsid w:val="6972588E"/>
    <w:rsid w:val="69B248BD"/>
    <w:rsid w:val="69D837FB"/>
    <w:rsid w:val="69D925C6"/>
    <w:rsid w:val="69EC374B"/>
    <w:rsid w:val="6A0729DE"/>
    <w:rsid w:val="6A3477A2"/>
    <w:rsid w:val="6A3550F2"/>
    <w:rsid w:val="6AB27B01"/>
    <w:rsid w:val="6ACB4C3A"/>
    <w:rsid w:val="6B39651C"/>
    <w:rsid w:val="6B783AC7"/>
    <w:rsid w:val="6BF5724D"/>
    <w:rsid w:val="6C7D46E4"/>
    <w:rsid w:val="6C82307D"/>
    <w:rsid w:val="6CCF4444"/>
    <w:rsid w:val="6D42549E"/>
    <w:rsid w:val="6D552CCB"/>
    <w:rsid w:val="6D912977"/>
    <w:rsid w:val="6DAD3847"/>
    <w:rsid w:val="6DDD4DB2"/>
    <w:rsid w:val="6E110E0B"/>
    <w:rsid w:val="6F0A4AFF"/>
    <w:rsid w:val="6FA21D4D"/>
    <w:rsid w:val="6FAA5C3A"/>
    <w:rsid w:val="6FDB1738"/>
    <w:rsid w:val="701337DF"/>
    <w:rsid w:val="701C7146"/>
    <w:rsid w:val="705B0CE2"/>
    <w:rsid w:val="70932A49"/>
    <w:rsid w:val="70BA5135"/>
    <w:rsid w:val="70BB632F"/>
    <w:rsid w:val="70C77290"/>
    <w:rsid w:val="70D73DD0"/>
    <w:rsid w:val="719A62E4"/>
    <w:rsid w:val="71A72191"/>
    <w:rsid w:val="71CD12A1"/>
    <w:rsid w:val="72616143"/>
    <w:rsid w:val="72831B95"/>
    <w:rsid w:val="72B23824"/>
    <w:rsid w:val="72C4257E"/>
    <w:rsid w:val="72EC2741"/>
    <w:rsid w:val="7316407C"/>
    <w:rsid w:val="738D5656"/>
    <w:rsid w:val="73AC23C4"/>
    <w:rsid w:val="73B82F07"/>
    <w:rsid w:val="73D200DF"/>
    <w:rsid w:val="73E060CE"/>
    <w:rsid w:val="744E5315"/>
    <w:rsid w:val="74785532"/>
    <w:rsid w:val="74AB7BFE"/>
    <w:rsid w:val="74D30328"/>
    <w:rsid w:val="7549615C"/>
    <w:rsid w:val="75A16188"/>
    <w:rsid w:val="75A35605"/>
    <w:rsid w:val="75C86896"/>
    <w:rsid w:val="75E014A5"/>
    <w:rsid w:val="761B163F"/>
    <w:rsid w:val="76797803"/>
    <w:rsid w:val="76A10022"/>
    <w:rsid w:val="76D31F1A"/>
    <w:rsid w:val="76E40701"/>
    <w:rsid w:val="771D62BE"/>
    <w:rsid w:val="773A7DCA"/>
    <w:rsid w:val="7748155D"/>
    <w:rsid w:val="7748162D"/>
    <w:rsid w:val="77AE10DA"/>
    <w:rsid w:val="77F82B83"/>
    <w:rsid w:val="782328A9"/>
    <w:rsid w:val="78905E93"/>
    <w:rsid w:val="78DD0B6C"/>
    <w:rsid w:val="78E83977"/>
    <w:rsid w:val="7956608B"/>
    <w:rsid w:val="797E4994"/>
    <w:rsid w:val="79B4549D"/>
    <w:rsid w:val="79C30024"/>
    <w:rsid w:val="7A007088"/>
    <w:rsid w:val="7A1B67EB"/>
    <w:rsid w:val="7A244047"/>
    <w:rsid w:val="7A7E137E"/>
    <w:rsid w:val="7A9B7C07"/>
    <w:rsid w:val="7AAB073C"/>
    <w:rsid w:val="7B533A4D"/>
    <w:rsid w:val="7B9E28B4"/>
    <w:rsid w:val="7BE40725"/>
    <w:rsid w:val="7BE61C6D"/>
    <w:rsid w:val="7C134EFF"/>
    <w:rsid w:val="7C202E82"/>
    <w:rsid w:val="7C8F58D1"/>
    <w:rsid w:val="7CC466D0"/>
    <w:rsid w:val="7D091807"/>
    <w:rsid w:val="7D4A7156"/>
    <w:rsid w:val="7D674FA9"/>
    <w:rsid w:val="7D6F4096"/>
    <w:rsid w:val="7D7B2A93"/>
    <w:rsid w:val="7D9E49DA"/>
    <w:rsid w:val="7DAA4876"/>
    <w:rsid w:val="7E0E2308"/>
    <w:rsid w:val="7E4D599E"/>
    <w:rsid w:val="7E6D7B69"/>
    <w:rsid w:val="7E6E64C7"/>
    <w:rsid w:val="7E740995"/>
    <w:rsid w:val="7EAF6DC9"/>
    <w:rsid w:val="7EC01828"/>
    <w:rsid w:val="7EEC3F0F"/>
    <w:rsid w:val="7F485339"/>
    <w:rsid w:val="7F8B576C"/>
    <w:rsid w:val="7FEF6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0"/>
      <w:sz w:val="32"/>
      <w:szCs w:val="32"/>
    </w:rPr>
  </w:style>
  <w:style w:type="paragraph" w:styleId="6">
    <w:name w:val="heading 3"/>
    <w:basedOn w:val="1"/>
    <w:next w:val="1"/>
    <w:qFormat/>
    <w:uiPriority w:val="0"/>
    <w:pPr>
      <w:keepNext/>
      <w:keepLines/>
      <w:spacing w:before="100" w:beforeLines="0" w:beforeAutospacing="1" w:after="100" w:afterLines="0" w:afterAutospacing="1" w:line="600" w:lineRule="exact"/>
      <w:outlineLvl w:val="2"/>
    </w:pPr>
    <w:rPr>
      <w:bCs/>
      <w:sz w:val="32"/>
      <w:szCs w:val="28"/>
    </w:rPr>
  </w:style>
  <w:style w:type="paragraph" w:styleId="7">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2">
    <w:name w:val="Default Paragraph Font"/>
    <w:link w:val="23"/>
    <w:semiHidden/>
    <w:qFormat/>
    <w:uiPriority w:val="0"/>
    <w:rPr>
      <w:lang w:val="en-US" w:eastAsia="zh-CN" w:bidi="ar-SA"/>
    </w:rPr>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styleId="3">
    <w:name w:val="Body Text 2"/>
    <w:basedOn w:val="1"/>
    <w:qFormat/>
    <w:uiPriority w:val="0"/>
    <w:pPr>
      <w:spacing w:after="120" w:line="480" w:lineRule="auto"/>
    </w:pPr>
    <w:rPr>
      <w:rFonts w:eastAsia="宋体"/>
      <w:sz w:val="21"/>
      <w:szCs w:val="24"/>
    </w:rPr>
  </w:style>
  <w:style w:type="paragraph" w:styleId="8">
    <w:name w:val="toa heading"/>
    <w:basedOn w:val="1"/>
    <w:next w:val="1"/>
    <w:qFormat/>
    <w:uiPriority w:val="0"/>
    <w:pPr>
      <w:spacing w:before="120" w:line="300" w:lineRule="auto"/>
      <w:ind w:firstLine="200" w:firstLineChars="200"/>
    </w:pPr>
    <w:rPr>
      <w:rFonts w:ascii="Arial Unicode MS" w:hAnsi="Arial Unicode MS"/>
      <w:sz w:val="24"/>
    </w:rPr>
  </w:style>
  <w:style w:type="paragraph" w:styleId="9">
    <w:name w:val="Body Text Indent"/>
    <w:basedOn w:val="1"/>
    <w:next w:val="1"/>
    <w:qFormat/>
    <w:uiPriority w:val="0"/>
    <w:pPr>
      <w:spacing w:line="300" w:lineRule="auto"/>
      <w:ind w:firstLine="560" w:firstLineChars="200"/>
    </w:pPr>
    <w:rPr>
      <w:rFonts w:ascii="宋体" w:hAnsi="宋体"/>
      <w:sz w:val="28"/>
      <w:szCs w:val="30"/>
    </w:rPr>
  </w:style>
  <w:style w:type="paragraph" w:styleId="10">
    <w:name w:val="toc 3"/>
    <w:basedOn w:val="1"/>
    <w:next w:val="1"/>
    <w:qFormat/>
    <w:uiPriority w:val="0"/>
    <w:pPr>
      <w:ind w:left="560"/>
      <w:jc w:val="left"/>
    </w:pPr>
    <w:rPr>
      <w:rFonts w:cs="Calibri"/>
      <w:i/>
      <w:iCs/>
      <w:sz w:val="20"/>
      <w:szCs w:val="20"/>
    </w:rPr>
  </w:style>
  <w:style w:type="paragraph" w:styleId="11">
    <w:name w:val="List Bullet 5"/>
    <w:basedOn w:val="1"/>
    <w:qFormat/>
    <w:uiPriority w:val="0"/>
    <w:pPr>
      <w:numPr>
        <w:ilvl w:val="0"/>
        <w:numId w:val="1"/>
      </w:numPr>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296"/>
      </w:tabs>
    </w:pPr>
    <w:rPr>
      <w:rFonts w:ascii="宋体" w:hAnsi="宋体"/>
      <w:b/>
      <w:sz w:val="24"/>
    </w:rPr>
  </w:style>
  <w:style w:type="paragraph" w:styleId="15">
    <w:name w:val="List Continue 4"/>
    <w:basedOn w:val="1"/>
    <w:next w:val="1"/>
    <w:qFormat/>
    <w:uiPriority w:val="0"/>
    <w:pPr>
      <w:widowControl w:val="0"/>
      <w:autoSpaceDE/>
      <w:autoSpaceDN/>
      <w:spacing w:before="0" w:after="120" w:line="360" w:lineRule="auto"/>
      <w:ind w:left="1680" w:firstLine="480"/>
      <w:jc w:val="both"/>
    </w:pPr>
    <w:rPr>
      <w:rFonts w:ascii="宋体" w:eastAsia="宋体"/>
      <w:sz w:val="24"/>
    </w:rPr>
  </w:style>
  <w:style w:type="paragraph" w:styleId="16">
    <w:name w:val="toc 2"/>
    <w:basedOn w:val="1"/>
    <w:next w:val="1"/>
    <w:qFormat/>
    <w:uiPriority w:val="39"/>
    <w:pPr>
      <w:tabs>
        <w:tab w:val="right" w:leader="dot" w:pos="8296"/>
      </w:tabs>
      <w:ind w:left="420" w:leftChars="200"/>
    </w:pPr>
    <w:rPr>
      <w:rFonts w:ascii="仿宋_GB2312" w:eastAsia="仿宋_GB2312"/>
      <w:sz w:val="30"/>
      <w:szCs w:val="30"/>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w:basedOn w:val="2"/>
    <w:next w:val="19"/>
    <w:unhideWhenUsed/>
    <w:qFormat/>
    <w:uiPriority w:val="0"/>
    <w:pPr>
      <w:ind w:firstLine="420"/>
    </w:pPr>
    <w:rPr>
      <w:rFonts w:eastAsia="Times New Roman"/>
    </w:rPr>
  </w:style>
  <w:style w:type="paragraph" w:styleId="19">
    <w:name w:val="Body Text First Indent 2"/>
    <w:basedOn w:val="1"/>
    <w:next w:val="15"/>
    <w:qFormat/>
    <w:uiPriority w:val="0"/>
    <w:pPr>
      <w:spacing w:after="120" w:line="360" w:lineRule="auto"/>
      <w:ind w:left="420" w:leftChars="200"/>
    </w:pPr>
    <w:rPr>
      <w:sz w:val="24"/>
    </w:rPr>
  </w:style>
  <w:style w:type="table" w:styleId="21">
    <w:name w:val="Table Grid"/>
    <w:basedOn w:val="2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正文1 Char Char Char Char"/>
    <w:link w:val="22"/>
    <w:qFormat/>
    <w:uiPriority w:val="0"/>
    <w:pPr>
      <w:spacing w:before="240" w:after="240" w:line="360" w:lineRule="auto"/>
    </w:pPr>
    <w:rPr>
      <w:rFonts w:ascii="Times New Roman" w:hAnsi="Times New Roman" w:eastAsia="宋体" w:cs="Times New Roman"/>
      <w:lang w:val="en-US" w:eastAsia="zh-CN" w:bidi="ar-SA"/>
    </w:rPr>
  </w:style>
  <w:style w:type="paragraph" w:customStyle="1" w:styleId="24">
    <w:name w:val="初步设计正文"/>
    <w:basedOn w:val="1"/>
    <w:qFormat/>
    <w:uiPriority w:val="0"/>
    <w:pPr>
      <w:spacing w:line="500" w:lineRule="exact"/>
      <w:ind w:firstLine="480" w:firstLineChars="200"/>
    </w:pPr>
    <w:rPr>
      <w:rFonts w:ascii="Times New Roman" w:hAnsi="Times New Roman"/>
      <w:sz w:val="24"/>
      <w:szCs w:val="24"/>
    </w:rPr>
  </w:style>
  <w:style w:type="paragraph" w:customStyle="1" w:styleId="25">
    <w:name w:val="p0"/>
    <w:basedOn w:val="1"/>
    <w:qFormat/>
    <w:uiPriority w:val="0"/>
    <w:pPr>
      <w:widowControl/>
      <w:spacing w:line="360" w:lineRule="auto"/>
    </w:pPr>
    <w:rPr>
      <w:kern w:val="0"/>
      <w:sz w:val="24"/>
    </w:rPr>
  </w:style>
  <w:style w:type="paragraph" w:customStyle="1" w:styleId="26">
    <w:name w:val="1  正  文"/>
    <w:qFormat/>
    <w:uiPriority w:val="0"/>
    <w:pPr>
      <w:widowControl w:val="0"/>
      <w:spacing w:line="360" w:lineRule="auto"/>
      <w:ind w:firstLine="493"/>
      <w:jc w:val="both"/>
    </w:pPr>
    <w:rPr>
      <w:rFonts w:ascii="Times New Roman" w:hAnsi="Times New Roman" w:eastAsia="宋体" w:cs="Times New Roman"/>
      <w:color w:val="000000"/>
      <w:sz w:val="24"/>
      <w:szCs w:val="24"/>
      <w:lang w:val="en-US" w:eastAsia="zh-CN" w:bidi="ar-SA"/>
    </w:rPr>
  </w:style>
  <w:style w:type="paragraph" w:customStyle="1" w:styleId="27">
    <w:name w:val="Table Paragraph"/>
    <w:basedOn w:val="1"/>
    <w:qFormat/>
    <w:uiPriority w:val="1"/>
    <w:pPr>
      <w:spacing w:before="89"/>
      <w:jc w:val="center"/>
    </w:pPr>
    <w:rPr>
      <w:rFonts w:ascii="宋体" w:hAnsi="宋体" w:eastAsia="宋体" w:cs="宋体"/>
      <w:lang w:val="zh-CN" w:eastAsia="zh-CN" w:bidi="zh-CN"/>
    </w:rPr>
  </w:style>
  <w:style w:type="character" w:customStyle="1" w:styleId="28">
    <w:name w:val="标题 2 Char Char"/>
    <w:basedOn w:val="22"/>
    <w:qFormat/>
    <w:uiPriority w:val="0"/>
    <w:rPr>
      <w:rFonts w:ascii="黑体" w:eastAsia="宋体"/>
      <w:b/>
      <w:bCs/>
      <w:kern w:val="2"/>
      <w:sz w:val="30"/>
      <w:szCs w:val="30"/>
      <w:lang w:val="en-US" w:eastAsia="zh-CN" w:bidi="ar-SA"/>
    </w:rPr>
  </w:style>
  <w:style w:type="paragraph" w:customStyle="1" w:styleId="29">
    <w:name w:val="表格"/>
    <w:basedOn w:val="1"/>
    <w:qFormat/>
    <w:uiPriority w:val="0"/>
    <w:pPr>
      <w:spacing w:before="60" w:beforeLines="0" w:after="78" w:afterLines="25"/>
      <w:jc w:val="center"/>
    </w:pPr>
    <w:rPr>
      <w:rFonts w:ascii="宋体" w:hAnsi="宋体"/>
      <w:kern w:val="0"/>
      <w:szCs w:val="20"/>
    </w:rPr>
  </w:style>
  <w:style w:type="character" w:customStyle="1" w:styleId="30">
    <w:name w:val="font01"/>
    <w:basedOn w:val="22"/>
    <w:qFormat/>
    <w:uiPriority w:val="0"/>
    <w:rPr>
      <w:rFonts w:ascii="仿宋_GB2312" w:eastAsia="仿宋_GB2312" w:cs="仿宋_GB2312"/>
      <w:color w:val="000000"/>
      <w:sz w:val="18"/>
      <w:szCs w:val="18"/>
      <w:u w:val="none"/>
    </w:rPr>
  </w:style>
  <w:style w:type="character" w:customStyle="1" w:styleId="31">
    <w:name w:val="font61"/>
    <w:basedOn w:val="22"/>
    <w:qFormat/>
    <w:uiPriority w:val="0"/>
    <w:rPr>
      <w:rFonts w:hint="eastAsia" w:ascii="宋体" w:hAnsi="宋体" w:eastAsia="宋体" w:cs="宋体"/>
      <w:color w:val="000000"/>
      <w:sz w:val="18"/>
      <w:szCs w:val="18"/>
      <w:u w:val="none"/>
    </w:rPr>
  </w:style>
  <w:style w:type="character" w:customStyle="1" w:styleId="32">
    <w:name w:val="font31"/>
    <w:basedOn w:val="22"/>
    <w:qFormat/>
    <w:uiPriority w:val="0"/>
    <w:rPr>
      <w:rFonts w:hint="eastAsia" w:ascii="华文仿宋" w:hAnsi="华文仿宋" w:eastAsia="华文仿宋" w:cs="华文仿宋"/>
      <w:color w:val="000000"/>
      <w:sz w:val="18"/>
      <w:szCs w:val="18"/>
      <w:u w:val="none"/>
    </w:rPr>
  </w:style>
  <w:style w:type="character" w:customStyle="1" w:styleId="33">
    <w:name w:val="font41"/>
    <w:basedOn w:val="22"/>
    <w:qFormat/>
    <w:uiPriority w:val="0"/>
    <w:rPr>
      <w:rFonts w:hint="default" w:ascii="Times New Roman" w:hAnsi="Times New Roman" w:cs="Times New Roman"/>
      <w:color w:val="000000"/>
      <w:sz w:val="18"/>
      <w:szCs w:val="18"/>
      <w:u w:val="none"/>
      <w:vertAlign w:val="superscript"/>
    </w:rPr>
  </w:style>
  <w:style w:type="character" w:customStyle="1" w:styleId="34">
    <w:name w:val="font11"/>
    <w:basedOn w:val="22"/>
    <w:qFormat/>
    <w:uiPriority w:val="0"/>
    <w:rPr>
      <w:rFonts w:hint="eastAsia" w:ascii="华文仿宋" w:hAnsi="华文仿宋" w:eastAsia="华文仿宋" w:cs="华文仿宋"/>
      <w:color w:val="000000"/>
      <w:sz w:val="18"/>
      <w:szCs w:val="18"/>
      <w:u w:val="none"/>
    </w:rPr>
  </w:style>
  <w:style w:type="character" w:customStyle="1" w:styleId="35">
    <w:name w:val="font21"/>
    <w:basedOn w:val="22"/>
    <w:qFormat/>
    <w:uiPriority w:val="0"/>
    <w:rPr>
      <w:rFonts w:hint="default" w:ascii="Times New Roman" w:hAnsi="Times New Roman" w:cs="Times New Roman"/>
      <w:color w:val="000000"/>
      <w:sz w:val="18"/>
      <w:szCs w:val="18"/>
      <w:u w:val="none"/>
    </w:rPr>
  </w:style>
  <w:style w:type="character" w:customStyle="1" w:styleId="36">
    <w:name w:val="font51"/>
    <w:basedOn w:val="22"/>
    <w:qFormat/>
    <w:uiPriority w:val="0"/>
    <w:rPr>
      <w:rFonts w:hint="default" w:ascii="Times New Roman" w:hAnsi="Times New Roman" w:cs="Times New Roman"/>
      <w:color w:val="000000"/>
      <w:sz w:val="18"/>
      <w:szCs w:val="18"/>
      <w:u w:val="none"/>
      <w:vertAlign w:val="superscript"/>
    </w:rPr>
  </w:style>
  <w:style w:type="character" w:customStyle="1" w:styleId="37">
    <w:name w:val="font71"/>
    <w:basedOn w:val="22"/>
    <w:qFormat/>
    <w:uiPriority w:val="0"/>
    <w:rPr>
      <w:rFonts w:hint="default" w:ascii="Times New Roman" w:hAnsi="Times New Roman" w:cs="Times New Roman"/>
      <w:color w:val="000000"/>
      <w:sz w:val="18"/>
      <w:szCs w:val="18"/>
      <w:u w:val="none"/>
      <w:vertAlign w:val="superscript"/>
    </w:rPr>
  </w:style>
  <w:style w:type="paragraph" w:customStyle="1" w:styleId="38">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39">
    <w:name w:val="font81"/>
    <w:basedOn w:val="22"/>
    <w:qFormat/>
    <w:uiPriority w:val="0"/>
    <w:rPr>
      <w:rFonts w:hint="eastAsia" w:ascii="宋体" w:hAnsi="宋体" w:eastAsia="宋体" w:cs="宋体"/>
      <w:color w:val="FF0000"/>
      <w:sz w:val="18"/>
      <w:szCs w:val="18"/>
      <w:u w:val="none"/>
    </w:rPr>
  </w:style>
  <w:style w:type="character" w:customStyle="1" w:styleId="40">
    <w:name w:val="font91"/>
    <w:basedOn w:val="22"/>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51650</Words>
  <Characters>62576</Characters>
  <Lines>0</Lines>
  <Paragraphs>0</Paragraphs>
  <TotalTime>5</TotalTime>
  <ScaleCrop>false</ScaleCrop>
  <LinksUpToDate>false</LinksUpToDate>
  <CharactersWithSpaces>65569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2019-11-21T11:04:00Z</dcterms:created>
  <dc:creator>嗨！夏天</dc:creator>
  <cp:lastModifiedBy>Administrator</cp:lastModifiedBy>
  <dcterms:modified xsi:type="dcterms:W3CDTF">2024-04-07T11:22:25Z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A3CF9B4958E74D3DB39FFC8B075270B2</vt:lpwstr>
  </property>
</Properties>
</file>