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黑体" w:cs="Times New Roman"/>
          <w:color w:val="auto"/>
          <w:kern w:val="0"/>
          <w:szCs w:val="21"/>
          <w:highlight w:val="none"/>
        </w:rPr>
      </w:pPr>
    </w:p>
    <w:p>
      <w:pPr>
        <w:jc w:val="center"/>
        <w:rPr>
          <w:rFonts w:hint="default" w:ascii="Times New Roman" w:hAnsi="Times New Roman" w:eastAsia="黑体" w:cs="Times New Roman"/>
          <w:b/>
          <w:color w:val="auto"/>
          <w:sz w:val="52"/>
          <w:szCs w:val="52"/>
          <w:highlight w:val="none"/>
        </w:rPr>
      </w:pPr>
    </w:p>
    <w:p>
      <w:pPr>
        <w:keepNext w:val="0"/>
        <w:keepLines w:val="0"/>
        <w:pageBreakBefore w:val="0"/>
        <w:widowControl w:val="0"/>
        <w:kinsoku/>
        <w:wordWrap/>
        <w:overflowPunct/>
        <w:topLinePunct w:val="0"/>
        <w:autoSpaceDE/>
        <w:autoSpaceDN/>
        <w:bidi w:val="0"/>
        <w:adjustRightInd/>
        <w:snapToGrid/>
        <w:spacing w:line="900" w:lineRule="exact"/>
        <w:jc w:val="center"/>
        <w:textAlignment w:val="auto"/>
        <w:rPr>
          <w:rFonts w:hint="eastAsia" w:ascii="Times New Roman" w:hAnsi="Times New Roman" w:eastAsia="黑体" w:cs="Times New Roman"/>
          <w:b/>
          <w:color w:val="auto"/>
          <w:sz w:val="48"/>
          <w:szCs w:val="48"/>
          <w:highlight w:val="none"/>
          <w:lang w:val="en-US" w:eastAsia="zh-CN"/>
        </w:rPr>
      </w:pPr>
      <w:r>
        <w:rPr>
          <w:rFonts w:hint="eastAsia" w:ascii="Times New Roman" w:hAnsi="Times New Roman" w:eastAsia="黑体" w:cs="Times New Roman"/>
          <w:b/>
          <w:color w:val="auto"/>
          <w:sz w:val="48"/>
          <w:szCs w:val="48"/>
          <w:highlight w:val="none"/>
          <w:lang w:val="en-US" w:eastAsia="zh-CN"/>
        </w:rPr>
        <w:t>G219线岳普湖-英吉沙公路建设项目</w:t>
      </w:r>
    </w:p>
    <w:p>
      <w:pPr>
        <w:keepNext w:val="0"/>
        <w:keepLines w:val="0"/>
        <w:pageBreakBefore w:val="0"/>
        <w:widowControl w:val="0"/>
        <w:kinsoku/>
        <w:wordWrap/>
        <w:overflowPunct/>
        <w:topLinePunct w:val="0"/>
        <w:autoSpaceDE/>
        <w:autoSpaceDN/>
        <w:bidi w:val="0"/>
        <w:adjustRightInd/>
        <w:snapToGrid/>
        <w:spacing w:line="900" w:lineRule="exact"/>
        <w:jc w:val="center"/>
        <w:textAlignment w:val="auto"/>
        <w:rPr>
          <w:rFonts w:hint="default" w:ascii="Times New Roman" w:hAnsi="Times New Roman" w:eastAsia="黑体" w:cs="Times New Roman"/>
          <w:b/>
          <w:color w:val="auto"/>
          <w:sz w:val="48"/>
          <w:szCs w:val="48"/>
          <w:highlight w:val="none"/>
        </w:rPr>
      </w:pPr>
      <w:r>
        <w:rPr>
          <w:rFonts w:hint="eastAsia" w:ascii="Times New Roman" w:hAnsi="Times New Roman" w:eastAsia="黑体" w:cs="Times New Roman"/>
          <w:b/>
          <w:color w:val="auto"/>
          <w:sz w:val="48"/>
          <w:szCs w:val="48"/>
          <w:highlight w:val="none"/>
          <w:lang w:val="en-US" w:eastAsia="zh-CN"/>
        </w:rPr>
        <w:t>疏勒段施工便道土地复垦方案编制成果</w:t>
      </w:r>
    </w:p>
    <w:p>
      <w:pPr>
        <w:ind w:firstLine="199" w:firstLineChars="45"/>
        <w:rPr>
          <w:rFonts w:hint="default" w:ascii="Times New Roman" w:hAnsi="Times New Roman" w:cs="Times New Roman"/>
          <w:b/>
          <w:color w:val="auto"/>
          <w:sz w:val="44"/>
          <w:szCs w:val="44"/>
          <w:highlight w:val="none"/>
        </w:rPr>
      </w:pPr>
    </w:p>
    <w:p>
      <w:pPr>
        <w:autoSpaceDE w:val="0"/>
        <w:autoSpaceDN w:val="0"/>
        <w:adjustRightInd w:val="0"/>
        <w:ind w:firstLine="199" w:firstLineChars="66"/>
        <w:rPr>
          <w:rFonts w:hint="default" w:ascii="Times New Roman" w:hAnsi="Times New Roman" w:eastAsia="黑体" w:cs="Times New Roman"/>
          <w:b/>
          <w:color w:val="auto"/>
          <w:sz w:val="30"/>
          <w:szCs w:val="30"/>
          <w:highlight w:val="none"/>
          <w:lang w:val="zh-CN"/>
        </w:rPr>
      </w:pPr>
    </w:p>
    <w:p>
      <w:pPr>
        <w:autoSpaceDE w:val="0"/>
        <w:autoSpaceDN w:val="0"/>
        <w:adjustRightInd w:val="0"/>
        <w:ind w:firstLine="199" w:firstLineChars="66"/>
        <w:rPr>
          <w:rFonts w:hint="default" w:ascii="Times New Roman" w:hAnsi="Times New Roman" w:eastAsia="黑体" w:cs="Times New Roman"/>
          <w:b/>
          <w:color w:val="auto"/>
          <w:sz w:val="30"/>
          <w:szCs w:val="30"/>
          <w:highlight w:val="none"/>
          <w:lang w:val="zh-CN"/>
        </w:rPr>
      </w:pPr>
    </w:p>
    <w:p>
      <w:pPr>
        <w:autoSpaceDE w:val="0"/>
        <w:autoSpaceDN w:val="0"/>
        <w:adjustRightInd w:val="0"/>
        <w:ind w:firstLine="199" w:firstLineChars="66"/>
        <w:rPr>
          <w:rFonts w:hint="default" w:ascii="Times New Roman" w:hAnsi="Times New Roman" w:eastAsia="黑体" w:cs="Times New Roman"/>
          <w:b/>
          <w:color w:val="auto"/>
          <w:sz w:val="30"/>
          <w:szCs w:val="30"/>
          <w:highlight w:val="none"/>
          <w:lang w:val="zh-CN"/>
        </w:rPr>
      </w:pPr>
    </w:p>
    <w:p>
      <w:pPr>
        <w:autoSpaceDE w:val="0"/>
        <w:autoSpaceDN w:val="0"/>
        <w:adjustRightInd w:val="0"/>
        <w:ind w:firstLine="199" w:firstLineChars="66"/>
        <w:rPr>
          <w:rFonts w:hint="default" w:ascii="Times New Roman" w:hAnsi="Times New Roman" w:eastAsia="黑体" w:cs="Times New Roman"/>
          <w:b/>
          <w:color w:val="auto"/>
          <w:sz w:val="30"/>
          <w:szCs w:val="30"/>
          <w:highlight w:val="none"/>
          <w:lang w:val="zh-CN"/>
        </w:rPr>
      </w:pPr>
    </w:p>
    <w:p>
      <w:pPr>
        <w:pStyle w:val="2"/>
        <w:rPr>
          <w:rFonts w:hint="default" w:ascii="Times New Roman" w:hAnsi="Times New Roman" w:eastAsia="黑体" w:cs="Times New Roman"/>
          <w:b/>
          <w:color w:val="auto"/>
          <w:sz w:val="30"/>
          <w:szCs w:val="30"/>
          <w:highlight w:val="none"/>
          <w:lang w:val="zh-CN"/>
        </w:rPr>
      </w:pPr>
    </w:p>
    <w:p>
      <w:pPr>
        <w:pStyle w:val="2"/>
        <w:rPr>
          <w:rFonts w:hint="default" w:ascii="Times New Roman" w:hAnsi="Times New Roman" w:eastAsia="黑体" w:cs="Times New Roman"/>
          <w:b/>
          <w:color w:val="auto"/>
          <w:sz w:val="30"/>
          <w:szCs w:val="30"/>
          <w:highlight w:val="none"/>
          <w:lang w:val="zh-CN"/>
        </w:rPr>
      </w:pPr>
    </w:p>
    <w:p>
      <w:pPr>
        <w:pStyle w:val="2"/>
        <w:rPr>
          <w:rFonts w:hint="default" w:ascii="Times New Roman" w:hAnsi="Times New Roman" w:eastAsia="黑体" w:cs="Times New Roman"/>
          <w:b/>
          <w:color w:val="auto"/>
          <w:sz w:val="30"/>
          <w:szCs w:val="30"/>
          <w:highlight w:val="none"/>
          <w:lang w:val="zh-CN"/>
        </w:rPr>
      </w:pPr>
    </w:p>
    <w:p>
      <w:pPr>
        <w:pStyle w:val="2"/>
        <w:rPr>
          <w:rFonts w:hint="default" w:ascii="Times New Roman" w:hAnsi="Times New Roman" w:eastAsia="黑体" w:cs="Times New Roman"/>
          <w:b/>
          <w:color w:val="auto"/>
          <w:sz w:val="30"/>
          <w:szCs w:val="30"/>
          <w:highlight w:val="none"/>
          <w:lang w:val="zh-CN"/>
        </w:rPr>
      </w:pPr>
    </w:p>
    <w:p>
      <w:pPr>
        <w:autoSpaceDE w:val="0"/>
        <w:autoSpaceDN w:val="0"/>
        <w:adjustRightInd w:val="0"/>
        <w:ind w:firstLine="199" w:firstLineChars="66"/>
        <w:rPr>
          <w:rFonts w:hint="default" w:ascii="Times New Roman" w:hAnsi="Times New Roman" w:eastAsia="黑体" w:cs="Times New Roman"/>
          <w:b/>
          <w:color w:val="auto"/>
          <w:sz w:val="30"/>
          <w:szCs w:val="30"/>
          <w:highlight w:val="none"/>
          <w:lang w:val="zh-CN"/>
        </w:rPr>
      </w:pPr>
    </w:p>
    <w:p>
      <w:pPr>
        <w:autoSpaceDE w:val="0"/>
        <w:autoSpaceDN w:val="0"/>
        <w:adjustRightInd w:val="0"/>
        <w:ind w:firstLine="199" w:firstLineChars="66"/>
        <w:rPr>
          <w:rFonts w:hint="default" w:ascii="Times New Roman" w:hAnsi="Times New Roman" w:eastAsia="黑体" w:cs="Times New Roman"/>
          <w:b/>
          <w:color w:val="auto"/>
          <w:sz w:val="30"/>
          <w:szCs w:val="30"/>
          <w:highlight w:val="none"/>
          <w:lang w:val="zh-CN"/>
        </w:rPr>
      </w:pPr>
    </w:p>
    <w:p>
      <w:pPr>
        <w:spacing w:line="520" w:lineRule="exact"/>
        <w:ind w:firstLine="606" w:firstLineChars="200"/>
        <w:jc w:val="both"/>
        <w:rPr>
          <w:rFonts w:hint="default" w:ascii="Times New Roman" w:hAnsi="Times New Roman" w:eastAsia="黑体" w:cs="Times New Roman"/>
          <w:color w:val="000000"/>
          <w:sz w:val="30"/>
          <w:szCs w:val="30"/>
          <w:highlight w:val="none"/>
          <w:lang w:eastAsia="zh-CN"/>
        </w:rPr>
      </w:pPr>
      <w:r>
        <w:rPr>
          <w:rFonts w:hint="default" w:ascii="Times New Roman" w:hAnsi="Times New Roman" w:eastAsia="黑体" w:cs="Times New Roman"/>
          <w:color w:val="000000"/>
          <w:sz w:val="30"/>
          <w:szCs w:val="30"/>
          <w:highlight w:val="none"/>
          <w:lang w:eastAsia="zh-CN"/>
        </w:rPr>
        <w:t>项目单位：</w:t>
      </w:r>
      <w:r>
        <w:rPr>
          <w:rFonts w:hint="eastAsia" w:ascii="Times New Roman" w:hAnsi="Times New Roman" w:eastAsia="黑体" w:cs="Times New Roman"/>
          <w:color w:val="000000"/>
          <w:sz w:val="30"/>
          <w:szCs w:val="30"/>
          <w:highlight w:val="none"/>
          <w:lang w:val="en-US" w:eastAsia="zh-CN"/>
        </w:rPr>
        <w:t>新疆路桥南疆工程建设有限公司</w:t>
      </w:r>
    </w:p>
    <w:p>
      <w:pPr>
        <w:spacing w:line="520" w:lineRule="exact"/>
        <w:ind w:firstLine="606" w:firstLineChars="200"/>
        <w:jc w:val="both"/>
        <w:rPr>
          <w:rFonts w:hint="default" w:ascii="Times New Roman" w:hAnsi="Times New Roman" w:eastAsia="黑体" w:cs="Times New Roman"/>
          <w:color w:val="000000"/>
          <w:sz w:val="30"/>
          <w:szCs w:val="30"/>
          <w:highlight w:val="none"/>
          <w:lang w:eastAsia="zh-CN"/>
        </w:rPr>
      </w:pPr>
      <w:r>
        <w:rPr>
          <w:rFonts w:hint="default" w:ascii="Times New Roman" w:hAnsi="Times New Roman" w:eastAsia="黑体" w:cs="Times New Roman"/>
          <w:color w:val="000000"/>
          <w:sz w:val="30"/>
          <w:szCs w:val="30"/>
          <w:highlight w:val="none"/>
          <w:lang w:eastAsia="zh-CN"/>
        </w:rPr>
        <w:t>编制单位：</w:t>
      </w:r>
      <w:r>
        <w:rPr>
          <w:rFonts w:hint="eastAsia" w:ascii="Times New Roman" w:hAnsi="Times New Roman" w:eastAsia="黑体" w:cs="Times New Roman"/>
          <w:color w:val="000000"/>
          <w:sz w:val="30"/>
          <w:szCs w:val="30"/>
          <w:highlight w:val="none"/>
          <w:lang w:eastAsia="zh-CN"/>
        </w:rPr>
        <w:t>新疆智恒技术咨询有限公司</w:t>
      </w:r>
    </w:p>
    <w:p>
      <w:pPr>
        <w:spacing w:line="520" w:lineRule="exact"/>
        <w:ind w:firstLine="606" w:firstLineChars="200"/>
        <w:jc w:val="both"/>
        <w:rPr>
          <w:rFonts w:hint="default" w:ascii="Times New Roman" w:hAnsi="Times New Roman" w:eastAsia="黑体" w:cs="Times New Roman"/>
          <w:color w:val="000000"/>
          <w:sz w:val="30"/>
          <w:szCs w:val="30"/>
          <w:highlight w:val="none"/>
          <w:lang w:eastAsia="zh-CN"/>
        </w:rPr>
      </w:pPr>
      <w:r>
        <w:rPr>
          <w:rFonts w:hint="default" w:ascii="Times New Roman" w:hAnsi="Times New Roman" w:eastAsia="黑体" w:cs="Times New Roman"/>
          <w:color w:val="000000"/>
          <w:sz w:val="30"/>
          <w:szCs w:val="30"/>
          <w:highlight w:val="none"/>
          <w:lang w:val="en-US" w:eastAsia="zh-CN"/>
        </w:rPr>
        <w:t>编制时间：</w:t>
      </w:r>
      <w:r>
        <w:rPr>
          <w:rFonts w:hint="default" w:ascii="Times New Roman" w:hAnsi="Times New Roman" w:eastAsia="黑体" w:cs="Times New Roman"/>
          <w:color w:val="000000"/>
          <w:sz w:val="30"/>
          <w:szCs w:val="30"/>
          <w:highlight w:val="none"/>
          <w:lang w:eastAsia="zh-CN"/>
        </w:rPr>
        <w:t>二〇二</w:t>
      </w:r>
      <w:r>
        <w:rPr>
          <w:rFonts w:hint="default" w:ascii="Times New Roman" w:hAnsi="Times New Roman" w:eastAsia="黑体" w:cs="Times New Roman"/>
          <w:color w:val="000000"/>
          <w:sz w:val="30"/>
          <w:szCs w:val="30"/>
          <w:highlight w:val="none"/>
          <w:lang w:val="en-US" w:eastAsia="zh-CN"/>
        </w:rPr>
        <w:t>四</w:t>
      </w:r>
      <w:r>
        <w:rPr>
          <w:rFonts w:hint="default" w:ascii="Times New Roman" w:hAnsi="Times New Roman" w:eastAsia="黑体" w:cs="Times New Roman"/>
          <w:color w:val="000000"/>
          <w:sz w:val="30"/>
          <w:szCs w:val="30"/>
          <w:highlight w:val="none"/>
          <w:lang w:eastAsia="zh-CN"/>
        </w:rPr>
        <w:t>年</w:t>
      </w:r>
      <w:r>
        <w:rPr>
          <w:rFonts w:hint="default" w:ascii="Times New Roman" w:hAnsi="Times New Roman" w:eastAsia="黑体" w:cs="Times New Roman"/>
          <w:color w:val="000000"/>
          <w:sz w:val="30"/>
          <w:szCs w:val="30"/>
          <w:highlight w:val="none"/>
          <w:lang w:val="en-US" w:eastAsia="zh-CN"/>
        </w:rPr>
        <w:t>一</w:t>
      </w:r>
      <w:r>
        <w:rPr>
          <w:rFonts w:hint="default" w:ascii="Times New Roman" w:hAnsi="Times New Roman" w:eastAsia="黑体" w:cs="Times New Roman"/>
          <w:color w:val="000000"/>
          <w:sz w:val="30"/>
          <w:szCs w:val="30"/>
          <w:highlight w:val="none"/>
          <w:lang w:eastAsia="zh-CN"/>
        </w:rPr>
        <w:t>月</w:t>
      </w:r>
    </w:p>
    <w:p>
      <w:pPr>
        <w:rPr>
          <w:rFonts w:hint="default" w:ascii="Times New Roman" w:hAnsi="Times New Roman" w:cs="Times New Roman"/>
          <w:highlight w:val="none"/>
        </w:rPr>
      </w:pPr>
      <w:r>
        <w:rPr>
          <w:rFonts w:hint="default" w:ascii="Times New Roman" w:hAnsi="Times New Roman" w:cs="Times New Roman"/>
          <w:highlight w:val="none"/>
        </w:rPr>
        <w:br w:type="page"/>
      </w:r>
    </w:p>
    <w:p>
      <w:pPr>
        <w:adjustRightInd w:val="0"/>
        <w:snapToGrid w:val="0"/>
        <w:spacing w:line="360" w:lineRule="auto"/>
        <w:ind w:firstLine="0" w:firstLineChars="0"/>
        <w:jc w:val="center"/>
        <w:rPr>
          <w:rFonts w:hint="eastAsia" w:ascii="Times New Roman" w:hAnsi="Times New Roman" w:eastAsia="黑体" w:cs="Times New Roman"/>
          <w:b/>
          <w:color w:val="000000"/>
          <w:kern w:val="0"/>
          <w:position w:val="-2"/>
          <w:sz w:val="32"/>
          <w:szCs w:val="32"/>
          <w:highlight w:val="none"/>
          <w:lang w:eastAsia="zh-CN"/>
        </w:rPr>
      </w:pPr>
      <w:bookmarkStart w:id="0" w:name="_Hlk142144495"/>
      <w:r>
        <w:rPr>
          <w:rFonts w:hint="eastAsia" w:ascii="Times New Roman" w:hAnsi="Times New Roman" w:eastAsia="黑体" w:cs="Times New Roman"/>
          <w:b/>
          <w:color w:val="000000"/>
          <w:kern w:val="0"/>
          <w:position w:val="-2"/>
          <w:sz w:val="32"/>
          <w:szCs w:val="32"/>
          <w:highlight w:val="none"/>
          <w:lang w:eastAsia="zh-CN"/>
        </w:rPr>
        <w:t>G219线岳普湖-英吉沙公路建设项目疏勒段施工便道</w:t>
      </w:r>
    </w:p>
    <w:bookmarkEnd w:id="0"/>
    <w:p>
      <w:pPr>
        <w:adjustRightInd w:val="0"/>
        <w:snapToGrid w:val="0"/>
        <w:spacing w:line="360" w:lineRule="auto"/>
        <w:ind w:firstLine="0" w:firstLineChars="0"/>
        <w:jc w:val="center"/>
        <w:rPr>
          <w:rFonts w:hint="eastAsia" w:ascii="Times New Roman" w:hAnsi="Times New Roman" w:eastAsia="黑体" w:cs="Times New Roman"/>
          <w:b/>
          <w:color w:val="000000"/>
          <w:kern w:val="0"/>
          <w:position w:val="-2"/>
          <w:sz w:val="32"/>
          <w:szCs w:val="32"/>
          <w:highlight w:val="none"/>
          <w:lang w:eastAsia="zh-CN"/>
        </w:rPr>
      </w:pPr>
      <w:r>
        <w:rPr>
          <w:rFonts w:hint="eastAsia" w:ascii="Times New Roman" w:hAnsi="Times New Roman" w:eastAsia="黑体" w:cs="Times New Roman"/>
          <w:b/>
          <w:color w:val="000000"/>
          <w:kern w:val="0"/>
          <w:position w:val="-2"/>
          <w:sz w:val="32"/>
          <w:szCs w:val="32"/>
          <w:highlight w:val="none"/>
          <w:lang w:eastAsia="zh-CN"/>
        </w:rPr>
        <w:t>土地复垦方案编制成果</w:t>
      </w:r>
    </w:p>
    <w:p>
      <w:pPr>
        <w:pStyle w:val="4"/>
        <w:keepNext w:val="0"/>
        <w:keepLines w:val="0"/>
        <w:adjustRightInd w:val="0"/>
        <w:snapToGrid w:val="0"/>
        <w:spacing w:before="0" w:after="0" w:line="360" w:lineRule="auto"/>
        <w:ind w:firstLine="570" w:firstLineChars="200"/>
        <w:rPr>
          <w:rFonts w:cs="Times New Roman"/>
          <w:b/>
          <w:bCs w:val="0"/>
          <w:color w:val="000000"/>
          <w:spacing w:val="1"/>
          <w:kern w:val="0"/>
          <w:position w:val="-1"/>
          <w:szCs w:val="30"/>
          <w:highlight w:val="none"/>
        </w:rPr>
      </w:pPr>
      <w:bookmarkStart w:id="1" w:name="_Toc27050"/>
      <w:bookmarkStart w:id="2" w:name="_Toc26555"/>
      <w:bookmarkStart w:id="3" w:name="_Toc10373"/>
      <w:bookmarkStart w:id="4" w:name="_Toc9199"/>
      <w:bookmarkStart w:id="5" w:name="_Toc8045"/>
      <w:r>
        <w:rPr>
          <w:rFonts w:cs="Times New Roman"/>
          <w:b/>
          <w:bCs w:val="0"/>
          <w:color w:val="000000"/>
          <w:spacing w:val="1"/>
          <w:kern w:val="0"/>
          <w:position w:val="-1"/>
          <w:szCs w:val="30"/>
          <w:highlight w:val="none"/>
        </w:rPr>
        <w:t>1 报告</w:t>
      </w:r>
      <w:bookmarkEnd w:id="1"/>
      <w:bookmarkEnd w:id="2"/>
      <w:bookmarkEnd w:id="3"/>
      <w:bookmarkEnd w:id="4"/>
      <w:bookmarkEnd w:id="5"/>
    </w:p>
    <w:p>
      <w:pPr>
        <w:numPr>
          <w:ilvl w:val="0"/>
          <w:numId w:val="1"/>
        </w:numPr>
        <w:adjustRightInd w:val="0"/>
        <w:snapToGrid w:val="0"/>
        <w:spacing w:line="360" w:lineRule="auto"/>
        <w:ind w:firstLine="486" w:firstLineChars="200"/>
        <w:rPr>
          <w:rFonts w:hint="eastAsia" w:ascii="Times New Roman" w:hAnsi="Times New Roman" w:eastAsia="仿宋_GB2312" w:cs="Times New Roman"/>
          <w:kern w:val="0"/>
          <w:sz w:val="24"/>
          <w:szCs w:val="24"/>
          <w:highlight w:val="none"/>
          <w:lang w:eastAsia="zh-CN"/>
        </w:rPr>
      </w:pPr>
      <w:r>
        <w:rPr>
          <w:rFonts w:hint="eastAsia" w:ascii="Times New Roman" w:hAnsi="Times New Roman" w:eastAsia="仿宋_GB2312" w:cs="Times New Roman"/>
          <w:kern w:val="0"/>
          <w:sz w:val="24"/>
          <w:szCs w:val="24"/>
          <w:highlight w:val="none"/>
          <w:lang w:eastAsia="zh-CN"/>
        </w:rPr>
        <w:t>G219线岳普湖-英吉沙公路建设项目疏勒段施工便道土地复垦方案报告书</w:t>
      </w:r>
    </w:p>
    <w:p>
      <w:pPr>
        <w:numPr>
          <w:ilvl w:val="0"/>
          <w:numId w:val="1"/>
        </w:numPr>
        <w:adjustRightInd w:val="0"/>
        <w:snapToGrid w:val="0"/>
        <w:spacing w:line="360" w:lineRule="auto"/>
        <w:ind w:firstLine="486" w:firstLineChars="200"/>
        <w:rPr>
          <w:rFonts w:hint="eastAsia" w:ascii="Times New Roman" w:hAnsi="Times New Roman" w:eastAsia="仿宋_GB2312" w:cs="Times New Roman"/>
          <w:kern w:val="0"/>
          <w:sz w:val="24"/>
          <w:szCs w:val="24"/>
          <w:highlight w:val="none"/>
          <w:lang w:eastAsia="zh-CN"/>
        </w:rPr>
      </w:pPr>
      <w:r>
        <w:rPr>
          <w:rFonts w:hint="eastAsia" w:ascii="Times New Roman" w:hAnsi="Times New Roman" w:eastAsia="仿宋_GB2312" w:cs="Times New Roman"/>
          <w:kern w:val="0"/>
          <w:sz w:val="24"/>
          <w:szCs w:val="24"/>
          <w:highlight w:val="none"/>
          <w:lang w:eastAsia="zh-CN"/>
        </w:rPr>
        <w:t>G219线岳普湖-英吉沙公路建设项目疏勒段施工便道土地复垦方案报告</w:t>
      </w:r>
      <w:r>
        <w:rPr>
          <w:rFonts w:hint="eastAsia" w:ascii="Times New Roman" w:hAnsi="Times New Roman" w:eastAsia="仿宋_GB2312" w:cs="Times New Roman"/>
          <w:kern w:val="0"/>
          <w:sz w:val="24"/>
          <w:szCs w:val="24"/>
          <w:highlight w:val="none"/>
          <w:lang w:val="en-US" w:eastAsia="zh-CN"/>
        </w:rPr>
        <w:t>表</w:t>
      </w:r>
    </w:p>
    <w:p>
      <w:pPr>
        <w:pStyle w:val="4"/>
        <w:keepNext w:val="0"/>
        <w:keepLines w:val="0"/>
        <w:adjustRightInd w:val="0"/>
        <w:snapToGrid w:val="0"/>
        <w:spacing w:before="0" w:after="0" w:line="360" w:lineRule="auto"/>
        <w:ind w:firstLine="570" w:firstLineChars="200"/>
        <w:rPr>
          <w:rFonts w:cs="Times New Roman"/>
          <w:b/>
          <w:bCs w:val="0"/>
          <w:color w:val="000000"/>
          <w:spacing w:val="1"/>
          <w:kern w:val="0"/>
          <w:position w:val="-1"/>
          <w:szCs w:val="30"/>
          <w:highlight w:val="none"/>
        </w:rPr>
      </w:pPr>
      <w:bookmarkStart w:id="6" w:name="_Toc5433"/>
      <w:bookmarkStart w:id="7" w:name="_Toc30982"/>
      <w:bookmarkStart w:id="8" w:name="_Toc30397"/>
      <w:bookmarkStart w:id="9" w:name="_Toc24170"/>
      <w:bookmarkStart w:id="10" w:name="_Toc28990"/>
      <w:bookmarkStart w:id="11" w:name="_Toc22165"/>
      <w:bookmarkStart w:id="12" w:name="_Toc21085"/>
      <w:bookmarkStart w:id="13" w:name="_Toc20002"/>
      <w:r>
        <w:rPr>
          <w:rFonts w:hint="eastAsia" w:cs="Times New Roman"/>
          <w:b/>
          <w:bCs w:val="0"/>
          <w:color w:val="000000"/>
          <w:spacing w:val="1"/>
          <w:kern w:val="0"/>
          <w:position w:val="-1"/>
          <w:szCs w:val="30"/>
          <w:highlight w:val="none"/>
          <w:lang w:val="en-US" w:eastAsia="zh-CN"/>
        </w:rPr>
        <w:t>2</w:t>
      </w:r>
      <w:r>
        <w:rPr>
          <w:rFonts w:cs="Times New Roman"/>
          <w:b/>
          <w:bCs w:val="0"/>
          <w:color w:val="000000"/>
          <w:spacing w:val="1"/>
          <w:kern w:val="0"/>
          <w:position w:val="-1"/>
          <w:szCs w:val="30"/>
          <w:highlight w:val="none"/>
        </w:rPr>
        <w:t>附图</w:t>
      </w:r>
      <w:bookmarkEnd w:id="6"/>
      <w:bookmarkEnd w:id="7"/>
      <w:bookmarkEnd w:id="8"/>
      <w:bookmarkEnd w:id="9"/>
      <w:bookmarkEnd w:id="10"/>
    </w:p>
    <w:p>
      <w:pPr>
        <w:numPr>
          <w:ilvl w:val="0"/>
          <w:numId w:val="2"/>
        </w:numPr>
        <w:adjustRightInd w:val="0"/>
        <w:snapToGrid w:val="0"/>
        <w:spacing w:line="360" w:lineRule="auto"/>
        <w:ind w:firstLine="486" w:firstLineChars="200"/>
        <w:rPr>
          <w:rFonts w:hint="eastAsia" w:ascii="Times New Roman" w:hAnsi="Times New Roman" w:eastAsia="仿宋_GB2312" w:cs="Times New Roman"/>
          <w:kern w:val="0"/>
          <w:sz w:val="24"/>
          <w:szCs w:val="24"/>
          <w:highlight w:val="none"/>
          <w:lang w:eastAsia="zh-CN"/>
        </w:rPr>
      </w:pPr>
      <w:r>
        <w:rPr>
          <w:rFonts w:hint="eastAsia" w:ascii="Times New Roman" w:hAnsi="Times New Roman" w:eastAsia="仿宋_GB2312" w:cs="Times New Roman"/>
          <w:kern w:val="0"/>
          <w:sz w:val="24"/>
          <w:szCs w:val="24"/>
          <w:highlight w:val="none"/>
          <w:lang w:eastAsia="zh-CN"/>
        </w:rPr>
        <w:t>G219线岳普湖-英吉沙公路建设项目疏勒段施工便道土地利用现状图（2022年）；</w:t>
      </w:r>
    </w:p>
    <w:p>
      <w:pPr>
        <w:numPr>
          <w:ilvl w:val="0"/>
          <w:numId w:val="2"/>
        </w:numPr>
        <w:adjustRightInd w:val="0"/>
        <w:snapToGrid w:val="0"/>
        <w:spacing w:line="360" w:lineRule="auto"/>
        <w:ind w:firstLine="486" w:firstLineChars="200"/>
        <w:rPr>
          <w:rFonts w:hint="eastAsia" w:ascii="Times New Roman" w:hAnsi="Times New Roman" w:eastAsia="仿宋_GB2312" w:cs="Times New Roman"/>
          <w:kern w:val="0"/>
          <w:sz w:val="24"/>
          <w:szCs w:val="24"/>
          <w:highlight w:val="none"/>
          <w:lang w:eastAsia="zh-CN"/>
        </w:rPr>
      </w:pPr>
      <w:r>
        <w:rPr>
          <w:rFonts w:hint="eastAsia" w:ascii="Times New Roman" w:hAnsi="Times New Roman" w:eastAsia="仿宋_GB2312" w:cs="Times New Roman"/>
          <w:kern w:val="0"/>
          <w:sz w:val="24"/>
          <w:szCs w:val="24"/>
          <w:highlight w:val="none"/>
          <w:lang w:eastAsia="zh-CN"/>
        </w:rPr>
        <w:t>G219线岳普湖-英吉沙公路建设项目疏勒段施工便道土地损毁预测图；</w:t>
      </w:r>
    </w:p>
    <w:p>
      <w:pPr>
        <w:numPr>
          <w:ilvl w:val="0"/>
          <w:numId w:val="2"/>
        </w:numPr>
        <w:adjustRightInd w:val="0"/>
        <w:snapToGrid w:val="0"/>
        <w:spacing w:line="360" w:lineRule="auto"/>
        <w:ind w:firstLine="486" w:firstLineChars="200"/>
        <w:rPr>
          <w:rFonts w:hint="eastAsia" w:ascii="Times New Roman" w:hAnsi="Times New Roman" w:eastAsia="仿宋_GB2312" w:cs="Times New Roman"/>
          <w:kern w:val="0"/>
          <w:sz w:val="24"/>
          <w:szCs w:val="24"/>
          <w:highlight w:val="none"/>
          <w:lang w:eastAsia="zh-CN"/>
        </w:rPr>
      </w:pPr>
      <w:r>
        <w:rPr>
          <w:rFonts w:hint="eastAsia" w:ascii="Times New Roman" w:hAnsi="Times New Roman" w:eastAsia="仿宋_GB2312" w:cs="Times New Roman"/>
          <w:kern w:val="0"/>
          <w:sz w:val="24"/>
          <w:szCs w:val="24"/>
          <w:highlight w:val="none"/>
          <w:lang w:eastAsia="zh-CN"/>
        </w:rPr>
        <w:t>G219线岳普湖-英吉沙公路建设项目疏勒段施工便道土地复垦规划图。</w:t>
      </w:r>
    </w:p>
    <w:p>
      <w:pPr>
        <w:pStyle w:val="4"/>
        <w:keepNext w:val="0"/>
        <w:keepLines w:val="0"/>
        <w:adjustRightInd w:val="0"/>
        <w:snapToGrid w:val="0"/>
        <w:spacing w:before="0" w:after="0" w:line="360" w:lineRule="auto"/>
        <w:ind w:firstLine="570" w:firstLineChars="200"/>
        <w:rPr>
          <w:rFonts w:cs="Times New Roman"/>
          <w:b/>
          <w:bCs w:val="0"/>
          <w:color w:val="000000"/>
          <w:spacing w:val="1"/>
          <w:kern w:val="0"/>
          <w:position w:val="-1"/>
          <w:szCs w:val="30"/>
          <w:highlight w:val="none"/>
        </w:rPr>
      </w:pPr>
      <w:bookmarkStart w:id="14" w:name="_Toc16348"/>
      <w:bookmarkStart w:id="15" w:name="_Toc21144"/>
      <w:r>
        <w:rPr>
          <w:rFonts w:hint="eastAsia" w:cs="Times New Roman"/>
          <w:b/>
          <w:bCs w:val="0"/>
          <w:color w:val="000000"/>
          <w:spacing w:val="1"/>
          <w:kern w:val="0"/>
          <w:position w:val="-1"/>
          <w:szCs w:val="30"/>
          <w:highlight w:val="none"/>
          <w:lang w:val="en-US" w:eastAsia="zh-CN"/>
        </w:rPr>
        <w:t>3</w:t>
      </w:r>
      <w:r>
        <w:rPr>
          <w:rFonts w:cs="Times New Roman"/>
          <w:b/>
          <w:bCs w:val="0"/>
          <w:color w:val="000000"/>
          <w:spacing w:val="1"/>
          <w:kern w:val="0"/>
          <w:position w:val="-1"/>
          <w:szCs w:val="30"/>
          <w:highlight w:val="none"/>
        </w:rPr>
        <w:t>附件</w:t>
      </w:r>
      <w:bookmarkEnd w:id="11"/>
      <w:bookmarkEnd w:id="12"/>
      <w:bookmarkEnd w:id="13"/>
      <w:bookmarkEnd w:id="14"/>
      <w:bookmarkEnd w:id="15"/>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仿宋" w:cs="Times New Roman"/>
          <w:sz w:val="24"/>
          <w:szCs w:val="24"/>
          <w:highlight w:val="none"/>
          <w:lang w:eastAsia="zh-CN"/>
        </w:rPr>
      </w:pPr>
      <w:r>
        <w:rPr>
          <w:rFonts w:hint="default" w:ascii="Times New Roman" w:hAnsi="Times New Roman" w:eastAsia="仿宋" w:cs="Times New Roman"/>
          <w:sz w:val="24"/>
          <w:szCs w:val="24"/>
          <w:highlight w:val="none"/>
          <w:lang w:eastAsia="zh-CN"/>
        </w:rPr>
        <w:t>（</w:t>
      </w:r>
      <w:r>
        <w:rPr>
          <w:rFonts w:hint="default" w:ascii="Times New Roman" w:hAnsi="Times New Roman" w:eastAsia="仿宋" w:cs="Times New Roman"/>
          <w:sz w:val="24"/>
          <w:szCs w:val="24"/>
          <w:highlight w:val="none"/>
          <w:lang w:val="en-US" w:eastAsia="zh-CN"/>
        </w:rPr>
        <w:t>1）</w:t>
      </w:r>
      <w:r>
        <w:rPr>
          <w:rFonts w:hint="default" w:ascii="Times New Roman" w:hAnsi="Times New Roman" w:eastAsia="仿宋" w:cs="Times New Roman"/>
          <w:sz w:val="24"/>
          <w:szCs w:val="24"/>
          <w:highlight w:val="none"/>
          <w:lang w:eastAsia="zh-CN"/>
        </w:rPr>
        <w:t>复</w:t>
      </w:r>
      <w:r>
        <w:rPr>
          <w:rFonts w:hint="default" w:ascii="Times New Roman" w:hAnsi="Times New Roman" w:eastAsia="仿宋" w:cs="Times New Roman"/>
          <w:sz w:val="24"/>
          <w:szCs w:val="24"/>
          <w:highlight w:val="none"/>
          <w:lang w:val="en-US" w:eastAsia="zh-CN"/>
        </w:rPr>
        <w:t>垦</w:t>
      </w:r>
      <w:r>
        <w:rPr>
          <w:rFonts w:hint="default" w:ascii="Times New Roman" w:hAnsi="Times New Roman" w:eastAsia="仿宋" w:cs="Times New Roman"/>
          <w:sz w:val="24"/>
          <w:szCs w:val="24"/>
          <w:highlight w:val="none"/>
          <w:lang w:eastAsia="zh-CN"/>
        </w:rPr>
        <w:t>方案编制单位资质证书或业绩证明</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Times New Roman" w:hAnsi="Times New Roman" w:eastAsia="仿宋" w:cs="Times New Roman"/>
          <w:sz w:val="24"/>
          <w:szCs w:val="24"/>
          <w:highlight w:val="none"/>
          <w:lang w:eastAsia="zh-CN"/>
        </w:rPr>
      </w:pPr>
      <w:r>
        <w:rPr>
          <w:rFonts w:hint="default" w:ascii="Times New Roman" w:hAnsi="Times New Roman" w:eastAsia="仿宋" w:cs="Times New Roman"/>
          <w:sz w:val="24"/>
          <w:szCs w:val="24"/>
          <w:highlight w:val="none"/>
          <w:lang w:eastAsia="zh-CN"/>
        </w:rPr>
        <w:t>（</w:t>
      </w:r>
      <w:r>
        <w:rPr>
          <w:rFonts w:hint="eastAsia" w:ascii="Times New Roman" w:hAnsi="Times New Roman" w:eastAsia="仿宋" w:cs="Times New Roman"/>
          <w:sz w:val="24"/>
          <w:szCs w:val="24"/>
          <w:highlight w:val="none"/>
          <w:lang w:val="en-US" w:eastAsia="zh-CN"/>
        </w:rPr>
        <w:t>2</w:t>
      </w:r>
      <w:r>
        <w:rPr>
          <w:rFonts w:hint="default" w:ascii="Times New Roman" w:hAnsi="Times New Roman" w:eastAsia="仿宋" w:cs="Times New Roman"/>
          <w:sz w:val="24"/>
          <w:szCs w:val="24"/>
          <w:highlight w:val="none"/>
          <w:lang w:val="en-US" w:eastAsia="zh-CN"/>
        </w:rPr>
        <w:t>）</w:t>
      </w:r>
      <w:r>
        <w:rPr>
          <w:rFonts w:hint="eastAsia" w:ascii="Times New Roman" w:hAnsi="Times New Roman" w:eastAsia="仿宋" w:cs="Times New Roman"/>
          <w:sz w:val="24"/>
          <w:szCs w:val="24"/>
          <w:highlight w:val="none"/>
          <w:lang w:eastAsia="zh-CN"/>
        </w:rPr>
        <w:t>县级</w:t>
      </w:r>
      <w:r>
        <w:rPr>
          <w:rFonts w:hint="eastAsia" w:ascii="Times New Roman" w:hAnsi="Times New Roman" w:eastAsia="仿宋" w:cs="Times New Roman"/>
          <w:sz w:val="24"/>
          <w:szCs w:val="24"/>
          <w:highlight w:val="none"/>
          <w:lang w:val="en-US" w:eastAsia="zh-CN"/>
        </w:rPr>
        <w:t>自然</w:t>
      </w:r>
      <w:r>
        <w:rPr>
          <w:rFonts w:hint="eastAsia" w:ascii="Times New Roman" w:hAnsi="Times New Roman" w:eastAsia="仿宋" w:cs="Times New Roman"/>
          <w:sz w:val="24"/>
          <w:szCs w:val="24"/>
          <w:highlight w:val="none"/>
          <w:lang w:eastAsia="zh-CN"/>
        </w:rPr>
        <w:t>资源</w:t>
      </w:r>
      <w:r>
        <w:rPr>
          <w:rFonts w:hint="eastAsia" w:ascii="Times New Roman" w:hAnsi="Times New Roman" w:eastAsia="仿宋" w:cs="Times New Roman"/>
          <w:sz w:val="24"/>
          <w:szCs w:val="24"/>
          <w:highlight w:val="none"/>
          <w:lang w:val="en-US" w:eastAsia="zh-CN"/>
        </w:rPr>
        <w:t>局初审</w:t>
      </w:r>
      <w:r>
        <w:rPr>
          <w:rFonts w:hint="eastAsia" w:ascii="Times New Roman" w:hAnsi="Times New Roman" w:eastAsia="仿宋" w:cs="Times New Roman"/>
          <w:sz w:val="24"/>
          <w:szCs w:val="24"/>
          <w:highlight w:val="none"/>
          <w:lang w:eastAsia="zh-CN"/>
        </w:rPr>
        <w:t>意见</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仿宋" w:cs="Times New Roman"/>
          <w:sz w:val="24"/>
          <w:szCs w:val="24"/>
          <w:highlight w:val="none"/>
          <w:lang w:eastAsia="zh-CN"/>
        </w:rPr>
      </w:pPr>
      <w:r>
        <w:rPr>
          <w:rFonts w:hint="eastAsia" w:ascii="Times New Roman" w:hAnsi="Times New Roman" w:eastAsia="仿宋" w:cs="Times New Roman"/>
          <w:sz w:val="24"/>
          <w:szCs w:val="24"/>
          <w:highlight w:val="none"/>
          <w:lang w:eastAsia="zh-CN"/>
        </w:rPr>
        <w:t>（</w:t>
      </w:r>
      <w:r>
        <w:rPr>
          <w:rFonts w:hint="eastAsia" w:ascii="Times New Roman" w:hAnsi="Times New Roman" w:eastAsia="仿宋" w:cs="Times New Roman"/>
          <w:sz w:val="24"/>
          <w:szCs w:val="24"/>
          <w:highlight w:val="none"/>
          <w:lang w:val="en-US" w:eastAsia="zh-CN"/>
        </w:rPr>
        <w:t>3）</w:t>
      </w:r>
      <w:r>
        <w:rPr>
          <w:rFonts w:hint="default" w:ascii="Times New Roman" w:hAnsi="Times New Roman" w:eastAsia="仿宋" w:cs="Times New Roman"/>
          <w:sz w:val="24"/>
          <w:szCs w:val="24"/>
          <w:highlight w:val="none"/>
          <w:lang w:eastAsia="zh-CN"/>
        </w:rPr>
        <w:t>复</w:t>
      </w:r>
      <w:r>
        <w:rPr>
          <w:rFonts w:hint="default" w:ascii="Times New Roman" w:hAnsi="Times New Roman" w:eastAsia="仿宋" w:cs="Times New Roman"/>
          <w:sz w:val="24"/>
          <w:szCs w:val="24"/>
          <w:highlight w:val="none"/>
          <w:lang w:val="en-US" w:eastAsia="zh-CN"/>
        </w:rPr>
        <w:t>垦</w:t>
      </w:r>
      <w:r>
        <w:rPr>
          <w:rFonts w:hint="default" w:ascii="Times New Roman" w:hAnsi="Times New Roman" w:eastAsia="仿宋" w:cs="Times New Roman"/>
          <w:sz w:val="24"/>
          <w:szCs w:val="24"/>
          <w:highlight w:val="none"/>
          <w:lang w:eastAsia="zh-CN"/>
        </w:rPr>
        <w:t>义务人的审核意见</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仿宋" w:cs="Times New Roman"/>
          <w:sz w:val="24"/>
          <w:szCs w:val="24"/>
          <w:highlight w:val="none"/>
          <w:lang w:eastAsia="zh-CN"/>
        </w:rPr>
      </w:pPr>
      <w:r>
        <w:rPr>
          <w:rFonts w:hint="default" w:ascii="Times New Roman" w:hAnsi="Times New Roman" w:eastAsia="仿宋" w:cs="Times New Roman"/>
          <w:sz w:val="24"/>
          <w:szCs w:val="24"/>
          <w:highlight w:val="none"/>
          <w:lang w:eastAsia="zh-CN"/>
        </w:rPr>
        <w:t>（</w:t>
      </w:r>
      <w:r>
        <w:rPr>
          <w:rFonts w:hint="eastAsia" w:ascii="Times New Roman" w:hAnsi="Times New Roman" w:eastAsia="仿宋" w:cs="Times New Roman"/>
          <w:sz w:val="24"/>
          <w:szCs w:val="24"/>
          <w:highlight w:val="none"/>
          <w:lang w:val="en-US" w:eastAsia="zh-CN"/>
        </w:rPr>
        <w:t>4</w:t>
      </w:r>
      <w:r>
        <w:rPr>
          <w:rFonts w:hint="default" w:ascii="Times New Roman" w:hAnsi="Times New Roman" w:eastAsia="仿宋" w:cs="Times New Roman"/>
          <w:sz w:val="24"/>
          <w:szCs w:val="24"/>
          <w:highlight w:val="none"/>
          <w:lang w:val="en-US" w:eastAsia="zh-CN"/>
        </w:rPr>
        <w:t>）</w:t>
      </w:r>
      <w:r>
        <w:rPr>
          <w:rFonts w:hint="default" w:ascii="Times New Roman" w:hAnsi="Times New Roman" w:eastAsia="仿宋" w:cs="Times New Roman"/>
          <w:sz w:val="24"/>
          <w:szCs w:val="24"/>
          <w:highlight w:val="none"/>
          <w:lang w:eastAsia="zh-CN"/>
        </w:rPr>
        <w:t>复</w:t>
      </w:r>
      <w:r>
        <w:rPr>
          <w:rFonts w:hint="default" w:ascii="Times New Roman" w:hAnsi="Times New Roman" w:eastAsia="仿宋" w:cs="Times New Roman"/>
          <w:sz w:val="24"/>
          <w:szCs w:val="24"/>
          <w:highlight w:val="none"/>
          <w:lang w:val="en-US" w:eastAsia="zh-CN"/>
        </w:rPr>
        <w:t>垦</w:t>
      </w:r>
      <w:r>
        <w:rPr>
          <w:rFonts w:hint="default" w:ascii="Times New Roman" w:hAnsi="Times New Roman" w:eastAsia="仿宋" w:cs="Times New Roman"/>
          <w:sz w:val="24"/>
          <w:szCs w:val="24"/>
          <w:highlight w:val="none"/>
          <w:lang w:eastAsia="zh-CN"/>
        </w:rPr>
        <w:t>义务人的复承诺书</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仿宋" w:cs="Times New Roman"/>
          <w:sz w:val="24"/>
          <w:szCs w:val="24"/>
          <w:highlight w:val="none"/>
          <w:lang w:eastAsia="zh-CN"/>
        </w:rPr>
      </w:pPr>
      <w:r>
        <w:rPr>
          <w:rFonts w:hint="default" w:ascii="Times New Roman" w:hAnsi="Times New Roman" w:eastAsia="仿宋" w:cs="Times New Roman"/>
          <w:sz w:val="24"/>
          <w:szCs w:val="24"/>
          <w:highlight w:val="none"/>
          <w:lang w:eastAsia="zh-CN"/>
        </w:rPr>
        <w:t>（</w:t>
      </w:r>
      <w:r>
        <w:rPr>
          <w:rFonts w:hint="eastAsia" w:ascii="Times New Roman" w:hAnsi="Times New Roman" w:eastAsia="仿宋" w:cs="Times New Roman"/>
          <w:sz w:val="24"/>
          <w:szCs w:val="24"/>
          <w:highlight w:val="none"/>
          <w:lang w:val="en-US" w:eastAsia="zh-CN"/>
        </w:rPr>
        <w:t>5</w:t>
      </w:r>
      <w:r>
        <w:rPr>
          <w:rFonts w:hint="default" w:ascii="Times New Roman" w:hAnsi="Times New Roman" w:eastAsia="仿宋" w:cs="Times New Roman"/>
          <w:sz w:val="24"/>
          <w:szCs w:val="24"/>
          <w:highlight w:val="none"/>
          <w:lang w:val="en-US" w:eastAsia="zh-CN"/>
        </w:rPr>
        <w:t>）</w:t>
      </w:r>
      <w:r>
        <w:rPr>
          <w:rFonts w:hint="default" w:ascii="Times New Roman" w:hAnsi="Times New Roman" w:eastAsia="仿宋" w:cs="Times New Roman"/>
          <w:sz w:val="24"/>
          <w:szCs w:val="24"/>
          <w:highlight w:val="none"/>
          <w:lang w:eastAsia="zh-CN"/>
        </w:rPr>
        <w:t>复</w:t>
      </w:r>
      <w:r>
        <w:rPr>
          <w:rFonts w:hint="default" w:ascii="Times New Roman" w:hAnsi="Times New Roman" w:eastAsia="仿宋" w:cs="Times New Roman"/>
          <w:sz w:val="24"/>
          <w:szCs w:val="24"/>
          <w:highlight w:val="none"/>
          <w:lang w:val="en-US" w:eastAsia="zh-CN"/>
        </w:rPr>
        <w:t>垦</w:t>
      </w:r>
      <w:r>
        <w:rPr>
          <w:rFonts w:hint="default" w:ascii="Times New Roman" w:hAnsi="Times New Roman" w:eastAsia="仿宋" w:cs="Times New Roman"/>
          <w:sz w:val="24"/>
          <w:szCs w:val="24"/>
          <w:highlight w:val="none"/>
          <w:lang w:eastAsia="zh-CN"/>
        </w:rPr>
        <w:t>方案编制委托函</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eastAsia="zh-CN"/>
        </w:rPr>
        <w:t>（</w:t>
      </w:r>
      <w:r>
        <w:rPr>
          <w:rFonts w:hint="default" w:ascii="Times New Roman" w:hAnsi="Times New Roman" w:eastAsia="仿宋" w:cs="Times New Roman"/>
          <w:sz w:val="24"/>
          <w:szCs w:val="24"/>
          <w:highlight w:val="none"/>
          <w:lang w:val="en-US" w:eastAsia="zh-CN"/>
        </w:rPr>
        <w:t>6）</w:t>
      </w:r>
      <w:r>
        <w:rPr>
          <w:rFonts w:hint="eastAsia" w:ascii="Times New Roman" w:hAnsi="Times New Roman" w:eastAsia="仿宋" w:cs="Times New Roman"/>
          <w:sz w:val="24"/>
          <w:szCs w:val="24"/>
          <w:highlight w:val="none"/>
          <w:lang w:val="en-US" w:eastAsia="zh-CN"/>
        </w:rPr>
        <w:t>项目建设依据文件</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仿宋" w:cs="Times New Roman"/>
          <w:sz w:val="24"/>
          <w:szCs w:val="24"/>
          <w:highlight w:val="none"/>
          <w:lang w:eastAsia="zh-CN"/>
        </w:rPr>
      </w:pPr>
      <w:r>
        <w:rPr>
          <w:rFonts w:hint="default" w:ascii="Times New Roman" w:hAnsi="Times New Roman" w:eastAsia="仿宋" w:cs="Times New Roman"/>
          <w:sz w:val="24"/>
          <w:szCs w:val="24"/>
          <w:highlight w:val="none"/>
          <w:lang w:eastAsia="zh-CN"/>
        </w:rPr>
        <w:t>（</w:t>
      </w:r>
      <w:r>
        <w:rPr>
          <w:rFonts w:hint="default" w:ascii="Times New Roman" w:hAnsi="Times New Roman" w:eastAsia="仿宋" w:cs="Times New Roman"/>
          <w:sz w:val="24"/>
          <w:szCs w:val="24"/>
          <w:highlight w:val="none"/>
          <w:lang w:val="en-US" w:eastAsia="zh-CN"/>
        </w:rPr>
        <w:t>7）公众意见调查表</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仿宋" w:cs="Times New Roman"/>
          <w:sz w:val="24"/>
          <w:szCs w:val="24"/>
          <w:highlight w:val="none"/>
          <w:lang w:eastAsia="zh-CN"/>
        </w:rPr>
      </w:pPr>
      <w:r>
        <w:rPr>
          <w:rFonts w:hint="default" w:ascii="Times New Roman" w:hAnsi="Times New Roman" w:eastAsia="仿宋" w:cs="Times New Roman"/>
          <w:sz w:val="24"/>
          <w:szCs w:val="24"/>
          <w:highlight w:val="none"/>
          <w:lang w:eastAsia="zh-CN"/>
        </w:rPr>
        <w:t>（</w:t>
      </w:r>
      <w:r>
        <w:rPr>
          <w:rFonts w:hint="default" w:ascii="Times New Roman" w:hAnsi="Times New Roman" w:eastAsia="仿宋" w:cs="Times New Roman"/>
          <w:sz w:val="24"/>
          <w:szCs w:val="24"/>
          <w:highlight w:val="none"/>
          <w:lang w:val="en-US" w:eastAsia="zh-CN"/>
        </w:rPr>
        <w:t>8）</w:t>
      </w:r>
      <w:r>
        <w:rPr>
          <w:rFonts w:hint="default" w:ascii="Times New Roman" w:hAnsi="Times New Roman" w:eastAsia="仿宋" w:cs="Times New Roman"/>
          <w:sz w:val="24"/>
          <w:szCs w:val="24"/>
          <w:highlight w:val="none"/>
          <w:lang w:eastAsia="zh-CN"/>
        </w:rPr>
        <w:t>最新税金文件</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仿宋" w:cs="Times New Roman"/>
          <w:sz w:val="24"/>
          <w:szCs w:val="24"/>
          <w:highlight w:val="none"/>
          <w:lang w:eastAsia="zh-CN"/>
        </w:rPr>
      </w:pPr>
      <w:r>
        <w:rPr>
          <w:rFonts w:hint="default" w:ascii="Times New Roman" w:hAnsi="Times New Roman" w:eastAsia="仿宋" w:cs="Times New Roman"/>
          <w:sz w:val="24"/>
          <w:szCs w:val="24"/>
          <w:highlight w:val="none"/>
          <w:lang w:eastAsia="zh-CN"/>
        </w:rPr>
        <w:t>（</w:t>
      </w:r>
      <w:r>
        <w:rPr>
          <w:rFonts w:hint="eastAsia" w:ascii="Times New Roman" w:hAnsi="Times New Roman" w:eastAsia="仿宋" w:cs="Times New Roman"/>
          <w:sz w:val="24"/>
          <w:szCs w:val="24"/>
          <w:highlight w:val="none"/>
          <w:lang w:val="en-US" w:eastAsia="zh-CN"/>
        </w:rPr>
        <w:t>9</w:t>
      </w:r>
      <w:r>
        <w:rPr>
          <w:rFonts w:hint="default" w:ascii="Times New Roman" w:hAnsi="Times New Roman" w:eastAsia="仿宋" w:cs="Times New Roman"/>
          <w:sz w:val="24"/>
          <w:szCs w:val="24"/>
          <w:highlight w:val="none"/>
          <w:lang w:val="en-US" w:eastAsia="zh-CN"/>
        </w:rPr>
        <w:t>）</w:t>
      </w:r>
      <w:r>
        <w:rPr>
          <w:rFonts w:hint="default" w:ascii="Times New Roman" w:hAnsi="Times New Roman" w:eastAsia="仿宋" w:cs="Times New Roman"/>
          <w:sz w:val="24"/>
          <w:szCs w:val="24"/>
          <w:highlight w:val="none"/>
          <w:lang w:eastAsia="zh-CN"/>
        </w:rPr>
        <w:t>相关地区近期建设工程材料信息价格</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仿宋" w:cs="Times New Roman"/>
          <w:sz w:val="24"/>
          <w:szCs w:val="24"/>
          <w:highlight w:val="none"/>
          <w:lang w:eastAsia="zh-CN"/>
        </w:rPr>
      </w:pPr>
      <w:r>
        <w:rPr>
          <w:rFonts w:hint="default" w:ascii="Times New Roman" w:hAnsi="Times New Roman" w:eastAsia="仿宋" w:cs="Times New Roman"/>
          <w:sz w:val="24"/>
          <w:szCs w:val="24"/>
          <w:highlight w:val="none"/>
          <w:lang w:eastAsia="zh-CN"/>
        </w:rPr>
        <w:t>（</w:t>
      </w:r>
      <w:r>
        <w:rPr>
          <w:rFonts w:hint="default" w:ascii="Times New Roman" w:hAnsi="Times New Roman" w:eastAsia="仿宋" w:cs="Times New Roman"/>
          <w:sz w:val="24"/>
          <w:szCs w:val="24"/>
          <w:highlight w:val="none"/>
          <w:lang w:val="en-US" w:eastAsia="zh-CN"/>
        </w:rPr>
        <w:t>1</w:t>
      </w:r>
      <w:r>
        <w:rPr>
          <w:rFonts w:hint="eastAsia" w:ascii="Times New Roman" w:hAnsi="Times New Roman" w:eastAsia="仿宋" w:cs="Times New Roman"/>
          <w:sz w:val="24"/>
          <w:szCs w:val="24"/>
          <w:highlight w:val="none"/>
          <w:lang w:val="en-US" w:eastAsia="zh-CN"/>
        </w:rPr>
        <w:t>0</w:t>
      </w:r>
      <w:r>
        <w:rPr>
          <w:rFonts w:hint="default" w:ascii="Times New Roman" w:hAnsi="Times New Roman" w:eastAsia="仿宋" w:cs="Times New Roman"/>
          <w:sz w:val="24"/>
          <w:szCs w:val="24"/>
          <w:highlight w:val="none"/>
          <w:lang w:val="en-US" w:eastAsia="zh-CN"/>
        </w:rPr>
        <w:t>）</w:t>
      </w:r>
      <w:r>
        <w:rPr>
          <w:rFonts w:hint="default" w:ascii="Times New Roman" w:hAnsi="Times New Roman" w:eastAsia="仿宋" w:cs="Times New Roman"/>
          <w:sz w:val="24"/>
          <w:szCs w:val="24"/>
          <w:highlight w:val="none"/>
          <w:lang w:eastAsia="zh-CN"/>
        </w:rPr>
        <w:t>临时用地现场照片</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仿宋" w:cs="Times New Roman"/>
          <w:sz w:val="24"/>
          <w:szCs w:val="24"/>
          <w:highlight w:val="none"/>
          <w:lang w:val="en-US" w:eastAsia="zh-CN"/>
        </w:rPr>
      </w:pPr>
      <w:r>
        <w:rPr>
          <w:rFonts w:hint="default" w:ascii="Times New Roman" w:hAnsi="Times New Roman" w:eastAsia="仿宋" w:cs="Times New Roman"/>
          <w:sz w:val="24"/>
          <w:szCs w:val="24"/>
          <w:highlight w:val="none"/>
          <w:lang w:eastAsia="zh-CN"/>
        </w:rPr>
        <w:t>（</w:t>
      </w:r>
      <w:r>
        <w:rPr>
          <w:rFonts w:hint="default" w:ascii="Times New Roman" w:hAnsi="Times New Roman" w:eastAsia="仿宋" w:cs="Times New Roman"/>
          <w:sz w:val="24"/>
          <w:szCs w:val="24"/>
          <w:highlight w:val="none"/>
          <w:lang w:val="en-US" w:eastAsia="zh-CN"/>
        </w:rPr>
        <w:t>1</w:t>
      </w:r>
      <w:r>
        <w:rPr>
          <w:rFonts w:hint="eastAsia" w:ascii="Times New Roman" w:hAnsi="Times New Roman" w:eastAsia="仿宋" w:cs="Times New Roman"/>
          <w:sz w:val="24"/>
          <w:szCs w:val="24"/>
          <w:highlight w:val="none"/>
          <w:lang w:val="en-US" w:eastAsia="zh-CN"/>
        </w:rPr>
        <w:t>1</w:t>
      </w:r>
      <w:r>
        <w:rPr>
          <w:rFonts w:hint="default" w:ascii="Times New Roman" w:hAnsi="Times New Roman" w:eastAsia="仿宋" w:cs="Times New Roman"/>
          <w:sz w:val="24"/>
          <w:szCs w:val="24"/>
          <w:highlight w:val="none"/>
          <w:lang w:val="en-US" w:eastAsia="zh-CN"/>
        </w:rPr>
        <w:t>）</w:t>
      </w:r>
      <w:r>
        <w:rPr>
          <w:rFonts w:hint="default" w:ascii="Times New Roman" w:hAnsi="Times New Roman" w:eastAsia="仿宋" w:cs="Times New Roman"/>
          <w:sz w:val="24"/>
          <w:szCs w:val="24"/>
          <w:highlight w:val="none"/>
          <w:lang w:eastAsia="zh-CN"/>
        </w:rPr>
        <w:t>专家审查意见及修改说明</w:t>
      </w:r>
    </w:p>
    <w:p>
      <w:pPr>
        <w:pStyle w:val="2"/>
        <w:rPr>
          <w:highlight w:val="yellow"/>
          <w:lang w:eastAsia="zh-CN"/>
        </w:rPr>
      </w:pPr>
    </w:p>
    <w:p>
      <w:pPr>
        <w:ind w:firstLine="480"/>
        <w:rPr>
          <w:highlight w:val="yellow"/>
          <w:lang w:eastAsia="zh-CN"/>
        </w:rPr>
      </w:pPr>
    </w:p>
    <w:p>
      <w:pPr>
        <w:ind w:firstLine="480"/>
        <w:rPr>
          <w:highlight w:val="yellow"/>
          <w:lang w:eastAsia="zh-CN"/>
        </w:rPr>
      </w:pPr>
      <w:r>
        <w:rPr>
          <w:highlight w:val="yellow"/>
          <w:lang w:eastAsia="zh-CN"/>
        </w:rPr>
        <w:br w:type="page"/>
      </w:r>
    </w:p>
    <w:p>
      <w:pPr>
        <w:keepNext w:val="0"/>
        <w:keepLines w:val="0"/>
        <w:pageBreakBefore w:val="0"/>
        <w:widowControl w:val="0"/>
        <w:kinsoku/>
        <w:wordWrap/>
        <w:overflowPunct/>
        <w:topLinePunct w:val="0"/>
        <w:autoSpaceDE/>
        <w:autoSpaceDN/>
        <w:bidi w:val="0"/>
        <w:adjustRightInd/>
        <w:snapToGrid/>
        <w:spacing w:line="900" w:lineRule="exact"/>
        <w:jc w:val="center"/>
        <w:textAlignment w:val="auto"/>
        <w:rPr>
          <w:rFonts w:hint="eastAsia" w:ascii="Times New Roman" w:hAnsi="Times New Roman" w:eastAsia="黑体" w:cs="Times New Roman"/>
          <w:b/>
          <w:color w:val="auto"/>
          <w:sz w:val="48"/>
          <w:szCs w:val="48"/>
          <w:highlight w:val="none"/>
          <w:lang w:val="en-US" w:eastAsia="zh-CN"/>
        </w:rPr>
      </w:pPr>
      <w:r>
        <w:rPr>
          <w:rFonts w:hint="eastAsia" w:ascii="Times New Roman" w:hAnsi="Times New Roman" w:eastAsia="黑体" w:cs="Times New Roman"/>
          <w:b/>
          <w:color w:val="auto"/>
          <w:sz w:val="48"/>
          <w:szCs w:val="48"/>
          <w:highlight w:val="none"/>
          <w:lang w:val="en-US" w:eastAsia="zh-CN"/>
        </w:rPr>
        <w:t>G219线岳普湖-英吉沙公路建设项目</w:t>
      </w:r>
    </w:p>
    <w:p>
      <w:pPr>
        <w:keepNext w:val="0"/>
        <w:keepLines w:val="0"/>
        <w:pageBreakBefore w:val="0"/>
        <w:widowControl w:val="0"/>
        <w:kinsoku/>
        <w:wordWrap/>
        <w:overflowPunct/>
        <w:topLinePunct w:val="0"/>
        <w:autoSpaceDE/>
        <w:autoSpaceDN/>
        <w:bidi w:val="0"/>
        <w:adjustRightInd/>
        <w:snapToGrid/>
        <w:spacing w:line="900" w:lineRule="exact"/>
        <w:jc w:val="center"/>
        <w:textAlignment w:val="auto"/>
        <w:rPr>
          <w:rFonts w:hint="eastAsia" w:ascii="Times New Roman" w:hAnsi="Times New Roman" w:eastAsia="黑体" w:cs="Times New Roman"/>
          <w:b/>
          <w:color w:val="auto"/>
          <w:sz w:val="48"/>
          <w:szCs w:val="48"/>
          <w:highlight w:val="none"/>
          <w:lang w:val="en-US" w:eastAsia="zh-CN"/>
        </w:rPr>
      </w:pPr>
      <w:r>
        <w:rPr>
          <w:rFonts w:hint="eastAsia" w:ascii="Times New Roman" w:hAnsi="Times New Roman" w:eastAsia="黑体" w:cs="Times New Roman"/>
          <w:b/>
          <w:color w:val="auto"/>
          <w:sz w:val="48"/>
          <w:szCs w:val="48"/>
          <w:highlight w:val="none"/>
          <w:lang w:val="en-US" w:eastAsia="zh-CN"/>
        </w:rPr>
        <w:t>疏勒段施工便道</w:t>
      </w:r>
    </w:p>
    <w:p>
      <w:pPr>
        <w:keepNext w:val="0"/>
        <w:keepLines w:val="0"/>
        <w:pageBreakBefore w:val="0"/>
        <w:widowControl w:val="0"/>
        <w:kinsoku/>
        <w:wordWrap/>
        <w:overflowPunct/>
        <w:topLinePunct w:val="0"/>
        <w:autoSpaceDE/>
        <w:autoSpaceDN/>
        <w:bidi w:val="0"/>
        <w:adjustRightInd/>
        <w:snapToGrid/>
        <w:spacing w:line="900" w:lineRule="exact"/>
        <w:jc w:val="center"/>
        <w:textAlignment w:val="auto"/>
        <w:rPr>
          <w:rFonts w:hint="default" w:ascii="Times New Roman" w:hAnsi="Times New Roman" w:eastAsia="黑体" w:cs="Times New Roman"/>
          <w:b/>
          <w:color w:val="auto"/>
          <w:sz w:val="48"/>
          <w:szCs w:val="48"/>
          <w:highlight w:val="none"/>
          <w:lang w:val="en-US" w:eastAsia="zh-CN"/>
        </w:rPr>
      </w:pPr>
      <w:r>
        <w:rPr>
          <w:rFonts w:hint="default" w:ascii="Times New Roman" w:hAnsi="Times New Roman" w:eastAsia="黑体" w:cs="Times New Roman"/>
          <w:b/>
          <w:color w:val="auto"/>
          <w:sz w:val="48"/>
          <w:szCs w:val="48"/>
          <w:highlight w:val="none"/>
          <w:lang w:val="en-US" w:eastAsia="zh-CN"/>
        </w:rPr>
        <w:t>土地复垦方案</w:t>
      </w:r>
      <w:r>
        <w:rPr>
          <w:rFonts w:hint="eastAsia" w:ascii="Times New Roman" w:hAnsi="Times New Roman" w:eastAsia="黑体" w:cs="Times New Roman"/>
          <w:b/>
          <w:color w:val="auto"/>
          <w:sz w:val="48"/>
          <w:szCs w:val="48"/>
          <w:highlight w:val="none"/>
          <w:lang w:val="en-US" w:eastAsia="zh-CN"/>
        </w:rPr>
        <w:t>报告书</w:t>
      </w:r>
    </w:p>
    <w:p>
      <w:pPr>
        <w:pStyle w:val="2"/>
        <w:rPr>
          <w:rFonts w:hint="default" w:ascii="Times New Roman" w:hAnsi="Times New Roman" w:cs="Times New Roman"/>
          <w:sz w:val="44"/>
          <w:highlight w:val="none"/>
        </w:rPr>
      </w:pPr>
    </w:p>
    <w:p>
      <w:pPr>
        <w:pStyle w:val="2"/>
        <w:rPr>
          <w:rFonts w:hint="default" w:ascii="Times New Roman" w:hAnsi="Times New Roman" w:cs="Times New Roman"/>
          <w:sz w:val="44"/>
          <w:highlight w:val="none"/>
        </w:rPr>
      </w:pPr>
    </w:p>
    <w:p>
      <w:pPr>
        <w:pStyle w:val="2"/>
        <w:rPr>
          <w:rFonts w:hint="default" w:ascii="Times New Roman" w:hAnsi="Times New Roman" w:cs="Times New Roman"/>
          <w:sz w:val="44"/>
          <w:highlight w:val="none"/>
        </w:rPr>
      </w:pPr>
    </w:p>
    <w:p>
      <w:pPr>
        <w:pStyle w:val="2"/>
        <w:rPr>
          <w:rFonts w:hint="default" w:ascii="Times New Roman" w:hAnsi="Times New Roman" w:cs="Times New Roman"/>
          <w:sz w:val="44"/>
          <w:highlight w:val="none"/>
        </w:rPr>
      </w:pPr>
    </w:p>
    <w:p>
      <w:pPr>
        <w:pStyle w:val="2"/>
        <w:rPr>
          <w:rFonts w:hint="default" w:ascii="Times New Roman" w:hAnsi="Times New Roman" w:cs="Times New Roman"/>
          <w:sz w:val="44"/>
          <w:highlight w:val="none"/>
        </w:rPr>
      </w:pPr>
    </w:p>
    <w:p>
      <w:pPr>
        <w:spacing w:line="560" w:lineRule="exact"/>
        <w:ind w:left="1415" w:hanging="1415" w:hangingChars="500"/>
        <w:rPr>
          <w:rFonts w:hint="eastAsia" w:ascii="Times New Roman" w:hAnsi="Times New Roman" w:cs="Times New Roman"/>
          <w:w w:val="99"/>
          <w:sz w:val="28"/>
          <w:szCs w:val="28"/>
          <w:highlight w:val="none"/>
          <w:u w:val="single" w:color="auto"/>
          <w:lang w:val="en-US" w:eastAsia="zh-CN"/>
        </w:rPr>
      </w:pPr>
      <w:r>
        <w:rPr>
          <w:rFonts w:hint="default" w:ascii="Times New Roman" w:hAnsi="Times New Roman" w:cs="Times New Roman" w:eastAsiaTheme="minorEastAsia"/>
          <w:sz w:val="28"/>
          <w:szCs w:val="28"/>
          <w:highlight w:val="none"/>
          <w:lang w:eastAsia="zh-CN"/>
        </w:rPr>
        <w:t>项目名称：</w:t>
      </w:r>
      <w:r>
        <w:rPr>
          <w:rFonts w:hint="eastAsia" w:ascii="Times New Roman" w:hAnsi="Times New Roman" w:cs="Times New Roman"/>
          <w:w w:val="99"/>
          <w:sz w:val="28"/>
          <w:szCs w:val="28"/>
          <w:highlight w:val="none"/>
          <w:u w:val="single" w:color="auto"/>
          <w:lang w:val="en-US" w:eastAsia="zh-CN"/>
        </w:rPr>
        <w:t>G219线岳普湖-英吉沙公路建设项目疏勒段施工便道</w:t>
      </w:r>
    </w:p>
    <w:p>
      <w:pPr>
        <w:spacing w:line="560" w:lineRule="exact"/>
        <w:ind w:left="1416" w:leftChars="665" w:firstLine="0" w:firstLineChars="0"/>
        <w:rPr>
          <w:rFonts w:hint="default" w:ascii="Times New Roman" w:hAnsi="Times New Roman" w:cs="Times New Roman" w:eastAsiaTheme="minorEastAsia"/>
          <w:sz w:val="28"/>
          <w:szCs w:val="28"/>
          <w:highlight w:val="none"/>
          <w:u w:val="single" w:color="000000"/>
          <w:lang w:eastAsia="zh-CN"/>
        </w:rPr>
      </w:pPr>
      <w:r>
        <w:rPr>
          <w:rFonts w:hint="default" w:ascii="Times New Roman" w:hAnsi="Times New Roman" w:cs="Times New Roman" w:eastAsiaTheme="minorEastAsia"/>
          <w:w w:val="99"/>
          <w:sz w:val="28"/>
          <w:szCs w:val="28"/>
          <w:highlight w:val="none"/>
          <w:u w:val="single" w:color="auto"/>
          <w:lang w:val="en-US" w:eastAsia="zh-CN"/>
        </w:rPr>
        <w:t>土地复垦方案</w:t>
      </w:r>
      <w:r>
        <w:rPr>
          <w:rFonts w:hint="eastAsia" w:ascii="Times New Roman" w:hAnsi="Times New Roman" w:cs="Times New Roman"/>
          <w:w w:val="99"/>
          <w:sz w:val="28"/>
          <w:szCs w:val="28"/>
          <w:highlight w:val="none"/>
          <w:u w:val="single" w:color="auto"/>
          <w:lang w:val="en-US" w:eastAsia="zh-CN"/>
        </w:rPr>
        <w:t>报告书</w:t>
      </w:r>
    </w:p>
    <w:p>
      <w:pPr>
        <w:spacing w:line="560" w:lineRule="exact"/>
        <w:ind w:left="0" w:leftChars="0" w:firstLine="0" w:firstLineChars="0"/>
        <w:rPr>
          <w:rFonts w:hint="default" w:ascii="Times New Roman" w:hAnsi="Times New Roman" w:cs="Times New Roman" w:eastAsiaTheme="minorEastAsia"/>
          <w:sz w:val="28"/>
          <w:szCs w:val="28"/>
          <w:highlight w:val="none"/>
          <w:u w:val="single"/>
          <w:lang w:eastAsia="zh-CN"/>
        </w:rPr>
      </w:pPr>
      <w:r>
        <w:rPr>
          <w:rFonts w:hint="default" w:ascii="Times New Roman" w:hAnsi="Times New Roman" w:cs="Times New Roman" w:eastAsiaTheme="minorEastAsia"/>
          <w:sz w:val="28"/>
          <w:szCs w:val="28"/>
          <w:highlight w:val="none"/>
          <w:lang w:eastAsia="zh-CN"/>
        </w:rPr>
        <w:t>项目单位：</w:t>
      </w:r>
      <w:r>
        <w:rPr>
          <w:rFonts w:hint="eastAsia" w:ascii="Times New Roman" w:hAnsi="Times New Roman" w:cs="Times New Roman"/>
          <w:sz w:val="28"/>
          <w:szCs w:val="28"/>
          <w:highlight w:val="none"/>
          <w:u w:val="single"/>
          <w:lang w:eastAsia="zh-CN"/>
        </w:rPr>
        <w:t>新疆路桥南疆工程建设有限公司</w:t>
      </w:r>
    </w:p>
    <w:p>
      <w:pPr>
        <w:spacing w:line="560" w:lineRule="exact"/>
        <w:ind w:left="0" w:leftChars="0" w:firstLine="0" w:firstLineChars="0"/>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单位地址：</w:t>
      </w:r>
      <w:r>
        <w:rPr>
          <w:rFonts w:hint="eastAsia" w:ascii="Times New Roman" w:hAnsi="Times New Roman" w:cs="Times New Roman"/>
          <w:sz w:val="28"/>
          <w:szCs w:val="28"/>
          <w:highlight w:val="none"/>
          <w:u w:val="single"/>
          <w:lang w:eastAsia="zh-CN"/>
        </w:rPr>
        <w:t>新疆喀什地区喀什市文化路74号2幢</w:t>
      </w:r>
    </w:p>
    <w:p>
      <w:pPr>
        <w:spacing w:line="560" w:lineRule="exact"/>
        <w:ind w:left="0" w:leftChars="0" w:firstLine="0" w:firstLineChars="0"/>
        <w:rPr>
          <w:rFonts w:hint="default" w:ascii="Times New Roman" w:hAnsi="Times New Roman" w:cs="Times New Roman" w:eastAsiaTheme="minorEastAsia"/>
          <w:sz w:val="28"/>
          <w:szCs w:val="28"/>
          <w:highlight w:val="none"/>
          <w:u w:val="single" w:color="000000"/>
          <w:lang w:eastAsia="zh-CN"/>
        </w:rPr>
      </w:pPr>
      <w:r>
        <w:rPr>
          <w:rFonts w:hint="default" w:ascii="Times New Roman" w:hAnsi="Times New Roman" w:cs="Times New Roman" w:eastAsiaTheme="minorEastAsia"/>
          <w:sz w:val="28"/>
          <w:szCs w:val="28"/>
          <w:highlight w:val="none"/>
          <w:lang w:eastAsia="zh-CN"/>
        </w:rPr>
        <w:t>联 系 人：</w:t>
      </w:r>
      <w:r>
        <w:rPr>
          <w:rFonts w:hint="eastAsia" w:ascii="Times New Roman" w:hAnsi="Times New Roman" w:cs="Times New Roman"/>
          <w:sz w:val="28"/>
          <w:szCs w:val="28"/>
          <w:highlight w:val="none"/>
          <w:u w:val="single"/>
          <w:lang w:eastAsia="zh-CN"/>
        </w:rPr>
        <w:t>王正伟</w:t>
      </w:r>
    </w:p>
    <w:p>
      <w:pPr>
        <w:spacing w:line="560" w:lineRule="exact"/>
        <w:ind w:left="0" w:leftChars="0" w:firstLine="0" w:firstLineChars="0"/>
        <w:rPr>
          <w:rFonts w:hint="default" w:ascii="Times New Roman" w:hAnsi="Times New Roman" w:cs="Times New Roman" w:eastAsiaTheme="minorEastAsia"/>
          <w:sz w:val="28"/>
          <w:szCs w:val="28"/>
          <w:highlight w:val="none"/>
          <w:u w:val="single" w:color="000000"/>
          <w:lang w:eastAsia="zh-CN"/>
        </w:rPr>
      </w:pPr>
      <w:r>
        <w:rPr>
          <w:rFonts w:hint="default" w:ascii="Times New Roman" w:hAnsi="Times New Roman" w:cs="Times New Roman" w:eastAsiaTheme="minorEastAsia"/>
          <w:sz w:val="28"/>
          <w:szCs w:val="28"/>
          <w:highlight w:val="none"/>
          <w:lang w:eastAsia="zh-CN"/>
        </w:rPr>
        <w:t>电    话：</w:t>
      </w:r>
    </w:p>
    <w:p>
      <w:pPr>
        <w:spacing w:line="560" w:lineRule="exact"/>
        <w:ind w:left="0" w:leftChars="0" w:firstLine="0" w:firstLineChars="0"/>
        <w:rPr>
          <w:rFonts w:hint="default" w:ascii="Times New Roman" w:hAnsi="Times New Roman" w:cs="Times New Roman" w:eastAsiaTheme="minorEastAsia"/>
          <w:sz w:val="28"/>
          <w:szCs w:val="28"/>
          <w:highlight w:val="none"/>
          <w:lang w:eastAsia="zh-CN"/>
        </w:rPr>
      </w:pPr>
      <w:r>
        <w:rPr>
          <w:rFonts w:hint="default" w:ascii="Times New Roman" w:hAnsi="Times New Roman" w:cs="Times New Roman" w:eastAsiaTheme="minorEastAsia"/>
          <w:sz w:val="28"/>
          <w:szCs w:val="28"/>
          <w:highlight w:val="none"/>
          <w:lang w:eastAsia="zh-CN"/>
        </w:rPr>
        <w:t>送审时间：</w:t>
      </w:r>
      <w:r>
        <w:rPr>
          <w:rFonts w:hint="default" w:ascii="Times New Roman" w:hAnsi="Times New Roman" w:cs="Times New Roman" w:eastAsiaTheme="minorEastAsia"/>
          <w:sz w:val="28"/>
          <w:szCs w:val="28"/>
          <w:highlight w:val="none"/>
          <w:u w:val="single" w:color="000000"/>
          <w:lang w:eastAsia="zh-CN"/>
        </w:rPr>
        <w:t>202</w:t>
      </w:r>
      <w:r>
        <w:rPr>
          <w:rFonts w:hint="eastAsia" w:ascii="Times New Roman" w:hAnsi="Times New Roman" w:cs="Times New Roman"/>
          <w:sz w:val="28"/>
          <w:szCs w:val="28"/>
          <w:highlight w:val="none"/>
          <w:u w:val="single" w:color="000000"/>
          <w:lang w:val="en-US" w:eastAsia="zh-CN"/>
        </w:rPr>
        <w:t>4</w:t>
      </w:r>
      <w:r>
        <w:rPr>
          <w:rFonts w:hint="default" w:ascii="Times New Roman" w:hAnsi="Times New Roman" w:cs="Times New Roman" w:eastAsiaTheme="minorEastAsia"/>
          <w:sz w:val="28"/>
          <w:szCs w:val="28"/>
          <w:highlight w:val="none"/>
          <w:u w:val="single" w:color="000000"/>
          <w:lang w:eastAsia="zh-CN"/>
        </w:rPr>
        <w:t>年</w:t>
      </w:r>
      <w:r>
        <w:rPr>
          <w:rFonts w:hint="eastAsia" w:ascii="Times New Roman" w:hAnsi="Times New Roman" w:cs="Times New Roman"/>
          <w:sz w:val="28"/>
          <w:szCs w:val="28"/>
          <w:highlight w:val="none"/>
          <w:u w:val="single" w:color="000000"/>
          <w:lang w:val="en-US" w:eastAsia="zh-CN"/>
        </w:rPr>
        <w:t>1</w:t>
      </w:r>
      <w:r>
        <w:rPr>
          <w:rFonts w:hint="default" w:ascii="Times New Roman" w:hAnsi="Times New Roman" w:cs="Times New Roman" w:eastAsiaTheme="minorEastAsia"/>
          <w:sz w:val="28"/>
          <w:szCs w:val="28"/>
          <w:highlight w:val="none"/>
          <w:u w:val="single" w:color="000000"/>
          <w:lang w:eastAsia="zh-CN"/>
        </w:rPr>
        <w:t>月</w:t>
      </w:r>
    </w:p>
    <w:p>
      <w:pPr>
        <w:pStyle w:val="2"/>
        <w:rPr>
          <w:rFonts w:hint="default" w:ascii="Times New Roman" w:hAnsi="Times New Roman" w:cs="Times New Roman"/>
          <w:sz w:val="44"/>
          <w:highlight w:val="none"/>
        </w:rPr>
      </w:pPr>
    </w:p>
    <w:p>
      <w:pPr>
        <w:pStyle w:val="2"/>
        <w:rPr>
          <w:rFonts w:hint="default" w:ascii="Times New Roman" w:hAnsi="Times New Roman" w:cs="Times New Roman"/>
          <w:sz w:val="55"/>
          <w:highlight w:val="none"/>
        </w:rPr>
      </w:pPr>
    </w:p>
    <w:p>
      <w:pPr>
        <w:pStyle w:val="16"/>
        <w:rPr>
          <w:rFonts w:hint="default" w:ascii="Times New Roman" w:hAnsi="Times New Roman" w:cs="Times New Roman"/>
          <w:b/>
          <w:color w:val="auto"/>
          <w:sz w:val="32"/>
          <w:szCs w:val="32"/>
          <w:highlight w:val="none"/>
        </w:rPr>
      </w:pPr>
    </w:p>
    <w:p>
      <w:pPr>
        <w:pStyle w:val="16"/>
        <w:rPr>
          <w:rFonts w:hint="default" w:ascii="Times New Roman" w:hAnsi="Times New Roman" w:cs="Times New Roman"/>
          <w:b/>
          <w:color w:val="auto"/>
          <w:sz w:val="32"/>
          <w:szCs w:val="32"/>
          <w:highlight w:val="none"/>
        </w:rPr>
        <w:sectPr>
          <w:headerReference r:id="rId3" w:type="default"/>
          <w:footerReference r:id="rId4" w:type="default"/>
          <w:pgSz w:w="11906" w:h="16838"/>
          <w:pgMar w:top="1440" w:right="1797" w:bottom="1440" w:left="1797" w:header="851" w:footer="992" w:gutter="0"/>
          <w:pgBorders>
            <w:top w:val="none" w:sz="0" w:space="0"/>
            <w:left w:val="none" w:sz="0" w:space="0"/>
            <w:bottom w:val="none" w:sz="0" w:space="0"/>
            <w:right w:val="none" w:sz="0" w:space="0"/>
          </w:pgBorders>
          <w:pgNumType w:fmt="upperRoman" w:start="1"/>
          <w:cols w:space="0" w:num="1"/>
          <w:rtlGutter w:val="0"/>
          <w:docGrid w:type="linesAndChars" w:linePitch="312" w:charSpace="640"/>
        </w:sectPr>
      </w:pPr>
    </w:p>
    <w:p>
      <w:pPr>
        <w:adjustRightInd w:val="0"/>
        <w:snapToGrid w:val="0"/>
        <w:spacing w:line="480" w:lineRule="auto"/>
        <w:ind w:firstLine="0" w:firstLineChars="0"/>
        <w:jc w:val="center"/>
        <w:rPr>
          <w:rFonts w:ascii="Times New Roman" w:hAnsi="Times New Roman" w:eastAsia="仿宋_GB2312" w:cs="Times New Roman"/>
          <w:b/>
          <w:bCs/>
          <w:kern w:val="0"/>
          <w:sz w:val="40"/>
          <w:szCs w:val="24"/>
          <w:highlight w:val="none"/>
          <w:lang w:eastAsia="zh-CN"/>
        </w:rPr>
      </w:pPr>
      <w:r>
        <w:rPr>
          <w:rFonts w:ascii="Times New Roman" w:hAnsi="Times New Roman" w:eastAsia="仿宋_GB2312" w:cs="Times New Roman"/>
          <w:b/>
          <w:bCs/>
          <w:kern w:val="0"/>
          <w:sz w:val="40"/>
          <w:szCs w:val="24"/>
          <w:highlight w:val="none"/>
          <w:lang w:eastAsia="zh-CN"/>
        </w:rPr>
        <w:t>编制单位及人员基本情况</w:t>
      </w:r>
    </w:p>
    <w:tbl>
      <w:tblPr>
        <w:tblStyle w:val="22"/>
        <w:tblW w:w="8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9"/>
        <w:gridCol w:w="1992"/>
        <w:gridCol w:w="2354"/>
        <w:gridCol w:w="1332"/>
        <w:gridCol w:w="1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jc w:val="center"/>
        </w:trPr>
        <w:tc>
          <w:tcPr>
            <w:tcW w:w="1139"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编制单位</w:t>
            </w:r>
          </w:p>
        </w:tc>
        <w:tc>
          <w:tcPr>
            <w:tcW w:w="7389" w:type="dxa"/>
            <w:gridSpan w:val="4"/>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新疆智恒技术咨询有限公司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jc w:val="center"/>
        </w:trPr>
        <w:tc>
          <w:tcPr>
            <w:tcW w:w="1139"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法人代表</w:t>
            </w:r>
          </w:p>
        </w:tc>
        <w:tc>
          <w:tcPr>
            <w:tcW w:w="7389" w:type="dxa"/>
            <w:gridSpan w:val="4"/>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杨辉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jc w:val="center"/>
        </w:trPr>
        <w:tc>
          <w:tcPr>
            <w:tcW w:w="1139"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联系人</w:t>
            </w:r>
          </w:p>
        </w:tc>
        <w:tc>
          <w:tcPr>
            <w:tcW w:w="1992"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rPr>
              <w:t>凌金金</w:t>
            </w:r>
          </w:p>
        </w:tc>
        <w:tc>
          <w:tcPr>
            <w:tcW w:w="2354"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联系电话</w:t>
            </w:r>
          </w:p>
        </w:tc>
        <w:tc>
          <w:tcPr>
            <w:tcW w:w="3043" w:type="dxa"/>
            <w:gridSpan w:val="2"/>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eastAsia" w:ascii="Times New Roman" w:hAnsi="Times New Roman" w:eastAsia="仿宋_GB2312"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jc w:val="center"/>
        </w:trPr>
        <w:tc>
          <w:tcPr>
            <w:tcW w:w="1139"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单位地址</w:t>
            </w:r>
          </w:p>
        </w:tc>
        <w:tc>
          <w:tcPr>
            <w:tcW w:w="7389" w:type="dxa"/>
            <w:gridSpan w:val="4"/>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eastAsia"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 w:cs="Times New Roman"/>
                <w:color w:val="auto"/>
                <w:sz w:val="21"/>
                <w:szCs w:val="21"/>
                <w:highlight w:val="none"/>
                <w:lang w:eastAsia="zh-CN"/>
              </w:rPr>
              <w:t>新疆喀什地区喀什经济开发区兵团分区总部大厦A座5层503室53号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jc w:val="center"/>
        </w:trPr>
        <w:tc>
          <w:tcPr>
            <w:tcW w:w="1139"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资质证书</w:t>
            </w:r>
          </w:p>
        </w:tc>
        <w:tc>
          <w:tcPr>
            <w:tcW w:w="1992"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_GB2312" w:cs="Times New Roman"/>
                <w:color w:val="auto"/>
                <w:kern w:val="0"/>
                <w:sz w:val="21"/>
                <w:szCs w:val="21"/>
                <w:highlight w:val="none"/>
                <w:lang w:val="en-US" w:eastAsia="zh-CN"/>
              </w:rPr>
            </w:pPr>
          </w:p>
        </w:tc>
        <w:tc>
          <w:tcPr>
            <w:tcW w:w="2354"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证书编号</w:t>
            </w:r>
          </w:p>
        </w:tc>
        <w:tc>
          <w:tcPr>
            <w:tcW w:w="3043" w:type="dxa"/>
            <w:gridSpan w:val="2"/>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_GB2312"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jc w:val="center"/>
        </w:trPr>
        <w:tc>
          <w:tcPr>
            <w:tcW w:w="1139"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资质等级</w:t>
            </w:r>
          </w:p>
        </w:tc>
        <w:tc>
          <w:tcPr>
            <w:tcW w:w="1992"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_GB2312" w:cs="Times New Roman"/>
                <w:color w:val="auto"/>
                <w:kern w:val="0"/>
                <w:sz w:val="21"/>
                <w:szCs w:val="21"/>
                <w:highlight w:val="none"/>
                <w:lang w:val="en-US" w:eastAsia="zh-CN"/>
              </w:rPr>
            </w:pPr>
          </w:p>
        </w:tc>
        <w:tc>
          <w:tcPr>
            <w:tcW w:w="2354"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发证机关</w:t>
            </w:r>
          </w:p>
        </w:tc>
        <w:tc>
          <w:tcPr>
            <w:tcW w:w="3043" w:type="dxa"/>
            <w:gridSpan w:val="2"/>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_GB2312" w:cs="Times New Roman"/>
                <w:color w:val="auto"/>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jc w:val="center"/>
        </w:trPr>
        <w:tc>
          <w:tcPr>
            <w:tcW w:w="8528" w:type="dxa"/>
            <w:gridSpan w:val="5"/>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主要编制人员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jc w:val="center"/>
        </w:trPr>
        <w:tc>
          <w:tcPr>
            <w:tcW w:w="1139"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姓名</w:t>
            </w:r>
          </w:p>
        </w:tc>
        <w:tc>
          <w:tcPr>
            <w:tcW w:w="1992"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职称</w:t>
            </w:r>
          </w:p>
        </w:tc>
        <w:tc>
          <w:tcPr>
            <w:tcW w:w="3686" w:type="dxa"/>
            <w:gridSpan w:val="2"/>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工作单位</w:t>
            </w:r>
          </w:p>
        </w:tc>
        <w:tc>
          <w:tcPr>
            <w:tcW w:w="171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_GB2312" w:cs="Times New Roman"/>
                <w:color w:val="auto"/>
                <w:kern w:val="0"/>
                <w:sz w:val="21"/>
                <w:szCs w:val="21"/>
                <w:highlight w:val="none"/>
                <w:lang w:val="en-US" w:eastAsia="zh-CN"/>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jc w:val="center"/>
        </w:trPr>
        <w:tc>
          <w:tcPr>
            <w:tcW w:w="1139" w:type="dxa"/>
            <w:tcBorders>
              <w:top w:val="single" w:color="auto" w:sz="4" w:space="0"/>
              <w:left w:val="single" w:color="auto" w:sz="4" w:space="0"/>
              <w:bottom w:val="single" w:color="auto" w:sz="4" w:space="0"/>
              <w:right w:val="single" w:color="auto" w:sz="4" w:space="0"/>
            </w:tcBorders>
            <w:vAlign w:val="center"/>
          </w:tcPr>
          <w:p>
            <w:pPr>
              <w:pStyle w:val="40"/>
              <w:ind w:firstLine="0" w:firstLineChars="0"/>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李霞</w:t>
            </w:r>
          </w:p>
        </w:tc>
        <w:tc>
          <w:tcPr>
            <w:tcW w:w="1992" w:type="dxa"/>
            <w:tcBorders>
              <w:top w:val="single" w:color="auto" w:sz="4" w:space="0"/>
              <w:left w:val="single" w:color="auto" w:sz="4" w:space="0"/>
              <w:bottom w:val="single" w:color="auto" w:sz="4" w:space="0"/>
              <w:right w:val="single" w:color="auto" w:sz="4" w:space="0"/>
            </w:tcBorders>
            <w:vAlign w:val="center"/>
          </w:tcPr>
          <w:p>
            <w:pPr>
              <w:pStyle w:val="40"/>
              <w:ind w:firstLine="0" w:firstLineChars="0"/>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总工</w:t>
            </w:r>
          </w:p>
        </w:tc>
        <w:tc>
          <w:tcPr>
            <w:tcW w:w="3686" w:type="dxa"/>
            <w:gridSpan w:val="2"/>
            <w:tcBorders>
              <w:top w:val="single" w:color="auto" w:sz="4" w:space="0"/>
              <w:left w:val="single" w:color="auto" w:sz="4" w:space="0"/>
              <w:bottom w:val="single" w:color="auto" w:sz="4" w:space="0"/>
              <w:right w:val="single" w:color="auto" w:sz="4" w:space="0"/>
            </w:tcBorders>
            <w:vAlign w:val="center"/>
          </w:tcPr>
          <w:p>
            <w:pPr>
              <w:pStyle w:val="40"/>
              <w:ind w:firstLine="0" w:firstLineChars="0"/>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新疆智恒技术咨询有限公司</w:t>
            </w:r>
          </w:p>
        </w:tc>
        <w:tc>
          <w:tcPr>
            <w:tcW w:w="171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cs="Times New Roman"/>
                <w:color w:val="auto"/>
                <w:sz w:val="21"/>
                <w:szCs w:val="21"/>
                <w:highlight w:val="none"/>
                <w:lang w:val="en-US" w:eastAsia="zh-CN"/>
              </w:rPr>
              <w:drawing>
                <wp:inline distT="0" distB="0" distL="114300" distR="114300">
                  <wp:extent cx="765810" cy="424180"/>
                  <wp:effectExtent l="0" t="0" r="15240" b="13970"/>
                  <wp:docPr id="33" name="图片 33" descr="微信图片_2023022114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230221141007"/>
                          <pic:cNvPicPr>
                            <a:picLocks noChangeAspect="1"/>
                          </pic:cNvPicPr>
                        </pic:nvPicPr>
                        <pic:blipFill>
                          <a:blip r:embed="rId13"/>
                          <a:stretch>
                            <a:fillRect/>
                          </a:stretch>
                        </pic:blipFill>
                        <pic:spPr>
                          <a:xfrm>
                            <a:off x="0" y="0"/>
                            <a:ext cx="765810" cy="4241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jc w:val="center"/>
        </w:trPr>
        <w:tc>
          <w:tcPr>
            <w:tcW w:w="1139" w:type="dxa"/>
            <w:tcBorders>
              <w:top w:val="single" w:color="auto" w:sz="4" w:space="0"/>
              <w:left w:val="single" w:color="auto" w:sz="4" w:space="0"/>
              <w:bottom w:val="single" w:color="auto" w:sz="4" w:space="0"/>
              <w:right w:val="single" w:color="auto" w:sz="4" w:space="0"/>
            </w:tcBorders>
            <w:vAlign w:val="center"/>
          </w:tcPr>
          <w:p>
            <w:pPr>
              <w:pStyle w:val="40"/>
              <w:ind w:firstLine="0" w:firstLineChars="0"/>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王金龙</w:t>
            </w:r>
          </w:p>
        </w:tc>
        <w:tc>
          <w:tcPr>
            <w:tcW w:w="1992" w:type="dxa"/>
            <w:tcBorders>
              <w:top w:val="single" w:color="auto" w:sz="4" w:space="0"/>
              <w:left w:val="single" w:color="auto" w:sz="4" w:space="0"/>
              <w:bottom w:val="single" w:color="auto" w:sz="4" w:space="0"/>
              <w:right w:val="single" w:color="auto" w:sz="4" w:space="0"/>
            </w:tcBorders>
            <w:vAlign w:val="center"/>
          </w:tcPr>
          <w:p>
            <w:pPr>
              <w:pStyle w:val="40"/>
              <w:ind w:firstLine="0" w:firstLineChars="0"/>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项目负责人</w:t>
            </w:r>
          </w:p>
        </w:tc>
        <w:tc>
          <w:tcPr>
            <w:tcW w:w="3686" w:type="dxa"/>
            <w:gridSpan w:val="2"/>
            <w:tcBorders>
              <w:top w:val="single" w:color="auto" w:sz="4" w:space="0"/>
              <w:left w:val="single" w:color="auto" w:sz="4" w:space="0"/>
              <w:bottom w:val="single" w:color="auto" w:sz="4" w:space="0"/>
              <w:right w:val="single" w:color="auto" w:sz="4" w:space="0"/>
            </w:tcBorders>
            <w:vAlign w:val="center"/>
          </w:tcPr>
          <w:p>
            <w:pPr>
              <w:pStyle w:val="40"/>
              <w:ind w:firstLine="0" w:firstLineChars="0"/>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新疆智恒技术咨询有限公司</w:t>
            </w:r>
          </w:p>
        </w:tc>
        <w:tc>
          <w:tcPr>
            <w:tcW w:w="171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cs="Times New Roman"/>
                <w:color w:val="auto"/>
                <w:sz w:val="21"/>
                <w:szCs w:val="21"/>
                <w:highlight w:val="none"/>
                <w:lang w:val="en-US" w:eastAsia="zh-CN"/>
              </w:rPr>
              <w:drawing>
                <wp:inline distT="0" distB="0" distL="114300" distR="114300">
                  <wp:extent cx="839470" cy="474980"/>
                  <wp:effectExtent l="0" t="0" r="17780" b="1270"/>
                  <wp:docPr id="34" name="图片 34" descr="微信图片_20230221155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微信图片_20230221155508"/>
                          <pic:cNvPicPr>
                            <a:picLocks noChangeAspect="1"/>
                          </pic:cNvPicPr>
                        </pic:nvPicPr>
                        <pic:blipFill>
                          <a:blip r:embed="rId14"/>
                          <a:stretch>
                            <a:fillRect/>
                          </a:stretch>
                        </pic:blipFill>
                        <pic:spPr>
                          <a:xfrm>
                            <a:off x="0" y="0"/>
                            <a:ext cx="839470" cy="4749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jc w:val="center"/>
        </w:trPr>
        <w:tc>
          <w:tcPr>
            <w:tcW w:w="1139" w:type="dxa"/>
            <w:tcBorders>
              <w:top w:val="single" w:color="auto" w:sz="4" w:space="0"/>
              <w:left w:val="single" w:color="auto" w:sz="4" w:space="0"/>
              <w:bottom w:val="single" w:color="auto" w:sz="4" w:space="0"/>
              <w:right w:val="single" w:color="auto" w:sz="4" w:space="0"/>
            </w:tcBorders>
            <w:vAlign w:val="center"/>
          </w:tcPr>
          <w:p>
            <w:pPr>
              <w:pStyle w:val="40"/>
              <w:ind w:firstLine="0" w:firstLineChars="0"/>
              <w:rPr>
                <w:rFonts w:hint="eastAsia"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涂源</w:t>
            </w:r>
          </w:p>
        </w:tc>
        <w:tc>
          <w:tcPr>
            <w:tcW w:w="1992" w:type="dxa"/>
            <w:tcBorders>
              <w:top w:val="single" w:color="auto" w:sz="4" w:space="0"/>
              <w:left w:val="single" w:color="auto" w:sz="4" w:space="0"/>
              <w:bottom w:val="single" w:color="auto" w:sz="4" w:space="0"/>
              <w:right w:val="single" w:color="auto" w:sz="4" w:space="0"/>
            </w:tcBorders>
            <w:vAlign w:val="center"/>
          </w:tcPr>
          <w:p>
            <w:pPr>
              <w:pStyle w:val="40"/>
              <w:ind w:firstLine="0" w:firstLineChars="0"/>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项目负责人</w:t>
            </w:r>
          </w:p>
        </w:tc>
        <w:tc>
          <w:tcPr>
            <w:tcW w:w="3686" w:type="dxa"/>
            <w:gridSpan w:val="2"/>
            <w:tcBorders>
              <w:top w:val="single" w:color="auto" w:sz="4" w:space="0"/>
              <w:left w:val="single" w:color="auto" w:sz="4" w:space="0"/>
              <w:bottom w:val="single" w:color="auto" w:sz="4" w:space="0"/>
              <w:right w:val="single" w:color="auto" w:sz="4" w:space="0"/>
            </w:tcBorders>
            <w:vAlign w:val="center"/>
          </w:tcPr>
          <w:p>
            <w:pPr>
              <w:pStyle w:val="40"/>
              <w:ind w:firstLine="0" w:firstLineChars="0"/>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新疆智恒技术咨询有限公司</w:t>
            </w:r>
          </w:p>
        </w:tc>
        <w:tc>
          <w:tcPr>
            <w:tcW w:w="171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cs="Times New Roman"/>
                <w:sz w:val="21"/>
                <w:szCs w:val="21"/>
                <w:highlight w:val="none"/>
              </w:rPr>
              <w:drawing>
                <wp:inline distT="0" distB="0" distL="114300" distR="114300">
                  <wp:extent cx="889635" cy="570865"/>
                  <wp:effectExtent l="0" t="0" r="5715" b="635"/>
                  <wp:docPr id="35" name="图片 35" descr="微信图片_20230221160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230221160635"/>
                          <pic:cNvPicPr>
                            <a:picLocks noChangeAspect="1"/>
                          </pic:cNvPicPr>
                        </pic:nvPicPr>
                        <pic:blipFill>
                          <a:blip r:embed="rId15"/>
                          <a:stretch>
                            <a:fillRect/>
                          </a:stretch>
                        </pic:blipFill>
                        <pic:spPr>
                          <a:xfrm>
                            <a:off x="0" y="0"/>
                            <a:ext cx="889635" cy="5708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jc w:val="center"/>
        </w:trPr>
        <w:tc>
          <w:tcPr>
            <w:tcW w:w="1139" w:type="dxa"/>
            <w:tcBorders>
              <w:top w:val="single" w:color="auto" w:sz="4" w:space="0"/>
              <w:left w:val="single" w:color="auto" w:sz="4" w:space="0"/>
              <w:bottom w:val="single" w:color="auto" w:sz="4" w:space="0"/>
              <w:right w:val="single" w:color="auto" w:sz="4" w:space="0"/>
            </w:tcBorders>
            <w:vAlign w:val="center"/>
          </w:tcPr>
          <w:p>
            <w:pPr>
              <w:pStyle w:val="40"/>
              <w:ind w:firstLine="0" w:firstLineChars="0"/>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 xml:space="preserve"> 阿瓦古丽 </w:t>
            </w:r>
          </w:p>
        </w:tc>
        <w:tc>
          <w:tcPr>
            <w:tcW w:w="1992" w:type="dxa"/>
            <w:tcBorders>
              <w:top w:val="single" w:color="auto" w:sz="4" w:space="0"/>
              <w:left w:val="single" w:color="auto" w:sz="4" w:space="0"/>
              <w:bottom w:val="single" w:color="auto" w:sz="4" w:space="0"/>
              <w:right w:val="single" w:color="auto" w:sz="4" w:space="0"/>
            </w:tcBorders>
            <w:vAlign w:val="center"/>
          </w:tcPr>
          <w:p>
            <w:pPr>
              <w:pStyle w:val="40"/>
              <w:ind w:firstLine="0" w:firstLineChars="0"/>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技术骨干</w:t>
            </w:r>
          </w:p>
        </w:tc>
        <w:tc>
          <w:tcPr>
            <w:tcW w:w="3686" w:type="dxa"/>
            <w:gridSpan w:val="2"/>
            <w:tcBorders>
              <w:top w:val="single" w:color="auto" w:sz="4" w:space="0"/>
              <w:left w:val="single" w:color="auto" w:sz="4" w:space="0"/>
              <w:bottom w:val="single" w:color="auto" w:sz="4" w:space="0"/>
              <w:right w:val="single" w:color="auto" w:sz="4" w:space="0"/>
            </w:tcBorders>
            <w:vAlign w:val="center"/>
          </w:tcPr>
          <w:p>
            <w:pPr>
              <w:pStyle w:val="40"/>
              <w:ind w:firstLine="0" w:firstLineChars="0"/>
              <w:rPr>
                <w:rFonts w:hint="eastAsia" w:ascii="Times New Roman" w:hAnsi="Times New Roman" w:eastAsia="仿宋_GB2312" w:cs="Times New Roman"/>
                <w:color w:val="auto"/>
                <w:kern w:val="0"/>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新疆智恒技术咨询有限公司</w:t>
            </w:r>
          </w:p>
        </w:tc>
        <w:tc>
          <w:tcPr>
            <w:tcW w:w="1711" w:type="dxa"/>
            <w:tcBorders>
              <w:top w:val="single" w:color="auto" w:sz="4" w:space="0"/>
              <w:left w:val="single" w:color="auto" w:sz="4" w:space="0"/>
              <w:bottom w:val="single" w:color="auto" w:sz="4" w:space="0"/>
              <w:right w:val="single" w:color="auto" w:sz="4" w:space="0"/>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_GB2312" w:cs="Times New Roman"/>
                <w:color w:val="auto"/>
                <w:kern w:val="0"/>
                <w:sz w:val="21"/>
                <w:szCs w:val="21"/>
                <w:highlight w:val="none"/>
                <w:lang w:val="en-US" w:eastAsia="zh-CN"/>
              </w:rPr>
            </w:pPr>
            <w:r>
              <w:rPr>
                <w:rFonts w:hint="default" w:ascii="Times New Roman" w:hAnsi="Times New Roman" w:cs="Times New Roman"/>
                <w:color w:val="auto"/>
                <w:sz w:val="21"/>
                <w:szCs w:val="21"/>
                <w:highlight w:val="none"/>
                <w:lang w:val="en-US" w:eastAsia="zh-CN"/>
              </w:rPr>
              <w:drawing>
                <wp:inline distT="0" distB="0" distL="114300" distR="114300">
                  <wp:extent cx="829310" cy="476250"/>
                  <wp:effectExtent l="0" t="0" r="8890" b="0"/>
                  <wp:docPr id="36" name="图片 36" descr="微信图片_2023022116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30221160713"/>
                          <pic:cNvPicPr>
                            <a:picLocks noChangeAspect="1"/>
                          </pic:cNvPicPr>
                        </pic:nvPicPr>
                        <pic:blipFill>
                          <a:blip r:embed="rId16"/>
                          <a:stretch>
                            <a:fillRect/>
                          </a:stretch>
                        </pic:blipFill>
                        <pic:spPr>
                          <a:xfrm>
                            <a:off x="0" y="0"/>
                            <a:ext cx="829310" cy="476250"/>
                          </a:xfrm>
                          <a:prstGeom prst="rect">
                            <a:avLst/>
                          </a:prstGeom>
                        </pic:spPr>
                      </pic:pic>
                    </a:graphicData>
                  </a:graphic>
                </wp:inline>
              </w:drawing>
            </w:r>
          </w:p>
        </w:tc>
      </w:tr>
    </w:tbl>
    <w:p>
      <w:pPr>
        <w:rPr>
          <w:rFonts w:hint="default" w:ascii="Times New Roman" w:hAnsi="Times New Roman" w:cs="Times New Roman"/>
          <w:b/>
          <w:color w:val="auto"/>
          <w:sz w:val="32"/>
          <w:szCs w:val="32"/>
          <w:highlight w:val="none"/>
        </w:rPr>
      </w:pPr>
    </w:p>
    <w:p>
      <w:pPr>
        <w:pStyle w:val="16"/>
        <w:rPr>
          <w:rFonts w:hint="default" w:ascii="Times New Roman" w:hAnsi="Times New Roman" w:cs="Times New Roman"/>
          <w:b/>
          <w:color w:val="auto"/>
          <w:sz w:val="32"/>
          <w:szCs w:val="32"/>
          <w:highlight w:val="none"/>
        </w:rPr>
        <w:sectPr>
          <w:footerReference r:id="rId5" w:type="default"/>
          <w:pgSz w:w="11906" w:h="16838"/>
          <w:pgMar w:top="1440" w:right="1797" w:bottom="1440" w:left="1797" w:header="851" w:footer="992" w:gutter="0"/>
          <w:pgBorders>
            <w:top w:val="none" w:sz="0" w:space="0"/>
            <w:left w:val="none" w:sz="0" w:space="0"/>
            <w:bottom w:val="none" w:sz="0" w:space="0"/>
            <w:right w:val="none" w:sz="0" w:space="0"/>
          </w:pgBorders>
          <w:pgNumType w:fmt="upperRoman" w:start="1"/>
          <w:cols w:space="0" w:num="1"/>
          <w:rtlGutter w:val="0"/>
          <w:docGrid w:type="linesAndChars" w:linePitch="312" w:charSpace="640"/>
        </w:sectPr>
      </w:pPr>
    </w:p>
    <w:p>
      <w:pPr>
        <w:pStyle w:val="16"/>
        <w:rPr>
          <w:rFonts w:hint="default" w:ascii="Times New Roman" w:hAnsi="Times New Roman" w:cs="Times New Roman"/>
          <w:b/>
          <w:color w:val="auto"/>
          <w:sz w:val="32"/>
          <w:szCs w:val="32"/>
          <w:highlight w:val="none"/>
        </w:rPr>
      </w:pPr>
      <w:r>
        <w:rPr>
          <w:rFonts w:hint="default" w:ascii="Times New Roman" w:hAnsi="Times New Roman" w:cs="Times New Roman"/>
          <w:b/>
          <w:color w:val="auto"/>
          <w:sz w:val="32"/>
          <w:szCs w:val="32"/>
          <w:highlight w:val="none"/>
        </w:rPr>
        <w:t>目</w:t>
      </w:r>
      <w:r>
        <w:rPr>
          <w:rFonts w:hint="default" w:ascii="Times New Roman" w:hAnsi="Times New Roman" w:cs="Times New Roman"/>
          <w:b/>
          <w:color w:val="auto"/>
          <w:sz w:val="32"/>
          <w:szCs w:val="32"/>
          <w:highlight w:val="none"/>
          <w:lang w:val="en-US" w:eastAsia="zh-CN"/>
        </w:rPr>
        <w:t xml:space="preserve"> </w:t>
      </w:r>
      <w:r>
        <w:rPr>
          <w:rFonts w:hint="default" w:ascii="Times New Roman" w:hAnsi="Times New Roman" w:cs="Times New Roman"/>
          <w:b/>
          <w:color w:val="auto"/>
          <w:sz w:val="32"/>
          <w:szCs w:val="32"/>
          <w:highlight w:val="none"/>
        </w:rPr>
        <w:t>录</w:t>
      </w:r>
    </w:p>
    <w:p>
      <w:pPr>
        <w:pStyle w:val="17"/>
        <w:keepNext w:val="0"/>
        <w:keepLines w:val="0"/>
        <w:pageBreakBefore w:val="0"/>
        <w:widowControl/>
        <w:tabs>
          <w:tab w:val="right" w:leader="dot" w:pos="8312"/>
        </w:tabs>
        <w:kinsoku/>
        <w:wordWrap/>
        <w:overflowPunct/>
        <w:topLinePunct w:val="0"/>
        <w:autoSpaceDE/>
        <w:autoSpaceDN/>
        <w:bidi w:val="0"/>
        <w:adjustRightInd/>
        <w:snapToGrid/>
        <w:ind w:left="0"/>
        <w:textAlignment w:val="auto"/>
        <w:rPr>
          <w:rFonts w:hint="default" w:ascii="Times New Roman" w:hAnsi="Times New Roman" w:eastAsia="仿宋" w:cs="Times New Roman"/>
          <w:b/>
          <w:bCs/>
          <w:color w:val="auto"/>
          <w:kern w:val="0"/>
          <w:sz w:val="24"/>
          <w:szCs w:val="24"/>
          <w:highlight w:val="none"/>
          <w:lang w:val="en-US" w:eastAsia="zh-CN" w:bidi="ar-SA"/>
        </w:rPr>
      </w:pPr>
      <w:r>
        <w:rPr>
          <w:rFonts w:hint="default" w:ascii="Times New Roman" w:hAnsi="Times New Roman" w:eastAsia="仿宋" w:cs="Times New Roman"/>
          <w:color w:val="auto"/>
          <w:kern w:val="0"/>
          <w:sz w:val="24"/>
          <w:szCs w:val="24"/>
          <w:highlight w:val="none"/>
        </w:rPr>
        <w:fldChar w:fldCharType="begin"/>
      </w:r>
      <w:r>
        <w:rPr>
          <w:rFonts w:hint="default" w:ascii="Times New Roman" w:hAnsi="Times New Roman" w:eastAsia="仿宋" w:cs="Times New Roman"/>
          <w:color w:val="auto"/>
          <w:kern w:val="0"/>
          <w:sz w:val="24"/>
          <w:szCs w:val="24"/>
          <w:highlight w:val="none"/>
        </w:rPr>
        <w:instrText xml:space="preserve">TOC \o "1-3" \h \u </w:instrText>
      </w:r>
      <w:r>
        <w:rPr>
          <w:rFonts w:hint="default" w:ascii="Times New Roman" w:hAnsi="Times New Roman" w:eastAsia="仿宋" w:cs="Times New Roman"/>
          <w:color w:val="auto"/>
          <w:kern w:val="0"/>
          <w:sz w:val="24"/>
          <w:szCs w:val="24"/>
          <w:highlight w:val="none"/>
        </w:rPr>
        <w:fldChar w:fldCharType="separate"/>
      </w:r>
      <w:r>
        <w:rPr>
          <w:rFonts w:hint="default" w:ascii="Times New Roman" w:hAnsi="Times New Roman" w:eastAsia="仿宋" w:cs="Times New Roman"/>
          <w:b/>
          <w:bCs/>
          <w:color w:val="auto"/>
          <w:kern w:val="0"/>
          <w:sz w:val="24"/>
          <w:szCs w:val="24"/>
          <w:highlight w:val="none"/>
          <w:lang w:val="en-US" w:eastAsia="zh-CN" w:bidi="ar-SA"/>
        </w:rPr>
        <w:fldChar w:fldCharType="begin"/>
      </w:r>
      <w:r>
        <w:rPr>
          <w:rFonts w:hint="default" w:ascii="Times New Roman" w:hAnsi="Times New Roman" w:eastAsia="仿宋" w:cs="Times New Roman"/>
          <w:b/>
          <w:bCs/>
          <w:color w:val="auto"/>
          <w:kern w:val="0"/>
          <w:sz w:val="24"/>
          <w:szCs w:val="24"/>
          <w:highlight w:val="none"/>
          <w:lang w:val="en-US" w:eastAsia="zh-CN" w:bidi="ar-SA"/>
        </w:rPr>
        <w:instrText xml:space="preserve"> HYPERLINK \l _Toc4387 </w:instrText>
      </w:r>
      <w:r>
        <w:rPr>
          <w:rFonts w:hint="default" w:ascii="Times New Roman" w:hAnsi="Times New Roman" w:eastAsia="仿宋" w:cs="Times New Roman"/>
          <w:b/>
          <w:bCs/>
          <w:color w:val="auto"/>
          <w:kern w:val="0"/>
          <w:sz w:val="24"/>
          <w:szCs w:val="24"/>
          <w:highlight w:val="none"/>
          <w:lang w:val="en-US" w:eastAsia="zh-CN" w:bidi="ar-SA"/>
        </w:rPr>
        <w:fldChar w:fldCharType="separate"/>
      </w:r>
      <w:r>
        <w:rPr>
          <w:rFonts w:hint="default" w:ascii="Times New Roman" w:hAnsi="Times New Roman" w:eastAsia="仿宋" w:cs="Times New Roman"/>
          <w:b/>
          <w:bCs/>
          <w:color w:val="auto"/>
          <w:kern w:val="0"/>
          <w:sz w:val="24"/>
          <w:szCs w:val="24"/>
          <w:highlight w:val="none"/>
          <w:lang w:val="en-US" w:eastAsia="zh-CN" w:bidi="ar-SA"/>
        </w:rPr>
        <w:t>1前言</w:t>
      </w:r>
      <w:r>
        <w:rPr>
          <w:rFonts w:hint="default" w:ascii="Times New Roman" w:hAnsi="Times New Roman" w:eastAsia="仿宋" w:cs="Times New Roman"/>
          <w:b/>
          <w:bCs/>
          <w:color w:val="auto"/>
          <w:kern w:val="0"/>
          <w:sz w:val="24"/>
          <w:szCs w:val="24"/>
          <w:highlight w:val="none"/>
          <w:lang w:val="en-US" w:eastAsia="zh-CN" w:bidi="ar-SA"/>
        </w:rPr>
        <w:tab/>
      </w:r>
      <w:r>
        <w:rPr>
          <w:rFonts w:hint="default" w:ascii="Times New Roman" w:hAnsi="Times New Roman" w:eastAsia="仿宋" w:cs="Times New Roman"/>
          <w:b/>
          <w:bCs/>
          <w:color w:val="auto"/>
          <w:kern w:val="0"/>
          <w:sz w:val="24"/>
          <w:szCs w:val="24"/>
          <w:highlight w:val="none"/>
          <w:lang w:val="en-US" w:eastAsia="zh-CN" w:bidi="ar-SA"/>
        </w:rPr>
        <w:fldChar w:fldCharType="begin"/>
      </w:r>
      <w:r>
        <w:rPr>
          <w:rFonts w:hint="default" w:ascii="Times New Roman" w:hAnsi="Times New Roman" w:eastAsia="仿宋" w:cs="Times New Roman"/>
          <w:b/>
          <w:bCs/>
          <w:color w:val="auto"/>
          <w:kern w:val="0"/>
          <w:sz w:val="24"/>
          <w:szCs w:val="24"/>
          <w:highlight w:val="none"/>
          <w:lang w:val="en-US" w:eastAsia="zh-CN" w:bidi="ar-SA"/>
        </w:rPr>
        <w:instrText xml:space="preserve"> PAGEREF _Toc4387 \h </w:instrText>
      </w:r>
      <w:r>
        <w:rPr>
          <w:rFonts w:hint="default" w:ascii="Times New Roman" w:hAnsi="Times New Roman" w:eastAsia="仿宋" w:cs="Times New Roman"/>
          <w:b/>
          <w:bCs/>
          <w:color w:val="auto"/>
          <w:kern w:val="0"/>
          <w:sz w:val="24"/>
          <w:szCs w:val="24"/>
          <w:highlight w:val="none"/>
          <w:lang w:val="en-US" w:eastAsia="zh-CN" w:bidi="ar-SA"/>
        </w:rPr>
        <w:fldChar w:fldCharType="separate"/>
      </w:r>
      <w:r>
        <w:rPr>
          <w:rFonts w:hint="default" w:ascii="Times New Roman" w:hAnsi="Times New Roman" w:eastAsia="仿宋" w:cs="Times New Roman"/>
          <w:b/>
          <w:bCs/>
          <w:color w:val="auto"/>
          <w:kern w:val="0"/>
          <w:sz w:val="24"/>
          <w:szCs w:val="24"/>
          <w:highlight w:val="none"/>
          <w:lang w:val="en-US" w:eastAsia="zh-CN" w:bidi="ar-SA"/>
        </w:rPr>
        <w:t>1</w:t>
      </w:r>
      <w:r>
        <w:rPr>
          <w:rFonts w:hint="default" w:ascii="Times New Roman" w:hAnsi="Times New Roman" w:eastAsia="仿宋" w:cs="Times New Roman"/>
          <w:b/>
          <w:bCs/>
          <w:color w:val="auto"/>
          <w:kern w:val="0"/>
          <w:sz w:val="24"/>
          <w:szCs w:val="24"/>
          <w:highlight w:val="none"/>
          <w:lang w:val="en-US" w:eastAsia="zh-CN" w:bidi="ar-SA"/>
        </w:rPr>
        <w:fldChar w:fldCharType="end"/>
      </w:r>
      <w:r>
        <w:rPr>
          <w:rFonts w:hint="default" w:ascii="Times New Roman" w:hAnsi="Times New Roman" w:eastAsia="仿宋" w:cs="Times New Roman"/>
          <w:b/>
          <w:bCs/>
          <w:color w:val="auto"/>
          <w:kern w:val="0"/>
          <w:sz w:val="24"/>
          <w:szCs w:val="24"/>
          <w:highlight w:val="none"/>
          <w:lang w:val="en-US" w:eastAsia="zh-CN" w:bidi="ar-SA"/>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rPr>
          <w:rFonts w:hint="default" w:ascii="Times New Roman" w:hAnsi="Times New Roman" w:eastAsia="仿宋" w:cs="Times New Roman"/>
          <w:b w:val="0"/>
          <w:bCs w:val="0"/>
          <w:color w:val="auto"/>
          <w:kern w:val="0"/>
          <w:sz w:val="24"/>
          <w:szCs w:val="24"/>
          <w:highlight w:val="none"/>
        </w:rPr>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_Toc24149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lang w:val="en-US" w:eastAsia="zh-CN"/>
        </w:rPr>
        <w:t>1.1编制背景及过程</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_Toc24149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1</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_Toc2654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lang w:val="en-US" w:eastAsia="zh-CN"/>
        </w:rPr>
        <w:t>1.2服务方案摘要</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_Toc2654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2</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16"/>
        <w:keepNext w:val="0"/>
        <w:keepLines w:val="0"/>
        <w:pageBreakBefore w:val="0"/>
        <w:widowControl/>
        <w:tabs>
          <w:tab w:val="right" w:leader="dot" w:pos="8312"/>
          <w:tab w:val="clear" w:pos="8296"/>
        </w:tabs>
        <w:kinsoku/>
        <w:wordWrap/>
        <w:overflowPunct/>
        <w:topLinePunct w:val="0"/>
        <w:autoSpaceDE/>
        <w:autoSpaceDN/>
        <w:bidi w:val="0"/>
        <w:adjustRightInd/>
        <w:snapToGrid/>
        <w:spacing w:after="0" w:line="460" w:lineRule="exact"/>
        <w:ind w:left="0"/>
        <w:textAlignment w:val="auto"/>
        <w:rPr>
          <w:rFonts w:hint="default" w:ascii="Times New Roman" w:hAnsi="Times New Roman" w:eastAsia="仿宋" w:cs="Times New Roman"/>
          <w:b/>
          <w:bCs/>
          <w:color w:val="auto"/>
          <w:kern w:val="0"/>
          <w:sz w:val="24"/>
          <w:szCs w:val="24"/>
          <w:highlight w:val="none"/>
        </w:rPr>
      </w:pPr>
      <w:r>
        <w:rPr>
          <w:rFonts w:hint="default" w:ascii="Times New Roman" w:hAnsi="Times New Roman" w:eastAsia="仿宋" w:cs="Times New Roman"/>
          <w:b/>
          <w:bCs/>
          <w:color w:val="auto"/>
          <w:kern w:val="0"/>
          <w:sz w:val="24"/>
          <w:szCs w:val="24"/>
          <w:highlight w:val="none"/>
        </w:rPr>
        <w:fldChar w:fldCharType="begin"/>
      </w:r>
      <w:r>
        <w:rPr>
          <w:rFonts w:hint="default" w:ascii="Times New Roman" w:hAnsi="Times New Roman" w:eastAsia="仿宋" w:cs="Times New Roman"/>
          <w:b/>
          <w:bCs/>
          <w:color w:val="auto"/>
          <w:kern w:val="0"/>
          <w:sz w:val="24"/>
          <w:szCs w:val="24"/>
          <w:highlight w:val="none"/>
        </w:rPr>
        <w:instrText xml:space="preserve"> HYPERLINK \l _Toc1878 </w:instrText>
      </w:r>
      <w:r>
        <w:rPr>
          <w:rFonts w:hint="default" w:ascii="Times New Roman" w:hAnsi="Times New Roman" w:eastAsia="仿宋" w:cs="Times New Roman"/>
          <w:b/>
          <w:bCs/>
          <w:color w:val="auto"/>
          <w:kern w:val="0"/>
          <w:sz w:val="24"/>
          <w:szCs w:val="24"/>
          <w:highlight w:val="none"/>
        </w:rPr>
        <w:fldChar w:fldCharType="separate"/>
      </w:r>
      <w:r>
        <w:rPr>
          <w:rFonts w:hint="default" w:ascii="Times New Roman" w:hAnsi="Times New Roman" w:eastAsia="仿宋" w:cs="Times New Roman"/>
          <w:b/>
          <w:bCs/>
          <w:color w:val="auto"/>
          <w:kern w:val="0"/>
          <w:sz w:val="24"/>
          <w:szCs w:val="24"/>
          <w:highlight w:val="none"/>
          <w:lang w:val="en-US" w:eastAsia="zh-CN"/>
        </w:rPr>
        <w:t>2编制总则</w:t>
      </w:r>
      <w:r>
        <w:rPr>
          <w:rFonts w:hint="default" w:ascii="Times New Roman" w:hAnsi="Times New Roman" w:eastAsia="仿宋" w:cs="Times New Roman"/>
          <w:b/>
          <w:bCs/>
          <w:color w:val="auto"/>
          <w:kern w:val="0"/>
          <w:sz w:val="24"/>
          <w:szCs w:val="24"/>
          <w:highlight w:val="none"/>
        </w:rPr>
        <w:tab/>
      </w:r>
      <w:r>
        <w:rPr>
          <w:rFonts w:hint="default" w:ascii="Times New Roman" w:hAnsi="Times New Roman" w:eastAsia="仿宋" w:cs="Times New Roman"/>
          <w:b/>
          <w:bCs/>
          <w:color w:val="auto"/>
          <w:kern w:val="0"/>
          <w:sz w:val="24"/>
          <w:szCs w:val="24"/>
          <w:highlight w:val="none"/>
        </w:rPr>
        <w:fldChar w:fldCharType="begin"/>
      </w:r>
      <w:r>
        <w:rPr>
          <w:rFonts w:hint="default" w:ascii="Times New Roman" w:hAnsi="Times New Roman" w:eastAsia="仿宋" w:cs="Times New Roman"/>
          <w:b/>
          <w:bCs/>
          <w:color w:val="auto"/>
          <w:kern w:val="0"/>
          <w:sz w:val="24"/>
          <w:szCs w:val="24"/>
          <w:highlight w:val="none"/>
        </w:rPr>
        <w:instrText xml:space="preserve"> PAGEREF _Toc1878 \h </w:instrText>
      </w:r>
      <w:r>
        <w:rPr>
          <w:rFonts w:hint="default" w:ascii="Times New Roman" w:hAnsi="Times New Roman" w:eastAsia="仿宋" w:cs="Times New Roman"/>
          <w:b/>
          <w:bCs/>
          <w:color w:val="auto"/>
          <w:kern w:val="0"/>
          <w:sz w:val="24"/>
          <w:szCs w:val="24"/>
          <w:highlight w:val="none"/>
        </w:rPr>
        <w:fldChar w:fldCharType="separate"/>
      </w:r>
      <w:r>
        <w:rPr>
          <w:rFonts w:hint="default" w:ascii="Times New Roman" w:hAnsi="Times New Roman" w:eastAsia="仿宋" w:cs="Times New Roman"/>
          <w:b/>
          <w:bCs/>
          <w:color w:val="auto"/>
          <w:kern w:val="0"/>
          <w:sz w:val="24"/>
          <w:szCs w:val="24"/>
          <w:highlight w:val="none"/>
        </w:rPr>
        <w:t>4</w:t>
      </w:r>
      <w:r>
        <w:rPr>
          <w:rFonts w:hint="default" w:ascii="Times New Roman" w:hAnsi="Times New Roman" w:eastAsia="仿宋" w:cs="Times New Roman"/>
          <w:b/>
          <w:bCs/>
          <w:color w:val="auto"/>
          <w:kern w:val="0"/>
          <w:sz w:val="24"/>
          <w:szCs w:val="24"/>
          <w:highlight w:val="none"/>
        </w:rPr>
        <w:fldChar w:fldCharType="end"/>
      </w:r>
      <w:r>
        <w:rPr>
          <w:rFonts w:hint="default" w:ascii="Times New Roman" w:hAnsi="Times New Roman" w:eastAsia="仿宋" w:cs="Times New Roman"/>
          <w:b/>
          <w:bCs/>
          <w:color w:val="auto"/>
          <w:kern w:val="0"/>
          <w:sz w:val="24"/>
          <w:szCs w:val="24"/>
          <w:highlight w:val="none"/>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rPr>
          <w:rFonts w:hint="default" w:ascii="Times New Roman" w:hAnsi="Times New Roman" w:eastAsia="仿宋" w:cs="Times New Roman"/>
          <w:b w:val="0"/>
          <w:bCs w:val="0"/>
          <w:color w:val="auto"/>
          <w:kern w:val="0"/>
          <w:sz w:val="24"/>
          <w:szCs w:val="24"/>
          <w:highlight w:val="none"/>
        </w:rPr>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_Toc6495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lang w:val="en-US" w:eastAsia="zh-CN"/>
        </w:rPr>
        <w:t>2.1编制目的</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_Toc6495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4</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rPr>
          <w:rFonts w:hint="default" w:ascii="Times New Roman" w:hAnsi="Times New Roman" w:eastAsia="仿宋" w:cs="Times New Roman"/>
          <w:b w:val="0"/>
          <w:bCs w:val="0"/>
          <w:color w:val="auto"/>
          <w:kern w:val="0"/>
          <w:sz w:val="24"/>
          <w:szCs w:val="24"/>
          <w:highlight w:val="none"/>
        </w:rPr>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_Toc25573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lang w:val="en-US" w:eastAsia="zh-CN"/>
        </w:rPr>
        <w:t>2.2编制原则</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_Toc25573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4</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rPr>
          <w:rFonts w:hint="default" w:ascii="Times New Roman" w:hAnsi="Times New Roman" w:eastAsia="仿宋" w:cs="Times New Roman"/>
          <w:b w:val="0"/>
          <w:bCs w:val="0"/>
          <w:color w:val="auto"/>
          <w:kern w:val="0"/>
          <w:sz w:val="24"/>
          <w:szCs w:val="24"/>
          <w:highlight w:val="none"/>
        </w:rPr>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_Toc28707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lang w:val="en-US" w:eastAsia="zh-CN"/>
        </w:rPr>
        <w:t>2.3编制依据</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_Toc28707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5</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rPr>
          <w:rFonts w:hint="default" w:ascii="Times New Roman" w:hAnsi="Times New Roman" w:eastAsia="仿宋" w:cs="Times New Roman"/>
          <w:b w:val="0"/>
          <w:bCs w:val="0"/>
          <w:color w:val="auto"/>
          <w:kern w:val="0"/>
          <w:sz w:val="24"/>
          <w:szCs w:val="24"/>
          <w:highlight w:val="none"/>
        </w:rPr>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_Toc20174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lang w:val="en-US" w:eastAsia="zh-CN"/>
        </w:rPr>
        <w:t>2.4项目简介</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_Toc20174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6</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_Toc13650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lang w:val="en-US" w:eastAsia="zh-CN"/>
        </w:rPr>
        <w:t>2.5项目组成</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_Toc13650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7</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16"/>
        <w:keepNext w:val="0"/>
        <w:keepLines w:val="0"/>
        <w:pageBreakBefore w:val="0"/>
        <w:widowControl/>
        <w:tabs>
          <w:tab w:val="right" w:leader="dot" w:pos="8312"/>
          <w:tab w:val="clear" w:pos="8296"/>
        </w:tabs>
        <w:kinsoku/>
        <w:wordWrap/>
        <w:overflowPunct/>
        <w:topLinePunct w:val="0"/>
        <w:autoSpaceDE/>
        <w:autoSpaceDN/>
        <w:bidi w:val="0"/>
        <w:adjustRightInd/>
        <w:snapToGrid/>
        <w:spacing w:after="0" w:line="460" w:lineRule="exact"/>
        <w:ind w:left="0"/>
        <w:textAlignment w:val="auto"/>
        <w:rPr>
          <w:rFonts w:hint="default" w:ascii="Times New Roman" w:hAnsi="Times New Roman" w:eastAsia="仿宋" w:cs="Times New Roman"/>
          <w:b/>
          <w:bCs/>
          <w:color w:val="auto"/>
          <w:kern w:val="0"/>
          <w:sz w:val="24"/>
          <w:szCs w:val="24"/>
          <w:highlight w:val="none"/>
        </w:rPr>
      </w:pPr>
      <w:r>
        <w:rPr>
          <w:rFonts w:hint="default" w:ascii="Times New Roman" w:hAnsi="Times New Roman" w:eastAsia="仿宋" w:cs="Times New Roman"/>
          <w:b/>
          <w:bCs/>
          <w:color w:val="auto"/>
          <w:kern w:val="0"/>
          <w:sz w:val="24"/>
          <w:szCs w:val="24"/>
          <w:highlight w:val="none"/>
        </w:rPr>
        <w:fldChar w:fldCharType="begin"/>
      </w:r>
      <w:r>
        <w:rPr>
          <w:rFonts w:hint="default" w:ascii="Times New Roman" w:hAnsi="Times New Roman" w:eastAsia="仿宋" w:cs="Times New Roman"/>
          <w:b/>
          <w:bCs/>
          <w:color w:val="auto"/>
          <w:kern w:val="0"/>
          <w:sz w:val="24"/>
          <w:szCs w:val="24"/>
          <w:highlight w:val="none"/>
        </w:rPr>
        <w:instrText xml:space="preserve"> HYPERLINK \l _Toc2429 </w:instrText>
      </w:r>
      <w:r>
        <w:rPr>
          <w:rFonts w:hint="default" w:ascii="Times New Roman" w:hAnsi="Times New Roman" w:eastAsia="仿宋" w:cs="Times New Roman"/>
          <w:b/>
          <w:bCs/>
          <w:color w:val="auto"/>
          <w:kern w:val="0"/>
          <w:sz w:val="24"/>
          <w:szCs w:val="24"/>
          <w:highlight w:val="none"/>
        </w:rPr>
        <w:fldChar w:fldCharType="separate"/>
      </w:r>
      <w:r>
        <w:rPr>
          <w:rFonts w:hint="eastAsia" w:ascii="Times New Roman" w:hAnsi="Times New Roman" w:eastAsia="仿宋" w:cs="Times New Roman"/>
          <w:b/>
          <w:bCs/>
          <w:color w:val="auto"/>
          <w:kern w:val="0"/>
          <w:sz w:val="24"/>
          <w:szCs w:val="24"/>
          <w:highlight w:val="none"/>
          <w:lang w:val="en-US" w:eastAsia="zh-CN"/>
        </w:rPr>
        <w:t>3</w:t>
      </w:r>
      <w:r>
        <w:rPr>
          <w:rFonts w:hint="default" w:ascii="Times New Roman" w:hAnsi="Times New Roman" w:eastAsia="仿宋" w:cs="Times New Roman"/>
          <w:b/>
          <w:bCs/>
          <w:color w:val="auto"/>
          <w:kern w:val="0"/>
          <w:sz w:val="24"/>
          <w:szCs w:val="24"/>
          <w:highlight w:val="none"/>
          <w:lang w:val="en-US" w:eastAsia="zh-CN"/>
        </w:rPr>
        <w:t>项目区概况</w:t>
      </w:r>
      <w:r>
        <w:rPr>
          <w:rFonts w:hint="default" w:ascii="Times New Roman" w:hAnsi="Times New Roman" w:eastAsia="仿宋" w:cs="Times New Roman"/>
          <w:b/>
          <w:bCs/>
          <w:color w:val="auto"/>
          <w:kern w:val="0"/>
          <w:sz w:val="24"/>
          <w:szCs w:val="24"/>
          <w:highlight w:val="none"/>
        </w:rPr>
        <w:tab/>
      </w:r>
      <w:r>
        <w:rPr>
          <w:rFonts w:hint="default" w:ascii="Times New Roman" w:hAnsi="Times New Roman" w:eastAsia="仿宋" w:cs="Times New Roman"/>
          <w:b/>
          <w:bCs/>
          <w:color w:val="auto"/>
          <w:kern w:val="0"/>
          <w:sz w:val="24"/>
          <w:szCs w:val="24"/>
          <w:highlight w:val="none"/>
        </w:rPr>
        <w:fldChar w:fldCharType="begin"/>
      </w:r>
      <w:r>
        <w:rPr>
          <w:rFonts w:hint="default" w:ascii="Times New Roman" w:hAnsi="Times New Roman" w:eastAsia="仿宋" w:cs="Times New Roman"/>
          <w:b/>
          <w:bCs/>
          <w:color w:val="auto"/>
          <w:kern w:val="0"/>
          <w:sz w:val="24"/>
          <w:szCs w:val="24"/>
          <w:highlight w:val="none"/>
        </w:rPr>
        <w:instrText xml:space="preserve"> PAGEREF _Toc2429 \h </w:instrText>
      </w:r>
      <w:r>
        <w:rPr>
          <w:rFonts w:hint="default" w:ascii="Times New Roman" w:hAnsi="Times New Roman" w:eastAsia="仿宋" w:cs="Times New Roman"/>
          <w:b/>
          <w:bCs/>
          <w:color w:val="auto"/>
          <w:kern w:val="0"/>
          <w:sz w:val="24"/>
          <w:szCs w:val="24"/>
          <w:highlight w:val="none"/>
        </w:rPr>
        <w:fldChar w:fldCharType="separate"/>
      </w:r>
      <w:r>
        <w:rPr>
          <w:rFonts w:hint="default" w:ascii="Times New Roman" w:hAnsi="Times New Roman" w:eastAsia="仿宋" w:cs="Times New Roman"/>
          <w:b/>
          <w:bCs/>
          <w:color w:val="auto"/>
          <w:kern w:val="0"/>
          <w:sz w:val="24"/>
          <w:szCs w:val="24"/>
          <w:highlight w:val="none"/>
        </w:rPr>
        <w:t>11</w:t>
      </w:r>
      <w:r>
        <w:rPr>
          <w:rFonts w:hint="default" w:ascii="Times New Roman" w:hAnsi="Times New Roman" w:eastAsia="仿宋" w:cs="Times New Roman"/>
          <w:b/>
          <w:bCs/>
          <w:color w:val="auto"/>
          <w:kern w:val="0"/>
          <w:sz w:val="24"/>
          <w:szCs w:val="24"/>
          <w:highlight w:val="none"/>
        </w:rPr>
        <w:fldChar w:fldCharType="end"/>
      </w:r>
      <w:r>
        <w:rPr>
          <w:rFonts w:hint="default" w:ascii="Times New Roman" w:hAnsi="Times New Roman" w:eastAsia="仿宋" w:cs="Times New Roman"/>
          <w:b/>
          <w:bCs/>
          <w:color w:val="auto"/>
          <w:kern w:val="0"/>
          <w:sz w:val="24"/>
          <w:szCs w:val="24"/>
          <w:highlight w:val="none"/>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rPr>
          <w:rFonts w:hint="default" w:ascii="Times New Roman" w:hAnsi="Times New Roman" w:eastAsia="仿宋" w:cs="Times New Roman"/>
          <w:b w:val="0"/>
          <w:bCs w:val="0"/>
          <w:color w:val="auto"/>
          <w:kern w:val="0"/>
          <w:sz w:val="24"/>
          <w:szCs w:val="24"/>
          <w:highlight w:val="none"/>
        </w:rPr>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_Toc8584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lang w:val="en-US" w:eastAsia="zh-CN"/>
        </w:rPr>
        <w:t>3.1地形地貌</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_Toc8584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11</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rPr>
          <w:rFonts w:hint="default" w:ascii="Times New Roman" w:hAnsi="Times New Roman" w:eastAsia="仿宋" w:cs="Times New Roman"/>
          <w:b w:val="0"/>
          <w:bCs w:val="0"/>
          <w:color w:val="auto"/>
          <w:kern w:val="0"/>
          <w:sz w:val="24"/>
          <w:szCs w:val="24"/>
          <w:highlight w:val="none"/>
        </w:rPr>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_Toc22710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lang w:val="en-US" w:eastAsia="zh-CN"/>
        </w:rPr>
        <w:t>3.2气候</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_Toc22710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13</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rPr>
          <w:rFonts w:hint="default" w:ascii="Times New Roman" w:hAnsi="Times New Roman" w:eastAsia="仿宋" w:cs="Times New Roman"/>
          <w:b w:val="0"/>
          <w:bCs w:val="0"/>
          <w:color w:val="auto"/>
          <w:kern w:val="0"/>
          <w:sz w:val="24"/>
          <w:szCs w:val="24"/>
          <w:highlight w:val="none"/>
        </w:rPr>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_Toc15979 </w:instrText>
      </w:r>
      <w:r>
        <w:rPr>
          <w:rFonts w:hint="default" w:ascii="Times New Roman" w:hAnsi="Times New Roman" w:eastAsia="仿宋" w:cs="Times New Roman"/>
          <w:b w:val="0"/>
          <w:bCs w:val="0"/>
          <w:color w:val="auto"/>
          <w:kern w:val="0"/>
          <w:sz w:val="24"/>
          <w:szCs w:val="24"/>
          <w:highlight w:val="none"/>
        </w:rPr>
        <w:fldChar w:fldCharType="separate"/>
      </w:r>
      <w:r>
        <w:rPr>
          <w:rFonts w:hint="eastAsia" w:ascii="Times New Roman" w:hAnsi="Times New Roman" w:eastAsia="仿宋" w:cs="Times New Roman"/>
          <w:b w:val="0"/>
          <w:bCs w:val="0"/>
          <w:color w:val="auto"/>
          <w:kern w:val="0"/>
          <w:sz w:val="24"/>
          <w:szCs w:val="24"/>
          <w:highlight w:val="none"/>
          <w:lang w:val="en-US" w:eastAsia="zh-CN"/>
        </w:rPr>
        <w:t>3.3水资源</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_Toc15979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14</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rPr>
          <w:rFonts w:hint="default" w:ascii="Times New Roman" w:hAnsi="Times New Roman" w:eastAsia="仿宋" w:cs="Times New Roman"/>
          <w:b w:val="0"/>
          <w:bCs w:val="0"/>
          <w:color w:val="auto"/>
          <w:kern w:val="0"/>
          <w:sz w:val="24"/>
          <w:szCs w:val="24"/>
          <w:highlight w:val="none"/>
        </w:rPr>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_Toc4096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lang w:val="en-US" w:eastAsia="zh-CN"/>
        </w:rPr>
        <w:t>3.</w:t>
      </w:r>
      <w:r>
        <w:rPr>
          <w:rFonts w:hint="eastAsia" w:ascii="Times New Roman" w:hAnsi="Times New Roman" w:eastAsia="仿宋" w:cs="Times New Roman"/>
          <w:b w:val="0"/>
          <w:bCs w:val="0"/>
          <w:color w:val="auto"/>
          <w:kern w:val="0"/>
          <w:sz w:val="24"/>
          <w:szCs w:val="24"/>
          <w:highlight w:val="none"/>
          <w:lang w:val="en-US" w:eastAsia="zh-CN"/>
        </w:rPr>
        <w:t>4</w:t>
      </w:r>
      <w:r>
        <w:rPr>
          <w:rFonts w:hint="default" w:ascii="Times New Roman" w:hAnsi="Times New Roman" w:eastAsia="仿宋" w:cs="Times New Roman"/>
          <w:b w:val="0"/>
          <w:bCs w:val="0"/>
          <w:color w:val="auto"/>
          <w:kern w:val="0"/>
          <w:sz w:val="24"/>
          <w:szCs w:val="24"/>
          <w:highlight w:val="none"/>
          <w:lang w:val="en-US" w:eastAsia="zh-CN"/>
        </w:rPr>
        <w:t>土壤</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_Toc4096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16</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rPr>
          <w:rFonts w:hint="default" w:ascii="Times New Roman" w:hAnsi="Times New Roman" w:eastAsia="仿宋" w:cs="Times New Roman"/>
          <w:b w:val="0"/>
          <w:bCs w:val="0"/>
          <w:color w:val="auto"/>
          <w:kern w:val="0"/>
          <w:sz w:val="24"/>
          <w:szCs w:val="24"/>
          <w:highlight w:val="none"/>
        </w:rPr>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_Toc26067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lang w:val="en-US" w:eastAsia="zh-CN"/>
        </w:rPr>
        <w:t>3.</w:t>
      </w:r>
      <w:r>
        <w:rPr>
          <w:rFonts w:hint="eastAsia" w:ascii="Times New Roman" w:hAnsi="Times New Roman" w:eastAsia="仿宋" w:cs="Times New Roman"/>
          <w:b w:val="0"/>
          <w:bCs w:val="0"/>
          <w:color w:val="auto"/>
          <w:kern w:val="0"/>
          <w:sz w:val="24"/>
          <w:szCs w:val="24"/>
          <w:highlight w:val="none"/>
          <w:lang w:val="en-US" w:eastAsia="zh-CN"/>
        </w:rPr>
        <w:t>5</w:t>
      </w:r>
      <w:r>
        <w:rPr>
          <w:rFonts w:hint="default" w:ascii="Times New Roman" w:hAnsi="Times New Roman" w:eastAsia="仿宋" w:cs="Times New Roman"/>
          <w:b w:val="0"/>
          <w:bCs w:val="0"/>
          <w:color w:val="auto"/>
          <w:kern w:val="0"/>
          <w:sz w:val="24"/>
          <w:szCs w:val="24"/>
          <w:highlight w:val="none"/>
          <w:lang w:val="en-US" w:eastAsia="zh-CN"/>
        </w:rPr>
        <w:t>植被</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_Toc26067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17</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rPr>
          <w:rFonts w:hint="default" w:ascii="Times New Roman" w:hAnsi="Times New Roman" w:eastAsia="仿宋" w:cs="Times New Roman"/>
          <w:b w:val="0"/>
          <w:bCs w:val="0"/>
          <w:color w:val="auto"/>
          <w:kern w:val="0"/>
          <w:sz w:val="24"/>
          <w:szCs w:val="24"/>
          <w:highlight w:val="none"/>
        </w:rPr>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_Toc19605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lang w:val="en-US" w:eastAsia="zh-CN"/>
        </w:rPr>
        <w:t>3.</w:t>
      </w:r>
      <w:r>
        <w:rPr>
          <w:rFonts w:hint="eastAsia" w:ascii="Times New Roman" w:hAnsi="Times New Roman" w:eastAsia="仿宋" w:cs="Times New Roman"/>
          <w:b w:val="0"/>
          <w:bCs w:val="0"/>
          <w:color w:val="auto"/>
          <w:kern w:val="0"/>
          <w:sz w:val="24"/>
          <w:szCs w:val="24"/>
          <w:highlight w:val="none"/>
          <w:lang w:val="en-US" w:eastAsia="zh-CN"/>
        </w:rPr>
        <w:t>6</w:t>
      </w:r>
      <w:r>
        <w:rPr>
          <w:rFonts w:hint="default" w:ascii="Times New Roman" w:hAnsi="Times New Roman" w:eastAsia="仿宋" w:cs="Times New Roman"/>
          <w:b w:val="0"/>
          <w:bCs w:val="0"/>
          <w:color w:val="auto"/>
          <w:kern w:val="0"/>
          <w:sz w:val="24"/>
          <w:szCs w:val="24"/>
          <w:highlight w:val="none"/>
          <w:lang w:val="en-US" w:eastAsia="zh-CN"/>
        </w:rPr>
        <w:t>工程地质</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_Toc19605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17</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_Toc18378 </w:instrText>
      </w:r>
      <w:r>
        <w:rPr>
          <w:rFonts w:hint="default" w:ascii="Times New Roman" w:hAnsi="Times New Roman" w:eastAsia="仿宋" w:cs="Times New Roman"/>
          <w:b w:val="0"/>
          <w:bCs w:val="0"/>
          <w:color w:val="auto"/>
          <w:kern w:val="0"/>
          <w:sz w:val="24"/>
          <w:szCs w:val="24"/>
          <w:highlight w:val="none"/>
        </w:rPr>
        <w:fldChar w:fldCharType="separate"/>
      </w:r>
      <w:r>
        <w:rPr>
          <w:rFonts w:hint="eastAsia" w:ascii="Times New Roman" w:hAnsi="Times New Roman" w:eastAsia="仿宋" w:cs="Times New Roman"/>
          <w:b w:val="0"/>
          <w:bCs w:val="0"/>
          <w:color w:val="auto"/>
          <w:kern w:val="0"/>
          <w:sz w:val="24"/>
          <w:szCs w:val="24"/>
          <w:highlight w:val="none"/>
          <w:lang w:val="en-US" w:eastAsia="zh-CN"/>
        </w:rPr>
        <w:t>3.7沿线环境敏感区(点)重要设施的分布情况</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_Toc18378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19</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16"/>
        <w:keepNext w:val="0"/>
        <w:keepLines w:val="0"/>
        <w:pageBreakBefore w:val="0"/>
        <w:widowControl/>
        <w:tabs>
          <w:tab w:val="right" w:leader="dot" w:pos="8312"/>
          <w:tab w:val="clear" w:pos="8296"/>
        </w:tabs>
        <w:kinsoku/>
        <w:wordWrap/>
        <w:overflowPunct/>
        <w:topLinePunct w:val="0"/>
        <w:autoSpaceDE/>
        <w:autoSpaceDN/>
        <w:bidi w:val="0"/>
        <w:adjustRightInd/>
        <w:snapToGrid/>
        <w:spacing w:after="0" w:line="460" w:lineRule="exact"/>
        <w:ind w:left="0"/>
        <w:textAlignment w:val="auto"/>
        <w:rPr>
          <w:rFonts w:hint="default" w:ascii="Times New Roman" w:hAnsi="Times New Roman" w:eastAsia="仿宋" w:cs="Times New Roman"/>
          <w:b/>
          <w:bCs/>
          <w:color w:val="auto"/>
          <w:kern w:val="0"/>
          <w:sz w:val="24"/>
          <w:szCs w:val="24"/>
          <w:highlight w:val="none"/>
        </w:rPr>
      </w:pPr>
      <w:r>
        <w:rPr>
          <w:rFonts w:hint="default" w:ascii="Times New Roman" w:hAnsi="Times New Roman" w:eastAsia="仿宋" w:cs="Times New Roman"/>
          <w:b/>
          <w:bCs/>
          <w:color w:val="auto"/>
          <w:kern w:val="0"/>
          <w:sz w:val="24"/>
          <w:szCs w:val="24"/>
          <w:highlight w:val="none"/>
        </w:rPr>
        <w:fldChar w:fldCharType="begin"/>
      </w:r>
      <w:r>
        <w:rPr>
          <w:rFonts w:hint="default" w:ascii="Times New Roman" w:hAnsi="Times New Roman" w:eastAsia="仿宋" w:cs="Times New Roman"/>
          <w:b/>
          <w:bCs/>
          <w:color w:val="auto"/>
          <w:kern w:val="0"/>
          <w:sz w:val="24"/>
          <w:szCs w:val="24"/>
          <w:highlight w:val="none"/>
        </w:rPr>
        <w:instrText xml:space="preserve"> HYPERLINK \l _Toc20266 </w:instrText>
      </w:r>
      <w:r>
        <w:rPr>
          <w:rFonts w:hint="default" w:ascii="Times New Roman" w:hAnsi="Times New Roman" w:eastAsia="仿宋" w:cs="Times New Roman"/>
          <w:b/>
          <w:bCs/>
          <w:color w:val="auto"/>
          <w:kern w:val="0"/>
          <w:sz w:val="24"/>
          <w:szCs w:val="24"/>
          <w:highlight w:val="none"/>
        </w:rPr>
        <w:fldChar w:fldCharType="separate"/>
      </w:r>
      <w:r>
        <w:rPr>
          <w:rFonts w:hint="default" w:ascii="Times New Roman" w:hAnsi="Times New Roman" w:eastAsia="仿宋" w:cs="Times New Roman"/>
          <w:b/>
          <w:bCs/>
          <w:color w:val="auto"/>
          <w:kern w:val="0"/>
          <w:sz w:val="24"/>
          <w:szCs w:val="24"/>
          <w:highlight w:val="none"/>
          <w:lang w:val="en-US" w:eastAsia="zh-CN"/>
        </w:rPr>
        <w:t>4土地复垦方向及可行性分析</w:t>
      </w:r>
      <w:r>
        <w:rPr>
          <w:rFonts w:hint="default" w:ascii="Times New Roman" w:hAnsi="Times New Roman" w:eastAsia="仿宋" w:cs="Times New Roman"/>
          <w:b/>
          <w:bCs/>
          <w:color w:val="auto"/>
          <w:kern w:val="0"/>
          <w:sz w:val="24"/>
          <w:szCs w:val="24"/>
          <w:highlight w:val="none"/>
        </w:rPr>
        <w:tab/>
      </w:r>
      <w:r>
        <w:rPr>
          <w:rFonts w:hint="default" w:ascii="Times New Roman" w:hAnsi="Times New Roman" w:eastAsia="仿宋" w:cs="Times New Roman"/>
          <w:b/>
          <w:bCs/>
          <w:color w:val="auto"/>
          <w:kern w:val="0"/>
          <w:sz w:val="24"/>
          <w:szCs w:val="24"/>
          <w:highlight w:val="none"/>
        </w:rPr>
        <w:fldChar w:fldCharType="begin"/>
      </w:r>
      <w:r>
        <w:rPr>
          <w:rFonts w:hint="default" w:ascii="Times New Roman" w:hAnsi="Times New Roman" w:eastAsia="仿宋" w:cs="Times New Roman"/>
          <w:b/>
          <w:bCs/>
          <w:color w:val="auto"/>
          <w:kern w:val="0"/>
          <w:sz w:val="24"/>
          <w:szCs w:val="24"/>
          <w:highlight w:val="none"/>
        </w:rPr>
        <w:instrText xml:space="preserve"> PAGEREF _Toc20266 \h </w:instrText>
      </w:r>
      <w:r>
        <w:rPr>
          <w:rFonts w:hint="default" w:ascii="Times New Roman" w:hAnsi="Times New Roman" w:eastAsia="仿宋" w:cs="Times New Roman"/>
          <w:b/>
          <w:bCs/>
          <w:color w:val="auto"/>
          <w:kern w:val="0"/>
          <w:sz w:val="24"/>
          <w:szCs w:val="24"/>
          <w:highlight w:val="none"/>
        </w:rPr>
        <w:fldChar w:fldCharType="separate"/>
      </w:r>
      <w:r>
        <w:rPr>
          <w:rFonts w:hint="default" w:ascii="Times New Roman" w:hAnsi="Times New Roman" w:eastAsia="仿宋" w:cs="Times New Roman"/>
          <w:b/>
          <w:bCs/>
          <w:color w:val="auto"/>
          <w:kern w:val="0"/>
          <w:sz w:val="24"/>
          <w:szCs w:val="24"/>
          <w:highlight w:val="none"/>
        </w:rPr>
        <w:t>22</w:t>
      </w:r>
      <w:r>
        <w:rPr>
          <w:rFonts w:hint="default" w:ascii="Times New Roman" w:hAnsi="Times New Roman" w:eastAsia="仿宋" w:cs="Times New Roman"/>
          <w:b/>
          <w:bCs/>
          <w:color w:val="auto"/>
          <w:kern w:val="0"/>
          <w:sz w:val="24"/>
          <w:szCs w:val="24"/>
          <w:highlight w:val="none"/>
        </w:rPr>
        <w:fldChar w:fldCharType="end"/>
      </w:r>
      <w:r>
        <w:rPr>
          <w:rFonts w:hint="default" w:ascii="Times New Roman" w:hAnsi="Times New Roman" w:eastAsia="仿宋" w:cs="Times New Roman"/>
          <w:b/>
          <w:bCs/>
          <w:color w:val="auto"/>
          <w:kern w:val="0"/>
          <w:sz w:val="24"/>
          <w:szCs w:val="24"/>
          <w:highlight w:val="none"/>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rPr>
          <w:rFonts w:hint="default" w:ascii="Times New Roman" w:hAnsi="Times New Roman" w:eastAsia="仿宋" w:cs="Times New Roman"/>
          <w:b w:val="0"/>
          <w:bCs w:val="0"/>
          <w:color w:val="auto"/>
          <w:kern w:val="0"/>
          <w:sz w:val="24"/>
          <w:szCs w:val="24"/>
          <w:highlight w:val="none"/>
        </w:rPr>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_Toc30655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lang w:val="en-US" w:eastAsia="zh-CN"/>
        </w:rPr>
        <w:t>4.1土地损毁分析与预测</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_Toc30655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22</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rPr>
          <w:rFonts w:hint="default" w:ascii="Times New Roman" w:hAnsi="Times New Roman" w:eastAsia="仿宋" w:cs="Times New Roman"/>
          <w:b w:val="0"/>
          <w:bCs w:val="0"/>
          <w:color w:val="auto"/>
          <w:kern w:val="0"/>
          <w:sz w:val="24"/>
          <w:szCs w:val="24"/>
          <w:highlight w:val="none"/>
        </w:rPr>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_Toc28082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lang w:val="en-US" w:eastAsia="zh-CN"/>
        </w:rPr>
        <w:t>4.</w:t>
      </w:r>
      <w:r>
        <w:rPr>
          <w:rFonts w:hint="eastAsia" w:ascii="Times New Roman" w:hAnsi="Times New Roman" w:eastAsia="仿宋" w:cs="Times New Roman"/>
          <w:b w:val="0"/>
          <w:bCs w:val="0"/>
          <w:color w:val="auto"/>
          <w:kern w:val="0"/>
          <w:sz w:val="24"/>
          <w:szCs w:val="24"/>
          <w:highlight w:val="none"/>
          <w:lang w:val="en-US" w:eastAsia="zh-CN"/>
        </w:rPr>
        <w:t>2</w:t>
      </w:r>
      <w:r>
        <w:rPr>
          <w:rFonts w:hint="default" w:ascii="Times New Roman" w:hAnsi="Times New Roman" w:eastAsia="仿宋" w:cs="Times New Roman"/>
          <w:b w:val="0"/>
          <w:bCs w:val="0"/>
          <w:color w:val="auto"/>
          <w:kern w:val="0"/>
          <w:sz w:val="24"/>
          <w:szCs w:val="24"/>
          <w:highlight w:val="none"/>
          <w:lang w:val="en-US" w:eastAsia="zh-CN"/>
        </w:rPr>
        <w:t>生态环境影响分析</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_Toc28082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26</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rPr>
          <w:rFonts w:hint="default" w:ascii="Times New Roman" w:hAnsi="Times New Roman" w:eastAsia="仿宋" w:cs="Times New Roman"/>
          <w:b w:val="0"/>
          <w:bCs w:val="0"/>
          <w:color w:val="auto"/>
          <w:kern w:val="0"/>
          <w:sz w:val="24"/>
          <w:szCs w:val="24"/>
          <w:highlight w:val="none"/>
        </w:rPr>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_Toc17976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lang w:val="en-US" w:eastAsia="zh-CN"/>
        </w:rPr>
        <w:t>4.</w:t>
      </w:r>
      <w:r>
        <w:rPr>
          <w:rFonts w:hint="eastAsia" w:ascii="Times New Roman" w:hAnsi="Times New Roman" w:eastAsia="仿宋" w:cs="Times New Roman"/>
          <w:b w:val="0"/>
          <w:bCs w:val="0"/>
          <w:color w:val="auto"/>
          <w:kern w:val="0"/>
          <w:sz w:val="24"/>
          <w:szCs w:val="24"/>
          <w:highlight w:val="none"/>
          <w:lang w:val="en-US" w:eastAsia="zh-CN"/>
        </w:rPr>
        <w:t>3</w:t>
      </w:r>
      <w:r>
        <w:rPr>
          <w:rFonts w:hint="default" w:ascii="Times New Roman" w:hAnsi="Times New Roman" w:eastAsia="仿宋" w:cs="Times New Roman"/>
          <w:b w:val="0"/>
          <w:bCs w:val="0"/>
          <w:color w:val="auto"/>
          <w:kern w:val="0"/>
          <w:sz w:val="24"/>
          <w:szCs w:val="24"/>
          <w:highlight w:val="none"/>
          <w:lang w:val="en-US" w:eastAsia="zh-CN"/>
        </w:rPr>
        <w:t>土地复垦适宜性评价</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_Toc17976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28</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rPr>
          <w:rFonts w:hint="default" w:ascii="Times New Roman" w:hAnsi="Times New Roman" w:eastAsia="仿宋" w:cs="Times New Roman"/>
          <w:b w:val="0"/>
          <w:bCs w:val="0"/>
          <w:color w:val="auto"/>
          <w:kern w:val="0"/>
          <w:sz w:val="24"/>
          <w:szCs w:val="24"/>
          <w:highlight w:val="none"/>
        </w:rPr>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_Toc7964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lang w:val="en-US" w:eastAsia="zh-CN"/>
        </w:rPr>
        <w:t>4.</w:t>
      </w:r>
      <w:r>
        <w:rPr>
          <w:rFonts w:hint="eastAsia" w:ascii="Times New Roman" w:hAnsi="Times New Roman" w:eastAsia="仿宋" w:cs="Times New Roman"/>
          <w:b w:val="0"/>
          <w:bCs w:val="0"/>
          <w:color w:val="auto"/>
          <w:kern w:val="0"/>
          <w:sz w:val="24"/>
          <w:szCs w:val="24"/>
          <w:highlight w:val="none"/>
          <w:lang w:val="en-US" w:eastAsia="zh-CN"/>
        </w:rPr>
        <w:t>4</w:t>
      </w:r>
      <w:r>
        <w:rPr>
          <w:rFonts w:hint="default" w:ascii="Times New Roman" w:hAnsi="Times New Roman" w:eastAsia="仿宋" w:cs="Times New Roman"/>
          <w:b w:val="0"/>
          <w:bCs w:val="0"/>
          <w:color w:val="auto"/>
          <w:kern w:val="0"/>
          <w:sz w:val="24"/>
          <w:szCs w:val="24"/>
          <w:highlight w:val="none"/>
          <w:lang w:val="en-US" w:eastAsia="zh-CN"/>
        </w:rPr>
        <w:t>水土资源平衡分析</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_Toc7964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30</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rPr>
          <w:rFonts w:hint="default" w:ascii="Times New Roman" w:hAnsi="Times New Roman" w:eastAsia="仿宋" w:cs="Times New Roman"/>
          <w:b w:val="0"/>
          <w:bCs w:val="0"/>
          <w:color w:val="auto"/>
          <w:kern w:val="0"/>
          <w:sz w:val="24"/>
          <w:szCs w:val="24"/>
          <w:highlight w:val="none"/>
        </w:rPr>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_Toc21692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lang w:val="en-US" w:eastAsia="zh-CN"/>
        </w:rPr>
        <w:t>4.</w:t>
      </w:r>
      <w:r>
        <w:rPr>
          <w:rFonts w:hint="eastAsia" w:ascii="Times New Roman" w:hAnsi="Times New Roman" w:eastAsia="仿宋" w:cs="Times New Roman"/>
          <w:b w:val="0"/>
          <w:bCs w:val="0"/>
          <w:color w:val="auto"/>
          <w:kern w:val="0"/>
          <w:sz w:val="24"/>
          <w:szCs w:val="24"/>
          <w:highlight w:val="none"/>
          <w:lang w:val="en-US" w:eastAsia="zh-CN"/>
        </w:rPr>
        <w:t>5</w:t>
      </w:r>
      <w:r>
        <w:rPr>
          <w:rFonts w:hint="default" w:ascii="Times New Roman" w:hAnsi="Times New Roman" w:eastAsia="仿宋" w:cs="Times New Roman"/>
          <w:b w:val="0"/>
          <w:bCs w:val="0"/>
          <w:color w:val="auto"/>
          <w:kern w:val="0"/>
          <w:sz w:val="24"/>
          <w:szCs w:val="24"/>
          <w:highlight w:val="none"/>
          <w:lang w:val="en-US" w:eastAsia="zh-CN"/>
        </w:rPr>
        <w:t>土地复垦目标任务</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_Toc21692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30</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16"/>
        <w:keepNext w:val="0"/>
        <w:keepLines w:val="0"/>
        <w:pageBreakBefore w:val="0"/>
        <w:widowControl/>
        <w:tabs>
          <w:tab w:val="right" w:leader="dot" w:pos="8312"/>
          <w:tab w:val="clear" w:pos="8296"/>
        </w:tabs>
        <w:kinsoku/>
        <w:wordWrap/>
        <w:overflowPunct/>
        <w:topLinePunct w:val="0"/>
        <w:autoSpaceDE/>
        <w:autoSpaceDN/>
        <w:bidi w:val="0"/>
        <w:adjustRightInd/>
        <w:snapToGrid/>
        <w:spacing w:after="0" w:line="460" w:lineRule="exact"/>
        <w:ind w:left="0"/>
        <w:textAlignment w:val="auto"/>
        <w:rPr>
          <w:rFonts w:hint="default" w:ascii="Times New Roman" w:hAnsi="Times New Roman" w:eastAsia="仿宋" w:cs="Times New Roman"/>
          <w:b/>
          <w:bCs/>
          <w:color w:val="auto"/>
          <w:kern w:val="0"/>
          <w:sz w:val="24"/>
          <w:szCs w:val="24"/>
          <w:highlight w:val="none"/>
        </w:rPr>
      </w:pPr>
      <w:r>
        <w:rPr>
          <w:rFonts w:hint="default" w:ascii="Times New Roman" w:hAnsi="Times New Roman" w:eastAsia="仿宋" w:cs="Times New Roman"/>
          <w:b/>
          <w:bCs/>
          <w:color w:val="auto"/>
          <w:kern w:val="0"/>
          <w:sz w:val="24"/>
          <w:szCs w:val="24"/>
          <w:highlight w:val="none"/>
        </w:rPr>
        <w:fldChar w:fldCharType="begin"/>
      </w:r>
      <w:r>
        <w:rPr>
          <w:rFonts w:hint="default" w:ascii="Times New Roman" w:hAnsi="Times New Roman" w:eastAsia="仿宋" w:cs="Times New Roman"/>
          <w:b/>
          <w:bCs/>
          <w:color w:val="auto"/>
          <w:kern w:val="0"/>
          <w:sz w:val="24"/>
          <w:szCs w:val="24"/>
          <w:highlight w:val="none"/>
        </w:rPr>
        <w:instrText xml:space="preserve"> HYPERLINK \l _Toc31715 </w:instrText>
      </w:r>
      <w:r>
        <w:rPr>
          <w:rFonts w:hint="default" w:ascii="Times New Roman" w:hAnsi="Times New Roman" w:eastAsia="仿宋" w:cs="Times New Roman"/>
          <w:b/>
          <w:bCs/>
          <w:color w:val="auto"/>
          <w:kern w:val="0"/>
          <w:sz w:val="24"/>
          <w:szCs w:val="24"/>
          <w:highlight w:val="none"/>
        </w:rPr>
        <w:fldChar w:fldCharType="separate"/>
      </w:r>
      <w:r>
        <w:rPr>
          <w:rFonts w:hint="default" w:ascii="Times New Roman" w:hAnsi="Times New Roman" w:eastAsia="仿宋" w:cs="Times New Roman"/>
          <w:b/>
          <w:bCs/>
          <w:color w:val="auto"/>
          <w:kern w:val="0"/>
          <w:sz w:val="24"/>
          <w:szCs w:val="24"/>
          <w:highlight w:val="none"/>
          <w:lang w:val="en-US" w:eastAsia="zh-CN"/>
        </w:rPr>
        <w:t>5土地复垦质量要求与复垦措施</w:t>
      </w:r>
      <w:r>
        <w:rPr>
          <w:rFonts w:hint="default" w:ascii="Times New Roman" w:hAnsi="Times New Roman" w:eastAsia="仿宋" w:cs="Times New Roman"/>
          <w:b/>
          <w:bCs/>
          <w:color w:val="auto"/>
          <w:kern w:val="0"/>
          <w:sz w:val="24"/>
          <w:szCs w:val="24"/>
          <w:highlight w:val="none"/>
        </w:rPr>
        <w:tab/>
      </w:r>
      <w:r>
        <w:rPr>
          <w:rFonts w:hint="default" w:ascii="Times New Roman" w:hAnsi="Times New Roman" w:eastAsia="仿宋" w:cs="Times New Roman"/>
          <w:b/>
          <w:bCs/>
          <w:color w:val="auto"/>
          <w:kern w:val="0"/>
          <w:sz w:val="24"/>
          <w:szCs w:val="24"/>
          <w:highlight w:val="none"/>
        </w:rPr>
        <w:fldChar w:fldCharType="begin"/>
      </w:r>
      <w:r>
        <w:rPr>
          <w:rFonts w:hint="default" w:ascii="Times New Roman" w:hAnsi="Times New Roman" w:eastAsia="仿宋" w:cs="Times New Roman"/>
          <w:b/>
          <w:bCs/>
          <w:color w:val="auto"/>
          <w:kern w:val="0"/>
          <w:sz w:val="24"/>
          <w:szCs w:val="24"/>
          <w:highlight w:val="none"/>
        </w:rPr>
        <w:instrText xml:space="preserve"> PAGEREF _Toc31715 \h </w:instrText>
      </w:r>
      <w:r>
        <w:rPr>
          <w:rFonts w:hint="default" w:ascii="Times New Roman" w:hAnsi="Times New Roman" w:eastAsia="仿宋" w:cs="Times New Roman"/>
          <w:b/>
          <w:bCs/>
          <w:color w:val="auto"/>
          <w:kern w:val="0"/>
          <w:sz w:val="24"/>
          <w:szCs w:val="24"/>
          <w:highlight w:val="none"/>
        </w:rPr>
        <w:fldChar w:fldCharType="separate"/>
      </w:r>
      <w:r>
        <w:rPr>
          <w:rFonts w:hint="default" w:ascii="Times New Roman" w:hAnsi="Times New Roman" w:eastAsia="仿宋" w:cs="Times New Roman"/>
          <w:b/>
          <w:bCs/>
          <w:color w:val="auto"/>
          <w:kern w:val="0"/>
          <w:sz w:val="24"/>
          <w:szCs w:val="24"/>
          <w:highlight w:val="none"/>
        </w:rPr>
        <w:t>31</w:t>
      </w:r>
      <w:r>
        <w:rPr>
          <w:rFonts w:hint="default" w:ascii="Times New Roman" w:hAnsi="Times New Roman" w:eastAsia="仿宋" w:cs="Times New Roman"/>
          <w:b/>
          <w:bCs/>
          <w:color w:val="auto"/>
          <w:kern w:val="0"/>
          <w:sz w:val="24"/>
          <w:szCs w:val="24"/>
          <w:highlight w:val="none"/>
        </w:rPr>
        <w:fldChar w:fldCharType="end"/>
      </w:r>
      <w:r>
        <w:rPr>
          <w:rFonts w:hint="default" w:ascii="Times New Roman" w:hAnsi="Times New Roman" w:eastAsia="仿宋" w:cs="Times New Roman"/>
          <w:b/>
          <w:bCs/>
          <w:color w:val="auto"/>
          <w:kern w:val="0"/>
          <w:sz w:val="24"/>
          <w:szCs w:val="24"/>
          <w:highlight w:val="none"/>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rPr>
          <w:rFonts w:hint="default" w:ascii="Times New Roman" w:hAnsi="Times New Roman" w:eastAsia="仿宋" w:cs="Times New Roman"/>
          <w:b w:val="0"/>
          <w:bCs w:val="0"/>
          <w:color w:val="auto"/>
          <w:kern w:val="0"/>
          <w:sz w:val="24"/>
          <w:szCs w:val="24"/>
          <w:highlight w:val="none"/>
        </w:rPr>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_Toc21385 </w:instrText>
      </w:r>
      <w:r>
        <w:rPr>
          <w:rFonts w:hint="default" w:ascii="Times New Roman" w:hAnsi="Times New Roman" w:eastAsia="仿宋" w:cs="Times New Roman"/>
          <w:b w:val="0"/>
          <w:bCs w:val="0"/>
          <w:color w:val="auto"/>
          <w:kern w:val="0"/>
          <w:sz w:val="24"/>
          <w:szCs w:val="24"/>
          <w:highlight w:val="none"/>
        </w:rPr>
        <w:fldChar w:fldCharType="separate"/>
      </w:r>
      <w:r>
        <w:rPr>
          <w:rFonts w:hint="eastAsia" w:ascii="Times New Roman" w:hAnsi="Times New Roman" w:eastAsia="仿宋" w:cs="Times New Roman"/>
          <w:b w:val="0"/>
          <w:bCs w:val="0"/>
          <w:color w:val="auto"/>
          <w:kern w:val="0"/>
          <w:sz w:val="24"/>
          <w:szCs w:val="24"/>
          <w:highlight w:val="none"/>
          <w:lang w:val="en-US" w:eastAsia="zh-CN"/>
        </w:rPr>
        <w:t>5.1土地复垦质量要求</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_Toc21385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31</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rPr>
          <w:rFonts w:hint="default" w:ascii="Times New Roman" w:hAnsi="Times New Roman" w:eastAsia="仿宋" w:cs="Times New Roman"/>
          <w:b w:val="0"/>
          <w:bCs w:val="0"/>
          <w:color w:val="auto"/>
          <w:kern w:val="0"/>
          <w:sz w:val="24"/>
          <w:szCs w:val="24"/>
          <w:highlight w:val="none"/>
        </w:rPr>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_Toc30332 </w:instrText>
      </w:r>
      <w:r>
        <w:rPr>
          <w:rFonts w:hint="default" w:ascii="Times New Roman" w:hAnsi="Times New Roman" w:eastAsia="仿宋" w:cs="Times New Roman"/>
          <w:b w:val="0"/>
          <w:bCs w:val="0"/>
          <w:color w:val="auto"/>
          <w:kern w:val="0"/>
          <w:sz w:val="24"/>
          <w:szCs w:val="24"/>
          <w:highlight w:val="none"/>
        </w:rPr>
        <w:fldChar w:fldCharType="separate"/>
      </w:r>
      <w:r>
        <w:rPr>
          <w:rFonts w:hint="eastAsia" w:ascii="Times New Roman" w:hAnsi="Times New Roman" w:eastAsia="仿宋" w:cs="Times New Roman"/>
          <w:b w:val="0"/>
          <w:bCs w:val="0"/>
          <w:color w:val="auto"/>
          <w:kern w:val="0"/>
          <w:sz w:val="24"/>
          <w:szCs w:val="24"/>
          <w:highlight w:val="none"/>
          <w:lang w:val="en-US" w:eastAsia="zh-CN"/>
        </w:rPr>
        <w:t>5.2预防控制措施</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_Toc30332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32</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rPr>
          <w:rFonts w:hint="default" w:ascii="Times New Roman" w:hAnsi="Times New Roman" w:eastAsia="仿宋" w:cs="Times New Roman"/>
          <w:b w:val="0"/>
          <w:bCs w:val="0"/>
          <w:color w:val="auto"/>
          <w:kern w:val="0"/>
          <w:sz w:val="24"/>
          <w:szCs w:val="24"/>
          <w:highlight w:val="none"/>
        </w:rPr>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_Toc28687 </w:instrText>
      </w:r>
      <w:r>
        <w:rPr>
          <w:rFonts w:hint="default" w:ascii="Times New Roman" w:hAnsi="Times New Roman" w:eastAsia="仿宋" w:cs="Times New Roman"/>
          <w:b w:val="0"/>
          <w:bCs w:val="0"/>
          <w:color w:val="auto"/>
          <w:kern w:val="0"/>
          <w:sz w:val="24"/>
          <w:szCs w:val="24"/>
          <w:highlight w:val="none"/>
        </w:rPr>
        <w:fldChar w:fldCharType="separate"/>
      </w:r>
      <w:r>
        <w:rPr>
          <w:rFonts w:hint="eastAsia" w:ascii="Times New Roman" w:hAnsi="Times New Roman" w:eastAsia="仿宋" w:cs="Times New Roman"/>
          <w:b w:val="0"/>
          <w:bCs w:val="0"/>
          <w:color w:val="auto"/>
          <w:kern w:val="0"/>
          <w:sz w:val="24"/>
          <w:szCs w:val="24"/>
          <w:highlight w:val="none"/>
          <w:lang w:val="en-US" w:eastAsia="zh-CN"/>
        </w:rPr>
        <w:t>5.3复垦措施</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_Toc28687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32</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16"/>
        <w:keepNext w:val="0"/>
        <w:keepLines w:val="0"/>
        <w:pageBreakBefore w:val="0"/>
        <w:widowControl/>
        <w:tabs>
          <w:tab w:val="right" w:leader="dot" w:pos="8312"/>
          <w:tab w:val="clear" w:pos="8296"/>
        </w:tabs>
        <w:kinsoku/>
        <w:wordWrap/>
        <w:overflowPunct/>
        <w:topLinePunct w:val="0"/>
        <w:autoSpaceDE/>
        <w:autoSpaceDN/>
        <w:bidi w:val="0"/>
        <w:adjustRightInd/>
        <w:snapToGrid/>
        <w:spacing w:after="0" w:line="460" w:lineRule="exact"/>
        <w:ind w:left="0"/>
        <w:textAlignment w:val="auto"/>
        <w:rPr>
          <w:rFonts w:hint="default" w:ascii="Times New Roman" w:hAnsi="Times New Roman" w:eastAsia="仿宋" w:cs="Times New Roman"/>
          <w:b/>
          <w:bCs/>
          <w:color w:val="auto"/>
          <w:kern w:val="0"/>
          <w:sz w:val="24"/>
          <w:szCs w:val="24"/>
          <w:highlight w:val="none"/>
        </w:rPr>
      </w:pPr>
      <w:r>
        <w:rPr>
          <w:rFonts w:hint="default" w:ascii="Times New Roman" w:hAnsi="Times New Roman" w:eastAsia="仿宋" w:cs="Times New Roman"/>
          <w:b/>
          <w:bCs/>
          <w:color w:val="auto"/>
          <w:kern w:val="0"/>
          <w:sz w:val="24"/>
          <w:szCs w:val="24"/>
          <w:highlight w:val="none"/>
        </w:rPr>
        <w:fldChar w:fldCharType="begin"/>
      </w:r>
      <w:r>
        <w:rPr>
          <w:rFonts w:hint="default" w:ascii="Times New Roman" w:hAnsi="Times New Roman" w:eastAsia="仿宋" w:cs="Times New Roman"/>
          <w:b/>
          <w:bCs/>
          <w:color w:val="auto"/>
          <w:kern w:val="0"/>
          <w:sz w:val="24"/>
          <w:szCs w:val="24"/>
          <w:highlight w:val="none"/>
        </w:rPr>
        <w:instrText xml:space="preserve"> HYPERLINK \l _Toc24874 </w:instrText>
      </w:r>
      <w:r>
        <w:rPr>
          <w:rFonts w:hint="default" w:ascii="Times New Roman" w:hAnsi="Times New Roman" w:eastAsia="仿宋" w:cs="Times New Roman"/>
          <w:b/>
          <w:bCs/>
          <w:color w:val="auto"/>
          <w:kern w:val="0"/>
          <w:sz w:val="24"/>
          <w:szCs w:val="24"/>
          <w:highlight w:val="none"/>
        </w:rPr>
        <w:fldChar w:fldCharType="separate"/>
      </w:r>
      <w:r>
        <w:rPr>
          <w:rFonts w:hint="eastAsia" w:ascii="Times New Roman" w:hAnsi="Times New Roman" w:eastAsia="仿宋" w:cs="Times New Roman"/>
          <w:b/>
          <w:bCs/>
          <w:color w:val="auto"/>
          <w:kern w:val="0"/>
          <w:sz w:val="24"/>
          <w:szCs w:val="24"/>
          <w:highlight w:val="none"/>
          <w:lang w:val="en-US" w:eastAsia="zh-CN"/>
        </w:rPr>
        <w:t>6</w:t>
      </w:r>
      <w:r>
        <w:rPr>
          <w:rFonts w:hint="default" w:ascii="Times New Roman" w:hAnsi="Times New Roman" w:eastAsia="仿宋" w:cs="Times New Roman"/>
          <w:b/>
          <w:bCs/>
          <w:color w:val="auto"/>
          <w:kern w:val="0"/>
          <w:sz w:val="24"/>
          <w:szCs w:val="24"/>
          <w:highlight w:val="none"/>
          <w:lang w:val="en-US" w:eastAsia="zh-CN"/>
        </w:rPr>
        <w:t>土地复垦工程设计及工程量测算</w:t>
      </w:r>
      <w:r>
        <w:rPr>
          <w:rFonts w:hint="default" w:ascii="Times New Roman" w:hAnsi="Times New Roman" w:eastAsia="仿宋" w:cs="Times New Roman"/>
          <w:b/>
          <w:bCs/>
          <w:color w:val="auto"/>
          <w:kern w:val="0"/>
          <w:sz w:val="24"/>
          <w:szCs w:val="24"/>
          <w:highlight w:val="none"/>
        </w:rPr>
        <w:tab/>
      </w:r>
      <w:r>
        <w:rPr>
          <w:rFonts w:hint="default" w:ascii="Times New Roman" w:hAnsi="Times New Roman" w:eastAsia="仿宋" w:cs="Times New Roman"/>
          <w:b/>
          <w:bCs/>
          <w:color w:val="auto"/>
          <w:kern w:val="0"/>
          <w:sz w:val="24"/>
          <w:szCs w:val="24"/>
          <w:highlight w:val="none"/>
        </w:rPr>
        <w:fldChar w:fldCharType="begin"/>
      </w:r>
      <w:r>
        <w:rPr>
          <w:rFonts w:hint="default" w:ascii="Times New Roman" w:hAnsi="Times New Roman" w:eastAsia="仿宋" w:cs="Times New Roman"/>
          <w:b/>
          <w:bCs/>
          <w:color w:val="auto"/>
          <w:kern w:val="0"/>
          <w:sz w:val="24"/>
          <w:szCs w:val="24"/>
          <w:highlight w:val="none"/>
        </w:rPr>
        <w:instrText xml:space="preserve"> PAGEREF _Toc24874 \h </w:instrText>
      </w:r>
      <w:r>
        <w:rPr>
          <w:rFonts w:hint="default" w:ascii="Times New Roman" w:hAnsi="Times New Roman" w:eastAsia="仿宋" w:cs="Times New Roman"/>
          <w:b/>
          <w:bCs/>
          <w:color w:val="auto"/>
          <w:kern w:val="0"/>
          <w:sz w:val="24"/>
          <w:szCs w:val="24"/>
          <w:highlight w:val="none"/>
        </w:rPr>
        <w:fldChar w:fldCharType="separate"/>
      </w:r>
      <w:r>
        <w:rPr>
          <w:rFonts w:hint="default" w:ascii="Times New Roman" w:hAnsi="Times New Roman" w:eastAsia="仿宋" w:cs="Times New Roman"/>
          <w:b/>
          <w:bCs/>
          <w:color w:val="auto"/>
          <w:kern w:val="0"/>
          <w:sz w:val="24"/>
          <w:szCs w:val="24"/>
          <w:highlight w:val="none"/>
        </w:rPr>
        <w:t>35</w:t>
      </w:r>
      <w:r>
        <w:rPr>
          <w:rFonts w:hint="default" w:ascii="Times New Roman" w:hAnsi="Times New Roman" w:eastAsia="仿宋" w:cs="Times New Roman"/>
          <w:b/>
          <w:bCs/>
          <w:color w:val="auto"/>
          <w:kern w:val="0"/>
          <w:sz w:val="24"/>
          <w:szCs w:val="24"/>
          <w:highlight w:val="none"/>
        </w:rPr>
        <w:fldChar w:fldCharType="end"/>
      </w:r>
      <w:r>
        <w:rPr>
          <w:rFonts w:hint="default" w:ascii="Times New Roman" w:hAnsi="Times New Roman" w:eastAsia="仿宋" w:cs="Times New Roman"/>
          <w:b/>
          <w:bCs/>
          <w:color w:val="auto"/>
          <w:kern w:val="0"/>
          <w:sz w:val="24"/>
          <w:szCs w:val="24"/>
          <w:highlight w:val="none"/>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rPr>
          <w:rFonts w:hint="default" w:ascii="Times New Roman" w:hAnsi="Times New Roman" w:eastAsia="仿宋" w:cs="Times New Roman"/>
          <w:b w:val="0"/>
          <w:bCs w:val="0"/>
          <w:color w:val="auto"/>
          <w:kern w:val="0"/>
          <w:sz w:val="24"/>
          <w:szCs w:val="24"/>
          <w:highlight w:val="none"/>
        </w:rPr>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_Toc1341 </w:instrText>
      </w:r>
      <w:r>
        <w:rPr>
          <w:rFonts w:hint="default" w:ascii="Times New Roman" w:hAnsi="Times New Roman" w:eastAsia="仿宋" w:cs="Times New Roman"/>
          <w:b w:val="0"/>
          <w:bCs w:val="0"/>
          <w:color w:val="auto"/>
          <w:kern w:val="0"/>
          <w:sz w:val="24"/>
          <w:szCs w:val="24"/>
          <w:highlight w:val="none"/>
        </w:rPr>
        <w:fldChar w:fldCharType="separate"/>
      </w:r>
      <w:r>
        <w:rPr>
          <w:rFonts w:hint="eastAsia" w:ascii="Times New Roman" w:hAnsi="Times New Roman" w:eastAsia="仿宋" w:cs="Times New Roman"/>
          <w:b w:val="0"/>
          <w:bCs w:val="0"/>
          <w:color w:val="auto"/>
          <w:kern w:val="0"/>
          <w:sz w:val="24"/>
          <w:szCs w:val="24"/>
          <w:highlight w:val="none"/>
          <w:lang w:val="en-US" w:eastAsia="zh-CN"/>
        </w:rPr>
        <w:t>6</w:t>
      </w:r>
      <w:r>
        <w:rPr>
          <w:rFonts w:hint="default" w:ascii="Times New Roman" w:hAnsi="Times New Roman" w:eastAsia="仿宋" w:cs="Times New Roman"/>
          <w:b w:val="0"/>
          <w:bCs w:val="0"/>
          <w:color w:val="auto"/>
          <w:kern w:val="0"/>
          <w:sz w:val="24"/>
          <w:szCs w:val="24"/>
          <w:highlight w:val="none"/>
          <w:lang w:val="en-US" w:eastAsia="zh-CN"/>
        </w:rPr>
        <w:t>.1复垦设计对象和范围</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_Toc1341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35</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rPr>
          <w:rFonts w:hint="default" w:ascii="Times New Roman" w:hAnsi="Times New Roman" w:eastAsia="仿宋" w:cs="Times New Roman"/>
          <w:b w:val="0"/>
          <w:bCs w:val="0"/>
          <w:color w:val="auto"/>
          <w:kern w:val="0"/>
          <w:sz w:val="24"/>
          <w:szCs w:val="24"/>
          <w:highlight w:val="none"/>
        </w:rPr>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_Toc19233 </w:instrText>
      </w:r>
      <w:r>
        <w:rPr>
          <w:rFonts w:hint="default" w:ascii="Times New Roman" w:hAnsi="Times New Roman" w:eastAsia="仿宋" w:cs="Times New Roman"/>
          <w:b w:val="0"/>
          <w:bCs w:val="0"/>
          <w:color w:val="auto"/>
          <w:kern w:val="0"/>
          <w:sz w:val="24"/>
          <w:szCs w:val="24"/>
          <w:highlight w:val="none"/>
        </w:rPr>
        <w:fldChar w:fldCharType="separate"/>
      </w:r>
      <w:r>
        <w:rPr>
          <w:rFonts w:hint="eastAsia" w:ascii="Times New Roman" w:hAnsi="Times New Roman" w:eastAsia="仿宋" w:cs="Times New Roman"/>
          <w:b w:val="0"/>
          <w:bCs w:val="0"/>
          <w:color w:val="auto"/>
          <w:kern w:val="0"/>
          <w:sz w:val="24"/>
          <w:szCs w:val="24"/>
          <w:highlight w:val="none"/>
          <w:lang w:val="en-US" w:eastAsia="zh-CN"/>
        </w:rPr>
        <w:t>6</w:t>
      </w:r>
      <w:r>
        <w:rPr>
          <w:rFonts w:hint="default" w:ascii="Times New Roman" w:hAnsi="Times New Roman" w:eastAsia="仿宋" w:cs="Times New Roman"/>
          <w:b w:val="0"/>
          <w:bCs w:val="0"/>
          <w:color w:val="auto"/>
          <w:kern w:val="0"/>
          <w:sz w:val="24"/>
          <w:szCs w:val="24"/>
          <w:highlight w:val="none"/>
          <w:lang w:val="en-US" w:eastAsia="zh-CN"/>
        </w:rPr>
        <w:t>.2复垦工程设计及工程量测算</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_Toc19233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35</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rPr>
          <w:rFonts w:hint="default" w:ascii="Times New Roman" w:hAnsi="Times New Roman" w:eastAsia="仿宋" w:cs="Times New Roman"/>
          <w:b w:val="0"/>
          <w:bCs w:val="0"/>
          <w:color w:val="auto"/>
          <w:kern w:val="0"/>
          <w:sz w:val="24"/>
          <w:szCs w:val="24"/>
          <w:highlight w:val="none"/>
        </w:rPr>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_Toc30024 </w:instrText>
      </w:r>
      <w:r>
        <w:rPr>
          <w:rFonts w:hint="default" w:ascii="Times New Roman" w:hAnsi="Times New Roman" w:eastAsia="仿宋" w:cs="Times New Roman"/>
          <w:b w:val="0"/>
          <w:bCs w:val="0"/>
          <w:color w:val="auto"/>
          <w:kern w:val="0"/>
          <w:sz w:val="24"/>
          <w:szCs w:val="24"/>
          <w:highlight w:val="none"/>
        </w:rPr>
        <w:fldChar w:fldCharType="separate"/>
      </w:r>
      <w:r>
        <w:rPr>
          <w:rFonts w:hint="eastAsia" w:ascii="Times New Roman" w:hAnsi="Times New Roman" w:eastAsia="仿宋" w:cs="Times New Roman"/>
          <w:b w:val="0"/>
          <w:bCs w:val="0"/>
          <w:color w:val="auto"/>
          <w:kern w:val="0"/>
          <w:sz w:val="24"/>
          <w:szCs w:val="24"/>
          <w:highlight w:val="none"/>
          <w:lang w:val="en-US" w:eastAsia="zh-CN"/>
        </w:rPr>
        <w:t>6</w:t>
      </w:r>
      <w:r>
        <w:rPr>
          <w:rFonts w:hint="default" w:ascii="Times New Roman" w:hAnsi="Times New Roman" w:eastAsia="仿宋" w:cs="Times New Roman"/>
          <w:b w:val="0"/>
          <w:bCs w:val="0"/>
          <w:color w:val="auto"/>
          <w:kern w:val="0"/>
          <w:sz w:val="24"/>
          <w:szCs w:val="24"/>
          <w:highlight w:val="none"/>
          <w:lang w:val="en-US" w:eastAsia="zh-CN"/>
        </w:rPr>
        <w:t>.3监测工程设计及工程量测算</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_Toc30024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36</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_Toc3273 </w:instrText>
      </w:r>
      <w:r>
        <w:rPr>
          <w:rFonts w:hint="default" w:ascii="Times New Roman" w:hAnsi="Times New Roman" w:eastAsia="仿宋" w:cs="Times New Roman"/>
          <w:b w:val="0"/>
          <w:bCs w:val="0"/>
          <w:color w:val="auto"/>
          <w:kern w:val="0"/>
          <w:sz w:val="24"/>
          <w:szCs w:val="24"/>
          <w:highlight w:val="none"/>
        </w:rPr>
        <w:fldChar w:fldCharType="separate"/>
      </w:r>
      <w:r>
        <w:rPr>
          <w:rFonts w:hint="eastAsia" w:ascii="Times New Roman" w:hAnsi="Times New Roman" w:eastAsia="仿宋" w:cs="Times New Roman"/>
          <w:b w:val="0"/>
          <w:bCs w:val="0"/>
          <w:color w:val="auto"/>
          <w:kern w:val="0"/>
          <w:sz w:val="24"/>
          <w:szCs w:val="24"/>
          <w:highlight w:val="none"/>
          <w:lang w:val="en-US" w:eastAsia="zh-CN"/>
        </w:rPr>
        <w:t>6</w:t>
      </w:r>
      <w:r>
        <w:rPr>
          <w:rFonts w:hint="default" w:ascii="Times New Roman" w:hAnsi="Times New Roman" w:eastAsia="仿宋" w:cs="Times New Roman"/>
          <w:b w:val="0"/>
          <w:bCs w:val="0"/>
          <w:color w:val="auto"/>
          <w:kern w:val="0"/>
          <w:sz w:val="24"/>
          <w:szCs w:val="24"/>
          <w:highlight w:val="none"/>
          <w:lang w:val="en-US" w:eastAsia="zh-CN"/>
        </w:rPr>
        <w:t>.</w:t>
      </w:r>
      <w:r>
        <w:rPr>
          <w:rFonts w:hint="eastAsia" w:ascii="Times New Roman" w:hAnsi="Times New Roman" w:eastAsia="仿宋" w:cs="Times New Roman"/>
          <w:b w:val="0"/>
          <w:bCs w:val="0"/>
          <w:color w:val="auto"/>
          <w:kern w:val="0"/>
          <w:sz w:val="24"/>
          <w:szCs w:val="24"/>
          <w:highlight w:val="none"/>
          <w:lang w:val="en-US" w:eastAsia="zh-CN"/>
        </w:rPr>
        <w:t>4</w:t>
      </w:r>
      <w:r>
        <w:rPr>
          <w:rFonts w:hint="default" w:ascii="Times New Roman" w:hAnsi="Times New Roman" w:eastAsia="仿宋" w:cs="Times New Roman"/>
          <w:b w:val="0"/>
          <w:bCs w:val="0"/>
          <w:color w:val="auto"/>
          <w:kern w:val="0"/>
          <w:sz w:val="24"/>
          <w:szCs w:val="24"/>
          <w:highlight w:val="none"/>
          <w:lang w:val="en-US" w:eastAsia="zh-CN"/>
        </w:rPr>
        <w:t>复垦工程量汇总</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_Toc3273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36</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16"/>
        <w:keepNext w:val="0"/>
        <w:keepLines w:val="0"/>
        <w:pageBreakBefore w:val="0"/>
        <w:widowControl/>
        <w:tabs>
          <w:tab w:val="right" w:leader="dot" w:pos="8312"/>
          <w:tab w:val="clear" w:pos="8296"/>
        </w:tabs>
        <w:kinsoku/>
        <w:wordWrap/>
        <w:overflowPunct/>
        <w:topLinePunct w:val="0"/>
        <w:autoSpaceDE/>
        <w:autoSpaceDN/>
        <w:bidi w:val="0"/>
        <w:adjustRightInd/>
        <w:snapToGrid/>
        <w:spacing w:after="0" w:line="460" w:lineRule="exact"/>
        <w:ind w:left="0"/>
        <w:textAlignment w:val="auto"/>
        <w:rPr>
          <w:rFonts w:hint="default" w:ascii="Times New Roman" w:hAnsi="Times New Roman" w:eastAsia="仿宋" w:cs="Times New Roman"/>
          <w:b/>
          <w:bCs/>
          <w:color w:val="auto"/>
          <w:kern w:val="0"/>
          <w:sz w:val="24"/>
          <w:szCs w:val="24"/>
          <w:highlight w:val="none"/>
        </w:rPr>
      </w:pPr>
      <w:r>
        <w:rPr>
          <w:rFonts w:hint="default" w:ascii="Times New Roman" w:hAnsi="Times New Roman" w:eastAsia="仿宋" w:cs="Times New Roman"/>
          <w:b/>
          <w:bCs/>
          <w:color w:val="auto"/>
          <w:kern w:val="0"/>
          <w:sz w:val="24"/>
          <w:szCs w:val="24"/>
          <w:highlight w:val="none"/>
        </w:rPr>
        <w:fldChar w:fldCharType="begin"/>
      </w:r>
      <w:r>
        <w:rPr>
          <w:rFonts w:hint="default" w:ascii="Times New Roman" w:hAnsi="Times New Roman" w:eastAsia="仿宋" w:cs="Times New Roman"/>
          <w:b/>
          <w:bCs/>
          <w:color w:val="auto"/>
          <w:kern w:val="0"/>
          <w:sz w:val="24"/>
          <w:szCs w:val="24"/>
          <w:highlight w:val="none"/>
        </w:rPr>
        <w:instrText xml:space="preserve"> HYPERLINK \l _Toc10263 </w:instrText>
      </w:r>
      <w:r>
        <w:rPr>
          <w:rFonts w:hint="default" w:ascii="Times New Roman" w:hAnsi="Times New Roman" w:eastAsia="仿宋" w:cs="Times New Roman"/>
          <w:b/>
          <w:bCs/>
          <w:color w:val="auto"/>
          <w:kern w:val="0"/>
          <w:sz w:val="24"/>
          <w:szCs w:val="24"/>
          <w:highlight w:val="none"/>
        </w:rPr>
        <w:fldChar w:fldCharType="separate"/>
      </w:r>
      <w:r>
        <w:rPr>
          <w:rFonts w:hint="eastAsia" w:ascii="Times New Roman" w:hAnsi="Times New Roman" w:eastAsia="仿宋" w:cs="Times New Roman"/>
          <w:b/>
          <w:bCs/>
          <w:color w:val="auto"/>
          <w:kern w:val="0"/>
          <w:sz w:val="24"/>
          <w:szCs w:val="24"/>
          <w:highlight w:val="none"/>
          <w:lang w:val="en-US" w:eastAsia="zh-CN"/>
        </w:rPr>
        <w:t>7</w:t>
      </w:r>
      <w:r>
        <w:rPr>
          <w:rFonts w:hint="default" w:ascii="Times New Roman" w:hAnsi="Times New Roman" w:eastAsia="仿宋" w:cs="Times New Roman"/>
          <w:b/>
          <w:bCs/>
          <w:color w:val="auto"/>
          <w:kern w:val="0"/>
          <w:sz w:val="24"/>
          <w:szCs w:val="24"/>
          <w:highlight w:val="none"/>
        </w:rPr>
        <w:t>土地复垦投资估算</w:t>
      </w:r>
      <w:r>
        <w:rPr>
          <w:rFonts w:hint="default" w:ascii="Times New Roman" w:hAnsi="Times New Roman" w:eastAsia="仿宋" w:cs="Times New Roman"/>
          <w:b/>
          <w:bCs/>
          <w:color w:val="auto"/>
          <w:kern w:val="0"/>
          <w:sz w:val="24"/>
          <w:szCs w:val="24"/>
          <w:highlight w:val="none"/>
        </w:rPr>
        <w:tab/>
      </w:r>
      <w:r>
        <w:rPr>
          <w:rFonts w:hint="default" w:ascii="Times New Roman" w:hAnsi="Times New Roman" w:eastAsia="仿宋" w:cs="Times New Roman"/>
          <w:b/>
          <w:bCs/>
          <w:color w:val="auto"/>
          <w:kern w:val="0"/>
          <w:sz w:val="24"/>
          <w:szCs w:val="24"/>
          <w:highlight w:val="none"/>
        </w:rPr>
        <w:fldChar w:fldCharType="begin"/>
      </w:r>
      <w:r>
        <w:rPr>
          <w:rFonts w:hint="default" w:ascii="Times New Roman" w:hAnsi="Times New Roman" w:eastAsia="仿宋" w:cs="Times New Roman"/>
          <w:b/>
          <w:bCs/>
          <w:color w:val="auto"/>
          <w:kern w:val="0"/>
          <w:sz w:val="24"/>
          <w:szCs w:val="24"/>
          <w:highlight w:val="none"/>
        </w:rPr>
        <w:instrText xml:space="preserve"> PAGEREF _Toc10263 \h </w:instrText>
      </w:r>
      <w:r>
        <w:rPr>
          <w:rFonts w:hint="default" w:ascii="Times New Roman" w:hAnsi="Times New Roman" w:eastAsia="仿宋" w:cs="Times New Roman"/>
          <w:b/>
          <w:bCs/>
          <w:color w:val="auto"/>
          <w:kern w:val="0"/>
          <w:sz w:val="24"/>
          <w:szCs w:val="24"/>
          <w:highlight w:val="none"/>
        </w:rPr>
        <w:fldChar w:fldCharType="separate"/>
      </w:r>
      <w:r>
        <w:rPr>
          <w:rFonts w:hint="default" w:ascii="Times New Roman" w:hAnsi="Times New Roman" w:eastAsia="仿宋" w:cs="Times New Roman"/>
          <w:b/>
          <w:bCs/>
          <w:color w:val="auto"/>
          <w:kern w:val="0"/>
          <w:sz w:val="24"/>
          <w:szCs w:val="24"/>
          <w:highlight w:val="none"/>
        </w:rPr>
        <w:t>37</w:t>
      </w:r>
      <w:r>
        <w:rPr>
          <w:rFonts w:hint="default" w:ascii="Times New Roman" w:hAnsi="Times New Roman" w:eastAsia="仿宋" w:cs="Times New Roman"/>
          <w:b/>
          <w:bCs/>
          <w:color w:val="auto"/>
          <w:kern w:val="0"/>
          <w:sz w:val="24"/>
          <w:szCs w:val="24"/>
          <w:highlight w:val="none"/>
        </w:rPr>
        <w:fldChar w:fldCharType="end"/>
      </w:r>
      <w:r>
        <w:rPr>
          <w:rFonts w:hint="default" w:ascii="Times New Roman" w:hAnsi="Times New Roman" w:eastAsia="仿宋" w:cs="Times New Roman"/>
          <w:b/>
          <w:bCs/>
          <w:color w:val="auto"/>
          <w:kern w:val="0"/>
          <w:sz w:val="24"/>
          <w:szCs w:val="24"/>
          <w:highlight w:val="none"/>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rPr>
          <w:rFonts w:hint="default" w:ascii="Times New Roman" w:hAnsi="Times New Roman" w:eastAsia="仿宋" w:cs="Times New Roman"/>
          <w:b w:val="0"/>
          <w:bCs w:val="0"/>
          <w:color w:val="auto"/>
          <w:kern w:val="0"/>
          <w:sz w:val="24"/>
          <w:szCs w:val="24"/>
          <w:highlight w:val="none"/>
        </w:rPr>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_Toc1452 </w:instrText>
      </w:r>
      <w:r>
        <w:rPr>
          <w:rFonts w:hint="default" w:ascii="Times New Roman" w:hAnsi="Times New Roman" w:eastAsia="仿宋" w:cs="Times New Roman"/>
          <w:b w:val="0"/>
          <w:bCs w:val="0"/>
          <w:color w:val="auto"/>
          <w:kern w:val="0"/>
          <w:sz w:val="24"/>
          <w:szCs w:val="24"/>
          <w:highlight w:val="none"/>
        </w:rPr>
        <w:fldChar w:fldCharType="separate"/>
      </w:r>
      <w:r>
        <w:rPr>
          <w:rFonts w:hint="eastAsia" w:ascii="Times New Roman" w:hAnsi="Times New Roman" w:eastAsia="仿宋" w:cs="Times New Roman"/>
          <w:b w:val="0"/>
          <w:bCs w:val="0"/>
          <w:color w:val="auto"/>
          <w:kern w:val="0"/>
          <w:sz w:val="24"/>
          <w:szCs w:val="24"/>
          <w:highlight w:val="none"/>
          <w:lang w:val="en-US" w:eastAsia="zh-CN"/>
        </w:rPr>
        <w:t>7</w:t>
      </w:r>
      <w:r>
        <w:rPr>
          <w:rFonts w:hint="default" w:ascii="Times New Roman" w:hAnsi="Times New Roman" w:eastAsia="仿宋" w:cs="Times New Roman"/>
          <w:b w:val="0"/>
          <w:bCs w:val="0"/>
          <w:color w:val="auto"/>
          <w:kern w:val="0"/>
          <w:sz w:val="24"/>
          <w:szCs w:val="24"/>
          <w:highlight w:val="none"/>
        </w:rPr>
        <w:t>.1估算编制原则</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_Toc1452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37</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rPr>
          <w:rFonts w:hint="default" w:ascii="Times New Roman" w:hAnsi="Times New Roman" w:eastAsia="仿宋" w:cs="Times New Roman"/>
          <w:b w:val="0"/>
          <w:bCs w:val="0"/>
          <w:color w:val="auto"/>
          <w:kern w:val="0"/>
          <w:sz w:val="24"/>
          <w:szCs w:val="24"/>
          <w:highlight w:val="none"/>
        </w:rPr>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_Toc8097 </w:instrText>
      </w:r>
      <w:r>
        <w:rPr>
          <w:rFonts w:hint="default" w:ascii="Times New Roman" w:hAnsi="Times New Roman" w:eastAsia="仿宋" w:cs="Times New Roman"/>
          <w:b w:val="0"/>
          <w:bCs w:val="0"/>
          <w:color w:val="auto"/>
          <w:kern w:val="0"/>
          <w:sz w:val="24"/>
          <w:szCs w:val="24"/>
          <w:highlight w:val="none"/>
        </w:rPr>
        <w:fldChar w:fldCharType="separate"/>
      </w:r>
      <w:r>
        <w:rPr>
          <w:rFonts w:hint="eastAsia" w:ascii="Times New Roman" w:hAnsi="Times New Roman" w:eastAsia="仿宋" w:cs="Times New Roman"/>
          <w:b w:val="0"/>
          <w:bCs w:val="0"/>
          <w:color w:val="auto"/>
          <w:kern w:val="0"/>
          <w:sz w:val="24"/>
          <w:szCs w:val="24"/>
          <w:highlight w:val="none"/>
          <w:lang w:val="en-US" w:eastAsia="zh-CN"/>
        </w:rPr>
        <w:t>7</w:t>
      </w:r>
      <w:r>
        <w:rPr>
          <w:rFonts w:hint="default" w:ascii="Times New Roman" w:hAnsi="Times New Roman" w:eastAsia="仿宋" w:cs="Times New Roman"/>
          <w:b w:val="0"/>
          <w:bCs w:val="0"/>
          <w:color w:val="auto"/>
          <w:kern w:val="0"/>
          <w:sz w:val="24"/>
          <w:szCs w:val="24"/>
          <w:highlight w:val="none"/>
        </w:rPr>
        <w:t>.2编制依据</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_Toc8097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37</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rPr>
          <w:rFonts w:hint="default" w:ascii="Times New Roman" w:hAnsi="Times New Roman" w:eastAsia="仿宋" w:cs="Times New Roman"/>
          <w:b w:val="0"/>
          <w:bCs w:val="0"/>
          <w:color w:val="auto"/>
          <w:kern w:val="0"/>
          <w:sz w:val="24"/>
          <w:szCs w:val="24"/>
          <w:highlight w:val="none"/>
        </w:rPr>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_Toc13844 </w:instrText>
      </w:r>
      <w:r>
        <w:rPr>
          <w:rFonts w:hint="default" w:ascii="Times New Roman" w:hAnsi="Times New Roman" w:eastAsia="仿宋" w:cs="Times New Roman"/>
          <w:b w:val="0"/>
          <w:bCs w:val="0"/>
          <w:color w:val="auto"/>
          <w:kern w:val="0"/>
          <w:sz w:val="24"/>
          <w:szCs w:val="24"/>
          <w:highlight w:val="none"/>
        </w:rPr>
        <w:fldChar w:fldCharType="separate"/>
      </w:r>
      <w:r>
        <w:rPr>
          <w:rFonts w:hint="eastAsia" w:ascii="Times New Roman" w:hAnsi="Times New Roman" w:eastAsia="仿宋" w:cs="Times New Roman"/>
          <w:b w:val="0"/>
          <w:bCs w:val="0"/>
          <w:color w:val="auto"/>
          <w:kern w:val="0"/>
          <w:sz w:val="24"/>
          <w:szCs w:val="24"/>
          <w:highlight w:val="none"/>
          <w:lang w:val="en-US" w:eastAsia="zh-CN"/>
        </w:rPr>
        <w:t>7</w:t>
      </w:r>
      <w:r>
        <w:rPr>
          <w:rFonts w:hint="default" w:ascii="Times New Roman" w:hAnsi="Times New Roman" w:eastAsia="仿宋" w:cs="Times New Roman"/>
          <w:b w:val="0"/>
          <w:bCs w:val="0"/>
          <w:color w:val="auto"/>
          <w:kern w:val="0"/>
          <w:sz w:val="24"/>
          <w:szCs w:val="24"/>
          <w:highlight w:val="none"/>
        </w:rPr>
        <w:t>.3基础单价编制</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_Toc13844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38</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rPr>
          <w:rFonts w:hint="default" w:ascii="Times New Roman" w:hAnsi="Times New Roman" w:eastAsia="仿宋" w:cs="Times New Roman"/>
          <w:b w:val="0"/>
          <w:bCs w:val="0"/>
          <w:color w:val="auto"/>
          <w:kern w:val="0"/>
          <w:sz w:val="24"/>
          <w:szCs w:val="24"/>
          <w:highlight w:val="none"/>
        </w:rPr>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_Toc4210 </w:instrText>
      </w:r>
      <w:r>
        <w:rPr>
          <w:rFonts w:hint="default" w:ascii="Times New Roman" w:hAnsi="Times New Roman" w:eastAsia="仿宋" w:cs="Times New Roman"/>
          <w:b w:val="0"/>
          <w:bCs w:val="0"/>
          <w:color w:val="auto"/>
          <w:kern w:val="0"/>
          <w:sz w:val="24"/>
          <w:szCs w:val="24"/>
          <w:highlight w:val="none"/>
        </w:rPr>
        <w:fldChar w:fldCharType="separate"/>
      </w:r>
      <w:r>
        <w:rPr>
          <w:rFonts w:hint="eastAsia" w:ascii="Times New Roman" w:hAnsi="Times New Roman" w:eastAsia="仿宋" w:cs="Times New Roman"/>
          <w:b w:val="0"/>
          <w:bCs w:val="0"/>
          <w:color w:val="auto"/>
          <w:kern w:val="0"/>
          <w:sz w:val="24"/>
          <w:szCs w:val="24"/>
          <w:highlight w:val="none"/>
          <w:lang w:val="en-US" w:eastAsia="zh-CN"/>
        </w:rPr>
        <w:t>7</w:t>
      </w:r>
      <w:r>
        <w:rPr>
          <w:rFonts w:hint="default" w:ascii="Times New Roman" w:hAnsi="Times New Roman" w:eastAsia="仿宋" w:cs="Times New Roman"/>
          <w:b w:val="0"/>
          <w:bCs w:val="0"/>
          <w:color w:val="auto"/>
          <w:kern w:val="0"/>
          <w:sz w:val="24"/>
          <w:szCs w:val="24"/>
          <w:highlight w:val="none"/>
        </w:rPr>
        <w:t>.4费用构成及计算标准</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_Toc4210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40</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_Toc2083 </w:instrText>
      </w:r>
      <w:r>
        <w:rPr>
          <w:rFonts w:hint="default" w:ascii="Times New Roman" w:hAnsi="Times New Roman" w:eastAsia="仿宋" w:cs="Times New Roman"/>
          <w:b w:val="0"/>
          <w:bCs w:val="0"/>
          <w:color w:val="auto"/>
          <w:kern w:val="0"/>
          <w:sz w:val="24"/>
          <w:szCs w:val="24"/>
          <w:highlight w:val="none"/>
        </w:rPr>
        <w:fldChar w:fldCharType="separate"/>
      </w:r>
      <w:r>
        <w:rPr>
          <w:rFonts w:hint="eastAsia" w:ascii="Times New Roman" w:hAnsi="Times New Roman" w:eastAsia="仿宋" w:cs="Times New Roman"/>
          <w:b w:val="0"/>
          <w:bCs w:val="0"/>
          <w:color w:val="auto"/>
          <w:kern w:val="0"/>
          <w:sz w:val="24"/>
          <w:szCs w:val="24"/>
          <w:highlight w:val="none"/>
          <w:lang w:val="en-US" w:eastAsia="zh-CN"/>
        </w:rPr>
        <w:t>7</w:t>
      </w:r>
      <w:r>
        <w:rPr>
          <w:rFonts w:hint="default" w:ascii="Times New Roman" w:hAnsi="Times New Roman" w:eastAsia="仿宋" w:cs="Times New Roman"/>
          <w:b w:val="0"/>
          <w:bCs w:val="0"/>
          <w:color w:val="auto"/>
          <w:kern w:val="0"/>
          <w:sz w:val="24"/>
          <w:szCs w:val="24"/>
          <w:highlight w:val="none"/>
        </w:rPr>
        <w:t>.5估算成果</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_Toc2083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43</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16"/>
        <w:keepNext w:val="0"/>
        <w:keepLines w:val="0"/>
        <w:pageBreakBefore w:val="0"/>
        <w:widowControl/>
        <w:tabs>
          <w:tab w:val="right" w:leader="dot" w:pos="8312"/>
          <w:tab w:val="clear" w:pos="8296"/>
        </w:tabs>
        <w:kinsoku/>
        <w:wordWrap/>
        <w:overflowPunct/>
        <w:topLinePunct w:val="0"/>
        <w:autoSpaceDE/>
        <w:autoSpaceDN/>
        <w:bidi w:val="0"/>
        <w:adjustRightInd/>
        <w:snapToGrid/>
        <w:spacing w:after="0" w:line="460" w:lineRule="exact"/>
        <w:ind w:left="0"/>
        <w:textAlignment w:val="auto"/>
        <w:rPr>
          <w:rFonts w:hint="default" w:ascii="Times New Roman" w:hAnsi="Times New Roman" w:eastAsia="仿宋" w:cs="Times New Roman"/>
          <w:b/>
          <w:bCs/>
          <w:color w:val="auto"/>
          <w:kern w:val="0"/>
          <w:sz w:val="24"/>
          <w:szCs w:val="24"/>
          <w:highlight w:val="none"/>
        </w:rPr>
      </w:pPr>
      <w:r>
        <w:rPr>
          <w:rFonts w:hint="default" w:ascii="Times New Roman" w:hAnsi="Times New Roman" w:eastAsia="仿宋" w:cs="Times New Roman"/>
          <w:b/>
          <w:bCs/>
          <w:color w:val="auto"/>
          <w:kern w:val="0"/>
          <w:sz w:val="24"/>
          <w:szCs w:val="24"/>
          <w:highlight w:val="none"/>
        </w:rPr>
        <w:fldChar w:fldCharType="begin"/>
      </w:r>
      <w:r>
        <w:rPr>
          <w:rFonts w:hint="default" w:ascii="Times New Roman" w:hAnsi="Times New Roman" w:eastAsia="仿宋" w:cs="Times New Roman"/>
          <w:b/>
          <w:bCs/>
          <w:color w:val="auto"/>
          <w:kern w:val="0"/>
          <w:sz w:val="24"/>
          <w:szCs w:val="24"/>
          <w:highlight w:val="none"/>
        </w:rPr>
        <w:instrText xml:space="preserve"> HYPERLINK \l _Toc11489 </w:instrText>
      </w:r>
      <w:r>
        <w:rPr>
          <w:rFonts w:hint="default" w:ascii="Times New Roman" w:hAnsi="Times New Roman" w:eastAsia="仿宋" w:cs="Times New Roman"/>
          <w:b/>
          <w:bCs/>
          <w:color w:val="auto"/>
          <w:kern w:val="0"/>
          <w:sz w:val="24"/>
          <w:szCs w:val="24"/>
          <w:highlight w:val="none"/>
        </w:rPr>
        <w:fldChar w:fldCharType="separate"/>
      </w:r>
      <w:r>
        <w:rPr>
          <w:rFonts w:hint="eastAsia" w:ascii="Times New Roman" w:hAnsi="Times New Roman" w:eastAsia="仿宋" w:cs="Times New Roman"/>
          <w:b/>
          <w:bCs/>
          <w:color w:val="auto"/>
          <w:kern w:val="0"/>
          <w:sz w:val="24"/>
          <w:szCs w:val="24"/>
          <w:highlight w:val="none"/>
          <w:lang w:val="en-US" w:eastAsia="zh-CN"/>
        </w:rPr>
        <w:t>8土地复垦服务年限与复垦工作计划安排</w:t>
      </w:r>
      <w:r>
        <w:rPr>
          <w:rFonts w:hint="default" w:ascii="Times New Roman" w:hAnsi="Times New Roman" w:eastAsia="仿宋" w:cs="Times New Roman"/>
          <w:b/>
          <w:bCs/>
          <w:color w:val="auto"/>
          <w:kern w:val="0"/>
          <w:sz w:val="24"/>
          <w:szCs w:val="24"/>
          <w:highlight w:val="none"/>
        </w:rPr>
        <w:tab/>
      </w:r>
      <w:r>
        <w:rPr>
          <w:rFonts w:hint="default" w:ascii="Times New Roman" w:hAnsi="Times New Roman" w:eastAsia="仿宋" w:cs="Times New Roman"/>
          <w:b/>
          <w:bCs/>
          <w:color w:val="auto"/>
          <w:kern w:val="0"/>
          <w:sz w:val="24"/>
          <w:szCs w:val="24"/>
          <w:highlight w:val="none"/>
        </w:rPr>
        <w:fldChar w:fldCharType="begin"/>
      </w:r>
      <w:r>
        <w:rPr>
          <w:rFonts w:hint="default" w:ascii="Times New Roman" w:hAnsi="Times New Roman" w:eastAsia="仿宋" w:cs="Times New Roman"/>
          <w:b/>
          <w:bCs/>
          <w:color w:val="auto"/>
          <w:kern w:val="0"/>
          <w:sz w:val="24"/>
          <w:szCs w:val="24"/>
          <w:highlight w:val="none"/>
        </w:rPr>
        <w:instrText xml:space="preserve"> PAGEREF _Toc11489 \h </w:instrText>
      </w:r>
      <w:r>
        <w:rPr>
          <w:rFonts w:hint="default" w:ascii="Times New Roman" w:hAnsi="Times New Roman" w:eastAsia="仿宋" w:cs="Times New Roman"/>
          <w:b/>
          <w:bCs/>
          <w:color w:val="auto"/>
          <w:kern w:val="0"/>
          <w:sz w:val="24"/>
          <w:szCs w:val="24"/>
          <w:highlight w:val="none"/>
        </w:rPr>
        <w:fldChar w:fldCharType="separate"/>
      </w:r>
      <w:r>
        <w:rPr>
          <w:rFonts w:hint="default" w:ascii="Times New Roman" w:hAnsi="Times New Roman" w:eastAsia="仿宋" w:cs="Times New Roman"/>
          <w:b/>
          <w:bCs/>
          <w:color w:val="auto"/>
          <w:kern w:val="0"/>
          <w:sz w:val="24"/>
          <w:szCs w:val="24"/>
          <w:highlight w:val="none"/>
        </w:rPr>
        <w:t>49</w:t>
      </w:r>
      <w:r>
        <w:rPr>
          <w:rFonts w:hint="default" w:ascii="Times New Roman" w:hAnsi="Times New Roman" w:eastAsia="仿宋" w:cs="Times New Roman"/>
          <w:b/>
          <w:bCs/>
          <w:color w:val="auto"/>
          <w:kern w:val="0"/>
          <w:sz w:val="24"/>
          <w:szCs w:val="24"/>
          <w:highlight w:val="none"/>
        </w:rPr>
        <w:fldChar w:fldCharType="end"/>
      </w:r>
      <w:r>
        <w:rPr>
          <w:rFonts w:hint="default" w:ascii="Times New Roman" w:hAnsi="Times New Roman" w:eastAsia="仿宋" w:cs="Times New Roman"/>
          <w:b/>
          <w:bCs/>
          <w:color w:val="auto"/>
          <w:kern w:val="0"/>
          <w:sz w:val="24"/>
          <w:szCs w:val="24"/>
          <w:highlight w:val="none"/>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rPr>
          <w:rFonts w:hint="default" w:ascii="Times New Roman" w:hAnsi="Times New Roman" w:eastAsia="仿宋" w:cs="Times New Roman"/>
          <w:b w:val="0"/>
          <w:bCs w:val="0"/>
          <w:color w:val="auto"/>
          <w:kern w:val="0"/>
          <w:sz w:val="24"/>
          <w:szCs w:val="24"/>
          <w:highlight w:val="none"/>
        </w:rPr>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_Toc31397 </w:instrText>
      </w:r>
      <w:r>
        <w:rPr>
          <w:rFonts w:hint="default" w:ascii="Times New Roman" w:hAnsi="Times New Roman" w:eastAsia="仿宋" w:cs="Times New Roman"/>
          <w:b w:val="0"/>
          <w:bCs w:val="0"/>
          <w:color w:val="auto"/>
          <w:kern w:val="0"/>
          <w:sz w:val="24"/>
          <w:szCs w:val="24"/>
          <w:highlight w:val="none"/>
        </w:rPr>
        <w:fldChar w:fldCharType="separate"/>
      </w:r>
      <w:r>
        <w:rPr>
          <w:rFonts w:hint="eastAsia" w:ascii="Times New Roman" w:hAnsi="Times New Roman" w:eastAsia="仿宋" w:cs="Times New Roman"/>
          <w:b w:val="0"/>
          <w:bCs w:val="0"/>
          <w:color w:val="auto"/>
          <w:kern w:val="0"/>
          <w:sz w:val="24"/>
          <w:szCs w:val="24"/>
          <w:highlight w:val="none"/>
          <w:lang w:val="en-US" w:eastAsia="zh-CN"/>
        </w:rPr>
        <w:t>8.1土地复垦服务年限</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_Toc31397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49</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rPr>
          <w:rFonts w:hint="default" w:ascii="Times New Roman" w:hAnsi="Times New Roman" w:eastAsia="仿宋" w:cs="Times New Roman"/>
          <w:b w:val="0"/>
          <w:bCs w:val="0"/>
          <w:color w:val="auto"/>
          <w:kern w:val="0"/>
          <w:sz w:val="24"/>
          <w:szCs w:val="24"/>
          <w:highlight w:val="none"/>
        </w:rPr>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_Toc32531 </w:instrText>
      </w:r>
      <w:r>
        <w:rPr>
          <w:rFonts w:hint="default" w:ascii="Times New Roman" w:hAnsi="Times New Roman" w:eastAsia="仿宋" w:cs="Times New Roman"/>
          <w:b w:val="0"/>
          <w:bCs w:val="0"/>
          <w:color w:val="auto"/>
          <w:kern w:val="0"/>
          <w:sz w:val="24"/>
          <w:szCs w:val="24"/>
          <w:highlight w:val="none"/>
        </w:rPr>
        <w:fldChar w:fldCharType="separate"/>
      </w:r>
      <w:r>
        <w:rPr>
          <w:rFonts w:hint="eastAsia" w:ascii="Times New Roman" w:hAnsi="Times New Roman" w:eastAsia="仿宋" w:cs="Times New Roman"/>
          <w:b w:val="0"/>
          <w:bCs w:val="0"/>
          <w:color w:val="auto"/>
          <w:kern w:val="0"/>
          <w:sz w:val="24"/>
          <w:szCs w:val="24"/>
          <w:highlight w:val="none"/>
          <w:lang w:val="en-US" w:eastAsia="zh-CN"/>
        </w:rPr>
        <w:t>8.2土地复垦工作计划安排</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_Toc32531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49</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_Toc28462 </w:instrText>
      </w:r>
      <w:r>
        <w:rPr>
          <w:rFonts w:hint="default" w:ascii="Times New Roman" w:hAnsi="Times New Roman" w:eastAsia="仿宋" w:cs="Times New Roman"/>
          <w:b w:val="0"/>
          <w:bCs w:val="0"/>
          <w:color w:val="auto"/>
          <w:kern w:val="0"/>
          <w:sz w:val="24"/>
          <w:szCs w:val="24"/>
          <w:highlight w:val="none"/>
        </w:rPr>
        <w:fldChar w:fldCharType="separate"/>
      </w:r>
      <w:r>
        <w:rPr>
          <w:rFonts w:hint="eastAsia" w:ascii="Times New Roman" w:hAnsi="Times New Roman" w:eastAsia="仿宋" w:cs="Times New Roman"/>
          <w:b w:val="0"/>
          <w:bCs w:val="0"/>
          <w:color w:val="auto"/>
          <w:kern w:val="0"/>
          <w:sz w:val="24"/>
          <w:szCs w:val="24"/>
          <w:highlight w:val="none"/>
          <w:lang w:val="en-US" w:eastAsia="zh-CN"/>
        </w:rPr>
        <w:t>8.3土地复垦费用安排</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_Toc28462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50</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16"/>
        <w:keepNext w:val="0"/>
        <w:keepLines w:val="0"/>
        <w:pageBreakBefore w:val="0"/>
        <w:widowControl/>
        <w:tabs>
          <w:tab w:val="right" w:leader="dot" w:pos="8312"/>
          <w:tab w:val="clear" w:pos="8296"/>
        </w:tabs>
        <w:kinsoku/>
        <w:wordWrap/>
        <w:overflowPunct/>
        <w:topLinePunct w:val="0"/>
        <w:autoSpaceDE/>
        <w:autoSpaceDN/>
        <w:bidi w:val="0"/>
        <w:adjustRightInd/>
        <w:snapToGrid/>
        <w:spacing w:after="0" w:line="460" w:lineRule="exact"/>
        <w:ind w:left="0"/>
        <w:textAlignment w:val="auto"/>
        <w:rPr>
          <w:rFonts w:hint="default" w:ascii="Times New Roman" w:hAnsi="Times New Roman" w:eastAsia="仿宋" w:cs="Times New Roman"/>
          <w:b/>
          <w:bCs/>
          <w:color w:val="auto"/>
          <w:kern w:val="0"/>
          <w:sz w:val="24"/>
          <w:szCs w:val="24"/>
          <w:highlight w:val="none"/>
        </w:rPr>
      </w:pPr>
      <w:r>
        <w:rPr>
          <w:rFonts w:hint="default" w:ascii="Times New Roman" w:hAnsi="Times New Roman" w:eastAsia="仿宋" w:cs="Times New Roman"/>
          <w:b/>
          <w:bCs/>
          <w:color w:val="auto"/>
          <w:kern w:val="0"/>
          <w:sz w:val="24"/>
          <w:szCs w:val="24"/>
          <w:highlight w:val="none"/>
        </w:rPr>
        <w:fldChar w:fldCharType="begin"/>
      </w:r>
      <w:r>
        <w:rPr>
          <w:rFonts w:hint="default" w:ascii="Times New Roman" w:hAnsi="Times New Roman" w:eastAsia="仿宋" w:cs="Times New Roman"/>
          <w:b/>
          <w:bCs/>
          <w:color w:val="auto"/>
          <w:kern w:val="0"/>
          <w:sz w:val="24"/>
          <w:szCs w:val="24"/>
          <w:highlight w:val="none"/>
        </w:rPr>
        <w:instrText xml:space="preserve"> HYPERLINK \l _Toc19565 </w:instrText>
      </w:r>
      <w:r>
        <w:rPr>
          <w:rFonts w:hint="default" w:ascii="Times New Roman" w:hAnsi="Times New Roman" w:eastAsia="仿宋" w:cs="Times New Roman"/>
          <w:b/>
          <w:bCs/>
          <w:color w:val="auto"/>
          <w:kern w:val="0"/>
          <w:sz w:val="24"/>
          <w:szCs w:val="24"/>
          <w:highlight w:val="none"/>
        </w:rPr>
        <w:fldChar w:fldCharType="separate"/>
      </w:r>
      <w:r>
        <w:rPr>
          <w:rFonts w:hint="eastAsia" w:ascii="Times New Roman" w:hAnsi="Times New Roman" w:eastAsia="仿宋" w:cs="Times New Roman"/>
          <w:b/>
          <w:bCs/>
          <w:color w:val="auto"/>
          <w:kern w:val="0"/>
          <w:sz w:val="24"/>
          <w:szCs w:val="24"/>
          <w:highlight w:val="none"/>
          <w:lang w:val="en-US" w:eastAsia="zh-CN"/>
        </w:rPr>
        <w:t>9土地复垦效益分析</w:t>
      </w:r>
      <w:r>
        <w:rPr>
          <w:rFonts w:hint="default" w:ascii="Times New Roman" w:hAnsi="Times New Roman" w:eastAsia="仿宋" w:cs="Times New Roman"/>
          <w:b/>
          <w:bCs/>
          <w:color w:val="auto"/>
          <w:kern w:val="0"/>
          <w:sz w:val="24"/>
          <w:szCs w:val="24"/>
          <w:highlight w:val="none"/>
        </w:rPr>
        <w:tab/>
      </w:r>
      <w:r>
        <w:rPr>
          <w:rFonts w:hint="default" w:ascii="Times New Roman" w:hAnsi="Times New Roman" w:eastAsia="仿宋" w:cs="Times New Roman"/>
          <w:b/>
          <w:bCs/>
          <w:color w:val="auto"/>
          <w:kern w:val="0"/>
          <w:sz w:val="24"/>
          <w:szCs w:val="24"/>
          <w:highlight w:val="none"/>
        </w:rPr>
        <w:fldChar w:fldCharType="begin"/>
      </w:r>
      <w:r>
        <w:rPr>
          <w:rFonts w:hint="default" w:ascii="Times New Roman" w:hAnsi="Times New Roman" w:eastAsia="仿宋" w:cs="Times New Roman"/>
          <w:b/>
          <w:bCs/>
          <w:color w:val="auto"/>
          <w:kern w:val="0"/>
          <w:sz w:val="24"/>
          <w:szCs w:val="24"/>
          <w:highlight w:val="none"/>
        </w:rPr>
        <w:instrText xml:space="preserve"> PAGEREF _Toc19565 \h </w:instrText>
      </w:r>
      <w:r>
        <w:rPr>
          <w:rFonts w:hint="default" w:ascii="Times New Roman" w:hAnsi="Times New Roman" w:eastAsia="仿宋" w:cs="Times New Roman"/>
          <w:b/>
          <w:bCs/>
          <w:color w:val="auto"/>
          <w:kern w:val="0"/>
          <w:sz w:val="24"/>
          <w:szCs w:val="24"/>
          <w:highlight w:val="none"/>
        </w:rPr>
        <w:fldChar w:fldCharType="separate"/>
      </w:r>
      <w:r>
        <w:rPr>
          <w:rFonts w:hint="default" w:ascii="Times New Roman" w:hAnsi="Times New Roman" w:eastAsia="仿宋" w:cs="Times New Roman"/>
          <w:b/>
          <w:bCs/>
          <w:color w:val="auto"/>
          <w:kern w:val="0"/>
          <w:sz w:val="24"/>
          <w:szCs w:val="24"/>
          <w:highlight w:val="none"/>
        </w:rPr>
        <w:t>51</w:t>
      </w:r>
      <w:r>
        <w:rPr>
          <w:rFonts w:hint="default" w:ascii="Times New Roman" w:hAnsi="Times New Roman" w:eastAsia="仿宋" w:cs="Times New Roman"/>
          <w:b/>
          <w:bCs/>
          <w:color w:val="auto"/>
          <w:kern w:val="0"/>
          <w:sz w:val="24"/>
          <w:szCs w:val="24"/>
          <w:highlight w:val="none"/>
        </w:rPr>
        <w:fldChar w:fldCharType="end"/>
      </w:r>
      <w:r>
        <w:rPr>
          <w:rFonts w:hint="default" w:ascii="Times New Roman" w:hAnsi="Times New Roman" w:eastAsia="仿宋" w:cs="Times New Roman"/>
          <w:b/>
          <w:bCs/>
          <w:color w:val="auto"/>
          <w:kern w:val="0"/>
          <w:sz w:val="24"/>
          <w:szCs w:val="24"/>
          <w:highlight w:val="none"/>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rPr>
          <w:rFonts w:hint="default" w:ascii="Times New Roman" w:hAnsi="Times New Roman" w:eastAsia="仿宋" w:cs="Times New Roman"/>
          <w:b w:val="0"/>
          <w:bCs w:val="0"/>
          <w:color w:val="auto"/>
          <w:kern w:val="0"/>
          <w:sz w:val="24"/>
          <w:szCs w:val="24"/>
          <w:highlight w:val="none"/>
        </w:rPr>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_Toc27350 </w:instrText>
      </w:r>
      <w:r>
        <w:rPr>
          <w:rFonts w:hint="default" w:ascii="Times New Roman" w:hAnsi="Times New Roman" w:eastAsia="仿宋" w:cs="Times New Roman"/>
          <w:b w:val="0"/>
          <w:bCs w:val="0"/>
          <w:color w:val="auto"/>
          <w:kern w:val="0"/>
          <w:sz w:val="24"/>
          <w:szCs w:val="24"/>
          <w:highlight w:val="none"/>
        </w:rPr>
        <w:fldChar w:fldCharType="separate"/>
      </w:r>
      <w:r>
        <w:rPr>
          <w:rFonts w:hint="eastAsia" w:ascii="Times New Roman" w:hAnsi="Times New Roman" w:eastAsia="仿宋" w:cs="Times New Roman"/>
          <w:b w:val="0"/>
          <w:bCs w:val="0"/>
          <w:color w:val="auto"/>
          <w:kern w:val="0"/>
          <w:sz w:val="24"/>
          <w:szCs w:val="24"/>
          <w:highlight w:val="none"/>
          <w:lang w:val="en-US" w:eastAsia="zh-CN"/>
        </w:rPr>
        <w:t>9.1社会效益</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_Toc27350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51</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_Toc23385 </w:instrText>
      </w:r>
      <w:r>
        <w:rPr>
          <w:rFonts w:hint="default" w:ascii="Times New Roman" w:hAnsi="Times New Roman" w:eastAsia="仿宋" w:cs="Times New Roman"/>
          <w:b w:val="0"/>
          <w:bCs w:val="0"/>
          <w:color w:val="auto"/>
          <w:kern w:val="0"/>
          <w:sz w:val="24"/>
          <w:szCs w:val="24"/>
          <w:highlight w:val="none"/>
        </w:rPr>
        <w:fldChar w:fldCharType="separate"/>
      </w:r>
      <w:r>
        <w:rPr>
          <w:rFonts w:hint="eastAsia" w:ascii="Times New Roman" w:hAnsi="Times New Roman" w:eastAsia="仿宋" w:cs="Times New Roman"/>
          <w:b w:val="0"/>
          <w:bCs w:val="0"/>
          <w:color w:val="auto"/>
          <w:kern w:val="0"/>
          <w:sz w:val="24"/>
          <w:szCs w:val="24"/>
          <w:highlight w:val="none"/>
          <w:lang w:val="en-US" w:eastAsia="zh-CN"/>
        </w:rPr>
        <w:t>9.2生态效益</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_Toc23385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51</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16"/>
        <w:keepNext w:val="0"/>
        <w:keepLines w:val="0"/>
        <w:pageBreakBefore w:val="0"/>
        <w:widowControl/>
        <w:tabs>
          <w:tab w:val="right" w:leader="dot" w:pos="8312"/>
          <w:tab w:val="clear" w:pos="8296"/>
        </w:tabs>
        <w:kinsoku/>
        <w:wordWrap/>
        <w:overflowPunct/>
        <w:topLinePunct w:val="0"/>
        <w:autoSpaceDE/>
        <w:autoSpaceDN/>
        <w:bidi w:val="0"/>
        <w:adjustRightInd/>
        <w:snapToGrid/>
        <w:spacing w:after="0" w:line="460" w:lineRule="exact"/>
        <w:ind w:left="0"/>
        <w:textAlignment w:val="auto"/>
        <w:rPr>
          <w:rFonts w:hint="default" w:ascii="Times New Roman" w:hAnsi="Times New Roman" w:eastAsia="仿宋" w:cs="Times New Roman"/>
          <w:b/>
          <w:bCs/>
          <w:color w:val="auto"/>
          <w:kern w:val="0"/>
          <w:sz w:val="24"/>
          <w:szCs w:val="24"/>
          <w:highlight w:val="none"/>
        </w:rPr>
      </w:pPr>
      <w:r>
        <w:rPr>
          <w:rFonts w:hint="default" w:ascii="Times New Roman" w:hAnsi="Times New Roman" w:eastAsia="仿宋" w:cs="Times New Roman"/>
          <w:b/>
          <w:bCs/>
          <w:color w:val="auto"/>
          <w:kern w:val="0"/>
          <w:sz w:val="24"/>
          <w:szCs w:val="24"/>
          <w:highlight w:val="none"/>
        </w:rPr>
        <w:fldChar w:fldCharType="begin"/>
      </w:r>
      <w:r>
        <w:rPr>
          <w:rFonts w:hint="default" w:ascii="Times New Roman" w:hAnsi="Times New Roman" w:eastAsia="仿宋" w:cs="Times New Roman"/>
          <w:b/>
          <w:bCs/>
          <w:color w:val="auto"/>
          <w:kern w:val="0"/>
          <w:sz w:val="24"/>
          <w:szCs w:val="24"/>
          <w:highlight w:val="none"/>
        </w:rPr>
        <w:instrText xml:space="preserve"> HYPERLINK \l _Toc7173 </w:instrText>
      </w:r>
      <w:r>
        <w:rPr>
          <w:rFonts w:hint="default" w:ascii="Times New Roman" w:hAnsi="Times New Roman" w:eastAsia="仿宋" w:cs="Times New Roman"/>
          <w:b/>
          <w:bCs/>
          <w:color w:val="auto"/>
          <w:kern w:val="0"/>
          <w:sz w:val="24"/>
          <w:szCs w:val="24"/>
          <w:highlight w:val="none"/>
        </w:rPr>
        <w:fldChar w:fldCharType="separate"/>
      </w:r>
      <w:r>
        <w:rPr>
          <w:rFonts w:hint="eastAsia" w:ascii="Times New Roman" w:hAnsi="Times New Roman" w:eastAsia="仿宋" w:cs="Times New Roman"/>
          <w:b/>
          <w:bCs/>
          <w:color w:val="auto"/>
          <w:kern w:val="0"/>
          <w:sz w:val="24"/>
          <w:szCs w:val="24"/>
          <w:highlight w:val="none"/>
          <w:lang w:val="en-US" w:eastAsia="zh-CN"/>
        </w:rPr>
        <w:t>10保障措施</w:t>
      </w:r>
      <w:r>
        <w:rPr>
          <w:rFonts w:hint="default" w:ascii="Times New Roman" w:hAnsi="Times New Roman" w:eastAsia="仿宋" w:cs="Times New Roman"/>
          <w:b/>
          <w:bCs/>
          <w:color w:val="auto"/>
          <w:kern w:val="0"/>
          <w:sz w:val="24"/>
          <w:szCs w:val="24"/>
          <w:highlight w:val="none"/>
        </w:rPr>
        <w:tab/>
      </w:r>
      <w:r>
        <w:rPr>
          <w:rFonts w:hint="default" w:ascii="Times New Roman" w:hAnsi="Times New Roman" w:eastAsia="仿宋" w:cs="Times New Roman"/>
          <w:b/>
          <w:bCs/>
          <w:color w:val="auto"/>
          <w:kern w:val="0"/>
          <w:sz w:val="24"/>
          <w:szCs w:val="24"/>
          <w:highlight w:val="none"/>
        </w:rPr>
        <w:fldChar w:fldCharType="begin"/>
      </w:r>
      <w:r>
        <w:rPr>
          <w:rFonts w:hint="default" w:ascii="Times New Roman" w:hAnsi="Times New Roman" w:eastAsia="仿宋" w:cs="Times New Roman"/>
          <w:b/>
          <w:bCs/>
          <w:color w:val="auto"/>
          <w:kern w:val="0"/>
          <w:sz w:val="24"/>
          <w:szCs w:val="24"/>
          <w:highlight w:val="none"/>
        </w:rPr>
        <w:instrText xml:space="preserve"> PAGEREF _Toc7173 \h </w:instrText>
      </w:r>
      <w:r>
        <w:rPr>
          <w:rFonts w:hint="default" w:ascii="Times New Roman" w:hAnsi="Times New Roman" w:eastAsia="仿宋" w:cs="Times New Roman"/>
          <w:b/>
          <w:bCs/>
          <w:color w:val="auto"/>
          <w:kern w:val="0"/>
          <w:sz w:val="24"/>
          <w:szCs w:val="24"/>
          <w:highlight w:val="none"/>
        </w:rPr>
        <w:fldChar w:fldCharType="separate"/>
      </w:r>
      <w:r>
        <w:rPr>
          <w:rFonts w:hint="default" w:ascii="Times New Roman" w:hAnsi="Times New Roman" w:eastAsia="仿宋" w:cs="Times New Roman"/>
          <w:b/>
          <w:bCs/>
          <w:color w:val="auto"/>
          <w:kern w:val="0"/>
          <w:sz w:val="24"/>
          <w:szCs w:val="24"/>
          <w:highlight w:val="none"/>
        </w:rPr>
        <w:t>52</w:t>
      </w:r>
      <w:r>
        <w:rPr>
          <w:rFonts w:hint="default" w:ascii="Times New Roman" w:hAnsi="Times New Roman" w:eastAsia="仿宋" w:cs="Times New Roman"/>
          <w:b/>
          <w:bCs/>
          <w:color w:val="auto"/>
          <w:kern w:val="0"/>
          <w:sz w:val="24"/>
          <w:szCs w:val="24"/>
          <w:highlight w:val="none"/>
        </w:rPr>
        <w:fldChar w:fldCharType="end"/>
      </w:r>
      <w:r>
        <w:rPr>
          <w:rFonts w:hint="default" w:ascii="Times New Roman" w:hAnsi="Times New Roman" w:eastAsia="仿宋" w:cs="Times New Roman"/>
          <w:b/>
          <w:bCs/>
          <w:color w:val="auto"/>
          <w:kern w:val="0"/>
          <w:sz w:val="24"/>
          <w:szCs w:val="24"/>
          <w:highlight w:val="none"/>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rPr>
          <w:rFonts w:hint="default" w:ascii="Times New Roman" w:hAnsi="Times New Roman" w:eastAsia="仿宋" w:cs="Times New Roman"/>
          <w:b w:val="0"/>
          <w:bCs w:val="0"/>
          <w:color w:val="auto"/>
          <w:kern w:val="0"/>
          <w:sz w:val="24"/>
          <w:szCs w:val="24"/>
          <w:highlight w:val="none"/>
        </w:rPr>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_Toc789 </w:instrText>
      </w:r>
      <w:r>
        <w:rPr>
          <w:rFonts w:hint="default" w:ascii="Times New Roman" w:hAnsi="Times New Roman" w:eastAsia="仿宋" w:cs="Times New Roman"/>
          <w:b w:val="0"/>
          <w:bCs w:val="0"/>
          <w:color w:val="auto"/>
          <w:kern w:val="0"/>
          <w:sz w:val="24"/>
          <w:szCs w:val="24"/>
          <w:highlight w:val="none"/>
        </w:rPr>
        <w:fldChar w:fldCharType="separate"/>
      </w:r>
      <w:r>
        <w:rPr>
          <w:rFonts w:hint="eastAsia" w:ascii="Times New Roman" w:hAnsi="Times New Roman" w:eastAsia="仿宋" w:cs="Times New Roman"/>
          <w:b w:val="0"/>
          <w:bCs w:val="0"/>
          <w:color w:val="auto"/>
          <w:kern w:val="0"/>
          <w:sz w:val="24"/>
          <w:szCs w:val="24"/>
          <w:highlight w:val="none"/>
          <w:lang w:val="en-US" w:eastAsia="zh-CN"/>
        </w:rPr>
        <w:t>10.1组织保障措施</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_Toc789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52</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rPr>
          <w:rFonts w:hint="default" w:ascii="Times New Roman" w:hAnsi="Times New Roman" w:eastAsia="仿宋" w:cs="Times New Roman"/>
          <w:b w:val="0"/>
          <w:bCs w:val="0"/>
          <w:color w:val="auto"/>
          <w:kern w:val="0"/>
          <w:sz w:val="24"/>
          <w:szCs w:val="24"/>
          <w:highlight w:val="none"/>
        </w:rPr>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_Toc8928 </w:instrText>
      </w:r>
      <w:r>
        <w:rPr>
          <w:rFonts w:hint="default" w:ascii="Times New Roman" w:hAnsi="Times New Roman" w:eastAsia="仿宋" w:cs="Times New Roman"/>
          <w:b w:val="0"/>
          <w:bCs w:val="0"/>
          <w:color w:val="auto"/>
          <w:kern w:val="0"/>
          <w:sz w:val="24"/>
          <w:szCs w:val="24"/>
          <w:highlight w:val="none"/>
        </w:rPr>
        <w:fldChar w:fldCharType="separate"/>
      </w:r>
      <w:r>
        <w:rPr>
          <w:rFonts w:hint="eastAsia" w:ascii="Times New Roman" w:hAnsi="Times New Roman" w:eastAsia="仿宋" w:cs="Times New Roman"/>
          <w:b w:val="0"/>
          <w:bCs w:val="0"/>
          <w:color w:val="auto"/>
          <w:kern w:val="0"/>
          <w:sz w:val="24"/>
          <w:szCs w:val="24"/>
          <w:highlight w:val="none"/>
          <w:lang w:val="en-US" w:eastAsia="zh-CN"/>
        </w:rPr>
        <w:t>10.2费用保障措施</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_Toc8928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52</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rPr>
          <w:rFonts w:hint="default" w:ascii="Times New Roman" w:hAnsi="Times New Roman" w:eastAsia="仿宋" w:cs="Times New Roman"/>
          <w:b w:val="0"/>
          <w:bCs w:val="0"/>
          <w:color w:val="auto"/>
          <w:kern w:val="0"/>
          <w:sz w:val="24"/>
          <w:szCs w:val="24"/>
          <w:highlight w:val="none"/>
        </w:rPr>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_Toc25030 </w:instrText>
      </w:r>
      <w:r>
        <w:rPr>
          <w:rFonts w:hint="default" w:ascii="Times New Roman" w:hAnsi="Times New Roman" w:eastAsia="仿宋" w:cs="Times New Roman"/>
          <w:b w:val="0"/>
          <w:bCs w:val="0"/>
          <w:color w:val="auto"/>
          <w:kern w:val="0"/>
          <w:sz w:val="24"/>
          <w:szCs w:val="24"/>
          <w:highlight w:val="none"/>
        </w:rPr>
        <w:fldChar w:fldCharType="separate"/>
      </w:r>
      <w:r>
        <w:rPr>
          <w:rFonts w:hint="eastAsia" w:ascii="Times New Roman" w:hAnsi="Times New Roman" w:eastAsia="仿宋" w:cs="Times New Roman"/>
          <w:b w:val="0"/>
          <w:bCs w:val="0"/>
          <w:color w:val="auto"/>
          <w:kern w:val="0"/>
          <w:sz w:val="24"/>
          <w:szCs w:val="24"/>
          <w:highlight w:val="none"/>
          <w:lang w:val="en-US" w:eastAsia="zh-CN"/>
        </w:rPr>
        <w:t>10.3监管保障措施</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_Toc25030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54</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rPr>
          <w:rFonts w:hint="default" w:ascii="Times New Roman" w:hAnsi="Times New Roman" w:eastAsia="仿宋" w:cs="Times New Roman"/>
          <w:b w:val="0"/>
          <w:bCs w:val="0"/>
          <w:color w:val="auto"/>
          <w:kern w:val="0"/>
          <w:sz w:val="24"/>
          <w:szCs w:val="24"/>
          <w:highlight w:val="none"/>
        </w:rPr>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_Toc10181 </w:instrText>
      </w:r>
      <w:r>
        <w:rPr>
          <w:rFonts w:hint="default" w:ascii="Times New Roman" w:hAnsi="Times New Roman" w:eastAsia="仿宋" w:cs="Times New Roman"/>
          <w:b w:val="0"/>
          <w:bCs w:val="0"/>
          <w:color w:val="auto"/>
          <w:kern w:val="0"/>
          <w:sz w:val="24"/>
          <w:szCs w:val="24"/>
          <w:highlight w:val="none"/>
        </w:rPr>
        <w:fldChar w:fldCharType="separate"/>
      </w:r>
      <w:r>
        <w:rPr>
          <w:rFonts w:hint="eastAsia" w:ascii="Times New Roman" w:hAnsi="Times New Roman" w:eastAsia="仿宋" w:cs="Times New Roman"/>
          <w:b w:val="0"/>
          <w:bCs w:val="0"/>
          <w:color w:val="auto"/>
          <w:kern w:val="0"/>
          <w:sz w:val="24"/>
          <w:szCs w:val="24"/>
          <w:highlight w:val="none"/>
          <w:lang w:val="en-US" w:eastAsia="zh-CN"/>
        </w:rPr>
        <w:t>10.4技术保障措施</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_Toc10181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56</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rPr>
          <w:rFonts w:hint="default" w:ascii="Times New Roman" w:hAnsi="Times New Roman" w:eastAsia="仿宋" w:cs="Times New Roman"/>
          <w:b w:val="0"/>
          <w:bCs w:val="0"/>
          <w:color w:val="auto"/>
          <w:kern w:val="0"/>
          <w:sz w:val="24"/>
          <w:szCs w:val="24"/>
          <w:highlight w:val="none"/>
        </w:rPr>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_Toc31545 </w:instrText>
      </w:r>
      <w:r>
        <w:rPr>
          <w:rFonts w:hint="default" w:ascii="Times New Roman" w:hAnsi="Times New Roman" w:eastAsia="仿宋" w:cs="Times New Roman"/>
          <w:b w:val="0"/>
          <w:bCs w:val="0"/>
          <w:color w:val="auto"/>
          <w:kern w:val="0"/>
          <w:sz w:val="24"/>
          <w:szCs w:val="24"/>
          <w:highlight w:val="none"/>
        </w:rPr>
        <w:fldChar w:fldCharType="separate"/>
      </w:r>
      <w:r>
        <w:rPr>
          <w:rFonts w:hint="eastAsia" w:ascii="Times New Roman" w:hAnsi="Times New Roman" w:eastAsia="仿宋" w:cs="Times New Roman"/>
          <w:b w:val="0"/>
          <w:bCs w:val="0"/>
          <w:color w:val="auto"/>
          <w:kern w:val="0"/>
          <w:sz w:val="24"/>
          <w:szCs w:val="24"/>
          <w:highlight w:val="none"/>
          <w:lang w:val="en-US" w:eastAsia="zh-CN"/>
        </w:rPr>
        <w:t>10.5公众参与</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_Toc31545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56</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rPr>
          <w:rFonts w:hint="default" w:ascii="Times New Roman" w:hAnsi="Times New Roman" w:eastAsia="仿宋" w:cs="Times New Roman"/>
          <w:b w:val="0"/>
          <w:bCs w:val="0"/>
          <w:color w:val="auto"/>
          <w:kern w:val="0"/>
          <w:sz w:val="24"/>
          <w:szCs w:val="24"/>
          <w:highlight w:val="none"/>
        </w:rPr>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_Toc29816 </w:instrText>
      </w:r>
      <w:r>
        <w:rPr>
          <w:rFonts w:hint="default" w:ascii="Times New Roman" w:hAnsi="Times New Roman" w:eastAsia="仿宋" w:cs="Times New Roman"/>
          <w:b w:val="0"/>
          <w:bCs w:val="0"/>
          <w:color w:val="auto"/>
          <w:kern w:val="0"/>
          <w:sz w:val="24"/>
          <w:szCs w:val="24"/>
          <w:highlight w:val="none"/>
        </w:rPr>
        <w:fldChar w:fldCharType="separate"/>
      </w:r>
      <w:r>
        <w:rPr>
          <w:rFonts w:hint="eastAsia" w:ascii="Times New Roman" w:hAnsi="Times New Roman" w:eastAsia="仿宋" w:cs="Times New Roman"/>
          <w:b w:val="0"/>
          <w:bCs w:val="0"/>
          <w:color w:val="auto"/>
          <w:kern w:val="0"/>
          <w:sz w:val="24"/>
          <w:szCs w:val="24"/>
          <w:highlight w:val="none"/>
          <w:lang w:val="en-US" w:eastAsia="zh-CN"/>
        </w:rPr>
        <w:t>10.6土地权属调整方案</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_Toc29816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58</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rPr>
          <w:rFonts w:hint="default" w:ascii="Times New Roman" w:hAnsi="Times New Roman" w:eastAsia="仿宋" w:cs="Times New Roman"/>
          <w:b w:val="0"/>
          <w:bCs w:val="0"/>
          <w:color w:val="auto"/>
          <w:kern w:val="0"/>
          <w:sz w:val="24"/>
          <w:szCs w:val="24"/>
          <w:highlight w:val="none"/>
        </w:rPr>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_Toc30358 </w:instrText>
      </w:r>
      <w:r>
        <w:rPr>
          <w:rFonts w:hint="default" w:ascii="Times New Roman" w:hAnsi="Times New Roman" w:eastAsia="仿宋" w:cs="Times New Roman"/>
          <w:b w:val="0"/>
          <w:bCs w:val="0"/>
          <w:color w:val="auto"/>
          <w:kern w:val="0"/>
          <w:sz w:val="24"/>
          <w:szCs w:val="24"/>
          <w:highlight w:val="none"/>
        </w:rPr>
        <w:fldChar w:fldCharType="separate"/>
      </w:r>
      <w:r>
        <w:rPr>
          <w:rFonts w:hint="eastAsia" w:ascii="Times New Roman" w:hAnsi="Times New Roman" w:eastAsia="仿宋" w:cs="Times New Roman"/>
          <w:b w:val="0"/>
          <w:bCs w:val="0"/>
          <w:color w:val="auto"/>
          <w:kern w:val="0"/>
          <w:sz w:val="24"/>
          <w:szCs w:val="24"/>
          <w:highlight w:val="none"/>
          <w:lang w:val="en-US" w:eastAsia="zh-CN"/>
        </w:rPr>
        <w:t>10.7结论与建议</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_Toc30358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58</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16"/>
        <w:keepNext w:val="0"/>
        <w:keepLines w:val="0"/>
        <w:pageBreakBefore w:val="0"/>
        <w:widowControl/>
        <w:tabs>
          <w:tab w:val="right" w:leader="dot" w:pos="8312"/>
          <w:tab w:val="clear" w:pos="8296"/>
        </w:tabs>
        <w:kinsoku/>
        <w:wordWrap/>
        <w:overflowPunct/>
        <w:topLinePunct w:val="0"/>
        <w:autoSpaceDE/>
        <w:autoSpaceDN/>
        <w:bidi w:val="0"/>
        <w:adjustRightInd/>
        <w:snapToGrid/>
        <w:spacing w:after="0" w:line="460" w:lineRule="exact"/>
        <w:ind w:left="0"/>
        <w:textAlignment w:val="auto"/>
        <w:rPr>
          <w:rFonts w:hint="default" w:ascii="Times New Roman" w:hAnsi="Times New Roman" w:eastAsia="仿宋" w:cs="Times New Roman"/>
          <w:b/>
          <w:bCs/>
          <w:color w:val="auto"/>
          <w:kern w:val="0"/>
          <w:sz w:val="24"/>
          <w:szCs w:val="24"/>
          <w:highlight w:val="none"/>
        </w:rPr>
      </w:pPr>
      <w:r>
        <w:rPr>
          <w:rFonts w:hint="default" w:ascii="Times New Roman" w:hAnsi="Times New Roman" w:eastAsia="仿宋" w:cs="Times New Roman"/>
          <w:b/>
          <w:bCs/>
          <w:color w:val="auto"/>
          <w:kern w:val="0"/>
          <w:sz w:val="24"/>
          <w:szCs w:val="24"/>
          <w:highlight w:val="none"/>
        </w:rPr>
        <w:fldChar w:fldCharType="begin"/>
      </w:r>
      <w:r>
        <w:rPr>
          <w:rFonts w:hint="default" w:ascii="Times New Roman" w:hAnsi="Times New Roman" w:eastAsia="仿宋" w:cs="Times New Roman"/>
          <w:b/>
          <w:bCs/>
          <w:color w:val="auto"/>
          <w:kern w:val="0"/>
          <w:sz w:val="24"/>
          <w:szCs w:val="24"/>
          <w:highlight w:val="none"/>
        </w:rPr>
        <w:instrText xml:space="preserve"> HYPERLINK \l _Toc18733 </w:instrText>
      </w:r>
      <w:r>
        <w:rPr>
          <w:rFonts w:hint="default" w:ascii="Times New Roman" w:hAnsi="Times New Roman" w:eastAsia="仿宋" w:cs="Times New Roman"/>
          <w:b/>
          <w:bCs/>
          <w:color w:val="auto"/>
          <w:kern w:val="0"/>
          <w:sz w:val="24"/>
          <w:szCs w:val="24"/>
          <w:highlight w:val="none"/>
        </w:rPr>
        <w:fldChar w:fldCharType="separate"/>
      </w:r>
      <w:r>
        <w:rPr>
          <w:rFonts w:hint="default" w:ascii="Times New Roman" w:hAnsi="Times New Roman" w:eastAsia="仿宋" w:cs="Times New Roman"/>
          <w:b/>
          <w:bCs/>
          <w:color w:val="auto"/>
          <w:kern w:val="0"/>
          <w:sz w:val="24"/>
          <w:szCs w:val="24"/>
          <w:highlight w:val="none"/>
          <w:lang w:eastAsia="zh-CN"/>
        </w:rPr>
        <w:t>土地复垦方案</w:t>
      </w:r>
      <w:r>
        <w:rPr>
          <w:rFonts w:hint="eastAsia" w:ascii="Times New Roman" w:hAnsi="Times New Roman" w:eastAsia="仿宋" w:cs="Times New Roman"/>
          <w:b/>
          <w:bCs/>
          <w:color w:val="auto"/>
          <w:kern w:val="0"/>
          <w:sz w:val="24"/>
          <w:szCs w:val="24"/>
          <w:highlight w:val="none"/>
          <w:lang w:eastAsia="zh-CN"/>
        </w:rPr>
        <w:t>报告</w:t>
      </w:r>
      <w:r>
        <w:rPr>
          <w:rFonts w:hint="eastAsia" w:ascii="Times New Roman" w:hAnsi="Times New Roman" w:eastAsia="仿宋" w:cs="Times New Roman"/>
          <w:b/>
          <w:bCs/>
          <w:color w:val="auto"/>
          <w:kern w:val="0"/>
          <w:sz w:val="24"/>
          <w:szCs w:val="24"/>
          <w:highlight w:val="none"/>
          <w:lang w:val="en-US" w:eastAsia="zh-CN"/>
        </w:rPr>
        <w:t>表</w:t>
      </w:r>
      <w:r>
        <w:rPr>
          <w:rFonts w:hint="default" w:ascii="Times New Roman" w:hAnsi="Times New Roman" w:eastAsia="仿宋" w:cs="Times New Roman"/>
          <w:b/>
          <w:bCs/>
          <w:color w:val="auto"/>
          <w:kern w:val="0"/>
          <w:sz w:val="24"/>
          <w:szCs w:val="24"/>
          <w:highlight w:val="none"/>
        </w:rPr>
        <w:tab/>
      </w:r>
      <w:r>
        <w:rPr>
          <w:rFonts w:hint="default" w:ascii="Times New Roman" w:hAnsi="Times New Roman" w:eastAsia="仿宋" w:cs="Times New Roman"/>
          <w:b/>
          <w:bCs/>
          <w:color w:val="auto"/>
          <w:kern w:val="0"/>
          <w:sz w:val="24"/>
          <w:szCs w:val="24"/>
          <w:highlight w:val="none"/>
        </w:rPr>
        <w:fldChar w:fldCharType="begin"/>
      </w:r>
      <w:r>
        <w:rPr>
          <w:rFonts w:hint="default" w:ascii="Times New Roman" w:hAnsi="Times New Roman" w:eastAsia="仿宋" w:cs="Times New Roman"/>
          <w:b/>
          <w:bCs/>
          <w:color w:val="auto"/>
          <w:kern w:val="0"/>
          <w:sz w:val="24"/>
          <w:szCs w:val="24"/>
          <w:highlight w:val="none"/>
        </w:rPr>
        <w:instrText xml:space="preserve"> PAGEREF _Toc18733 \h </w:instrText>
      </w:r>
      <w:r>
        <w:rPr>
          <w:rFonts w:hint="default" w:ascii="Times New Roman" w:hAnsi="Times New Roman" w:eastAsia="仿宋" w:cs="Times New Roman"/>
          <w:b/>
          <w:bCs/>
          <w:color w:val="auto"/>
          <w:kern w:val="0"/>
          <w:sz w:val="24"/>
          <w:szCs w:val="24"/>
          <w:highlight w:val="none"/>
        </w:rPr>
        <w:fldChar w:fldCharType="separate"/>
      </w:r>
      <w:r>
        <w:rPr>
          <w:rFonts w:hint="default" w:ascii="Times New Roman" w:hAnsi="Times New Roman" w:eastAsia="仿宋" w:cs="Times New Roman"/>
          <w:b/>
          <w:bCs/>
          <w:color w:val="auto"/>
          <w:kern w:val="0"/>
          <w:sz w:val="24"/>
          <w:szCs w:val="24"/>
          <w:highlight w:val="none"/>
        </w:rPr>
        <w:t>60</w:t>
      </w:r>
      <w:r>
        <w:rPr>
          <w:rFonts w:hint="default" w:ascii="Times New Roman" w:hAnsi="Times New Roman" w:eastAsia="仿宋" w:cs="Times New Roman"/>
          <w:b/>
          <w:bCs/>
          <w:color w:val="auto"/>
          <w:kern w:val="0"/>
          <w:sz w:val="24"/>
          <w:szCs w:val="24"/>
          <w:highlight w:val="none"/>
        </w:rPr>
        <w:fldChar w:fldCharType="end"/>
      </w:r>
      <w:r>
        <w:rPr>
          <w:rFonts w:hint="default" w:ascii="Times New Roman" w:hAnsi="Times New Roman" w:eastAsia="仿宋" w:cs="Times New Roman"/>
          <w:b/>
          <w:bCs/>
          <w:color w:val="auto"/>
          <w:kern w:val="0"/>
          <w:sz w:val="24"/>
          <w:szCs w:val="24"/>
          <w:highlight w:val="none"/>
        </w:rPr>
        <w:fldChar w:fldCharType="end"/>
      </w:r>
    </w:p>
    <w:p>
      <w:pPr>
        <w:pStyle w:val="16"/>
        <w:keepNext w:val="0"/>
        <w:keepLines w:val="0"/>
        <w:pageBreakBefore w:val="0"/>
        <w:widowControl/>
        <w:tabs>
          <w:tab w:val="right" w:leader="dot" w:pos="8312"/>
          <w:tab w:val="clear" w:pos="8296"/>
        </w:tabs>
        <w:kinsoku/>
        <w:wordWrap/>
        <w:overflowPunct/>
        <w:topLinePunct w:val="0"/>
        <w:autoSpaceDE/>
        <w:autoSpaceDN/>
        <w:bidi w:val="0"/>
        <w:adjustRightInd/>
        <w:snapToGrid/>
        <w:spacing w:after="0" w:line="460" w:lineRule="exact"/>
        <w:ind w:left="0"/>
        <w:textAlignment w:val="auto"/>
        <w:rPr>
          <w:rFonts w:hint="default" w:ascii="Times New Roman" w:hAnsi="Times New Roman" w:eastAsia="仿宋" w:cs="Times New Roman"/>
          <w:b/>
          <w:bCs/>
          <w:color w:val="auto"/>
          <w:kern w:val="0"/>
          <w:sz w:val="24"/>
          <w:szCs w:val="24"/>
          <w:highlight w:val="none"/>
        </w:rPr>
      </w:pPr>
      <w:r>
        <w:rPr>
          <w:rFonts w:hint="default" w:ascii="Times New Roman" w:hAnsi="Times New Roman" w:eastAsia="仿宋" w:cs="Times New Roman"/>
          <w:b/>
          <w:bCs/>
          <w:color w:val="auto"/>
          <w:kern w:val="0"/>
          <w:sz w:val="24"/>
          <w:szCs w:val="24"/>
          <w:highlight w:val="none"/>
        </w:rPr>
        <w:fldChar w:fldCharType="begin"/>
      </w:r>
      <w:r>
        <w:rPr>
          <w:rFonts w:hint="default" w:ascii="Times New Roman" w:hAnsi="Times New Roman" w:eastAsia="仿宋" w:cs="Times New Roman"/>
          <w:b/>
          <w:bCs/>
          <w:color w:val="auto"/>
          <w:kern w:val="0"/>
          <w:sz w:val="24"/>
          <w:szCs w:val="24"/>
          <w:highlight w:val="none"/>
        </w:rPr>
        <w:instrText xml:space="preserve"> HYPERLINK \l _Toc2372 </w:instrText>
      </w:r>
      <w:r>
        <w:rPr>
          <w:rFonts w:hint="default" w:ascii="Times New Roman" w:hAnsi="Times New Roman" w:eastAsia="仿宋" w:cs="Times New Roman"/>
          <w:b/>
          <w:bCs/>
          <w:color w:val="auto"/>
          <w:kern w:val="0"/>
          <w:sz w:val="24"/>
          <w:szCs w:val="24"/>
          <w:highlight w:val="none"/>
        </w:rPr>
        <w:fldChar w:fldCharType="separate"/>
      </w:r>
      <w:r>
        <w:rPr>
          <w:rFonts w:hint="default" w:ascii="Times New Roman" w:hAnsi="Times New Roman" w:eastAsia="仿宋" w:cs="Times New Roman"/>
          <w:b/>
          <w:bCs/>
          <w:color w:val="auto"/>
          <w:kern w:val="0"/>
          <w:sz w:val="24"/>
          <w:szCs w:val="24"/>
          <w:highlight w:val="none"/>
          <w:lang w:val="en-US" w:eastAsia="zh-CN"/>
        </w:rPr>
        <w:t>附件</w:t>
      </w:r>
      <w:r>
        <w:rPr>
          <w:rFonts w:hint="default" w:ascii="Times New Roman" w:hAnsi="Times New Roman" w:eastAsia="仿宋" w:cs="Times New Roman"/>
          <w:b/>
          <w:bCs/>
          <w:color w:val="auto"/>
          <w:kern w:val="0"/>
          <w:sz w:val="24"/>
          <w:szCs w:val="24"/>
          <w:highlight w:val="none"/>
        </w:rPr>
        <w:tab/>
      </w:r>
      <w:r>
        <w:rPr>
          <w:rFonts w:hint="default" w:ascii="Times New Roman" w:hAnsi="Times New Roman" w:eastAsia="仿宋" w:cs="Times New Roman"/>
          <w:b/>
          <w:bCs/>
          <w:color w:val="auto"/>
          <w:kern w:val="0"/>
          <w:sz w:val="24"/>
          <w:szCs w:val="24"/>
          <w:highlight w:val="none"/>
        </w:rPr>
        <w:fldChar w:fldCharType="begin"/>
      </w:r>
      <w:r>
        <w:rPr>
          <w:rFonts w:hint="default" w:ascii="Times New Roman" w:hAnsi="Times New Roman" w:eastAsia="仿宋" w:cs="Times New Roman"/>
          <w:b/>
          <w:bCs/>
          <w:color w:val="auto"/>
          <w:kern w:val="0"/>
          <w:sz w:val="24"/>
          <w:szCs w:val="24"/>
          <w:highlight w:val="none"/>
        </w:rPr>
        <w:instrText xml:space="preserve"> PAGEREF _Toc2372 \h </w:instrText>
      </w:r>
      <w:r>
        <w:rPr>
          <w:rFonts w:hint="default" w:ascii="Times New Roman" w:hAnsi="Times New Roman" w:eastAsia="仿宋" w:cs="Times New Roman"/>
          <w:b/>
          <w:bCs/>
          <w:color w:val="auto"/>
          <w:kern w:val="0"/>
          <w:sz w:val="24"/>
          <w:szCs w:val="24"/>
          <w:highlight w:val="none"/>
        </w:rPr>
        <w:fldChar w:fldCharType="separate"/>
      </w:r>
      <w:r>
        <w:rPr>
          <w:rFonts w:hint="default" w:ascii="Times New Roman" w:hAnsi="Times New Roman" w:eastAsia="仿宋" w:cs="Times New Roman"/>
          <w:b/>
          <w:bCs/>
          <w:color w:val="auto"/>
          <w:kern w:val="0"/>
          <w:sz w:val="24"/>
          <w:szCs w:val="24"/>
          <w:highlight w:val="none"/>
        </w:rPr>
        <w:t>64</w:t>
      </w:r>
      <w:r>
        <w:rPr>
          <w:rFonts w:hint="default" w:ascii="Times New Roman" w:hAnsi="Times New Roman" w:eastAsia="仿宋" w:cs="Times New Roman"/>
          <w:b/>
          <w:bCs/>
          <w:color w:val="auto"/>
          <w:kern w:val="0"/>
          <w:sz w:val="24"/>
          <w:szCs w:val="24"/>
          <w:highlight w:val="none"/>
        </w:rPr>
        <w:fldChar w:fldCharType="end"/>
      </w:r>
      <w:r>
        <w:rPr>
          <w:rFonts w:hint="default" w:ascii="Times New Roman" w:hAnsi="Times New Roman" w:eastAsia="仿宋" w:cs="Times New Roman"/>
          <w:b/>
          <w:bCs/>
          <w:color w:val="auto"/>
          <w:kern w:val="0"/>
          <w:sz w:val="24"/>
          <w:szCs w:val="24"/>
          <w:highlight w:val="none"/>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rPr>
          <w:rFonts w:hint="default" w:ascii="Times New Roman" w:hAnsi="Times New Roman" w:eastAsia="仿宋" w:cs="Times New Roman"/>
          <w:b w:val="0"/>
          <w:bCs w:val="0"/>
          <w:color w:val="auto"/>
          <w:kern w:val="0"/>
          <w:sz w:val="24"/>
          <w:szCs w:val="24"/>
          <w:highlight w:val="none"/>
        </w:rPr>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_Toc6488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lang w:val="en-US" w:eastAsia="zh-CN"/>
        </w:rPr>
        <w:t>附件</w:t>
      </w:r>
      <w:r>
        <w:rPr>
          <w:rFonts w:hint="eastAsia" w:ascii="Times New Roman" w:hAnsi="Times New Roman" w:eastAsia="仿宋" w:cs="Times New Roman"/>
          <w:b w:val="0"/>
          <w:bCs w:val="0"/>
          <w:color w:val="auto"/>
          <w:kern w:val="0"/>
          <w:sz w:val="24"/>
          <w:szCs w:val="24"/>
          <w:highlight w:val="none"/>
          <w:lang w:val="en-US" w:eastAsia="zh-CN"/>
        </w:rPr>
        <w:t>1</w:t>
      </w:r>
      <w:r>
        <w:rPr>
          <w:rFonts w:hint="default" w:ascii="Times New Roman" w:hAnsi="Times New Roman" w:eastAsia="仿宋" w:cs="Times New Roman"/>
          <w:b w:val="0"/>
          <w:bCs w:val="0"/>
          <w:color w:val="auto"/>
          <w:kern w:val="0"/>
          <w:sz w:val="24"/>
          <w:szCs w:val="24"/>
          <w:highlight w:val="none"/>
          <w:lang w:val="en-US" w:eastAsia="zh-CN"/>
        </w:rPr>
        <w:t>复垦方案编制单位资质证书或业绩证明</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_Toc6488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64</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rPr>
          <w:rFonts w:hint="default" w:ascii="Times New Roman" w:hAnsi="Times New Roman" w:eastAsia="仿宋" w:cs="Times New Roman"/>
          <w:b w:val="0"/>
          <w:bCs w:val="0"/>
          <w:color w:val="auto"/>
          <w:kern w:val="0"/>
          <w:sz w:val="24"/>
          <w:szCs w:val="24"/>
          <w:highlight w:val="none"/>
        </w:rPr>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_Toc20547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lang w:val="en-US" w:eastAsia="zh-CN"/>
        </w:rPr>
        <w:t>附件</w:t>
      </w:r>
      <w:r>
        <w:rPr>
          <w:rFonts w:hint="eastAsia" w:ascii="Times New Roman" w:hAnsi="Times New Roman" w:eastAsia="仿宋" w:cs="Times New Roman"/>
          <w:b w:val="0"/>
          <w:bCs w:val="0"/>
          <w:color w:val="auto"/>
          <w:kern w:val="0"/>
          <w:sz w:val="24"/>
          <w:szCs w:val="24"/>
          <w:highlight w:val="none"/>
          <w:lang w:val="en-US" w:eastAsia="zh-CN"/>
        </w:rPr>
        <w:t>2县级自然资源局初审意见</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_Toc20547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65</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rPr>
          <w:rFonts w:hint="default" w:ascii="Times New Roman" w:hAnsi="Times New Roman" w:eastAsia="仿宋" w:cs="Times New Roman"/>
          <w:b w:val="0"/>
          <w:bCs w:val="0"/>
          <w:color w:val="auto"/>
          <w:kern w:val="0"/>
          <w:sz w:val="24"/>
          <w:szCs w:val="24"/>
          <w:highlight w:val="none"/>
        </w:rPr>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_Toc11645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lang w:val="en-US" w:eastAsia="zh-CN"/>
        </w:rPr>
        <w:t>附件</w:t>
      </w:r>
      <w:r>
        <w:rPr>
          <w:rFonts w:hint="eastAsia" w:ascii="Times New Roman" w:hAnsi="Times New Roman" w:eastAsia="仿宋" w:cs="Times New Roman"/>
          <w:b w:val="0"/>
          <w:bCs w:val="0"/>
          <w:color w:val="auto"/>
          <w:kern w:val="0"/>
          <w:sz w:val="24"/>
          <w:szCs w:val="24"/>
          <w:highlight w:val="none"/>
          <w:lang w:val="en-US" w:eastAsia="zh-CN"/>
        </w:rPr>
        <w:t>3</w:t>
      </w:r>
      <w:r>
        <w:rPr>
          <w:rFonts w:hint="default" w:ascii="Times New Roman" w:hAnsi="Times New Roman" w:eastAsia="仿宋" w:cs="Times New Roman"/>
          <w:b w:val="0"/>
          <w:bCs w:val="0"/>
          <w:color w:val="auto"/>
          <w:kern w:val="0"/>
          <w:sz w:val="24"/>
          <w:szCs w:val="24"/>
          <w:highlight w:val="none"/>
          <w:lang w:val="en-US" w:eastAsia="zh-CN"/>
        </w:rPr>
        <w:t xml:space="preserve"> 复垦义务人的审核意见</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_Toc11645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67</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rPr>
          <w:rFonts w:hint="default" w:ascii="Times New Roman" w:hAnsi="Times New Roman" w:eastAsia="仿宋" w:cs="Times New Roman"/>
          <w:b w:val="0"/>
          <w:bCs w:val="0"/>
          <w:color w:val="auto"/>
          <w:kern w:val="0"/>
          <w:sz w:val="24"/>
          <w:szCs w:val="24"/>
          <w:highlight w:val="none"/>
        </w:rPr>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_Toc10640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lang w:val="en-US" w:eastAsia="zh-CN"/>
        </w:rPr>
        <w:t>附件</w:t>
      </w:r>
      <w:r>
        <w:rPr>
          <w:rFonts w:hint="eastAsia" w:ascii="Times New Roman" w:hAnsi="Times New Roman" w:eastAsia="仿宋" w:cs="Times New Roman"/>
          <w:b w:val="0"/>
          <w:bCs w:val="0"/>
          <w:color w:val="auto"/>
          <w:kern w:val="0"/>
          <w:sz w:val="24"/>
          <w:szCs w:val="24"/>
          <w:highlight w:val="none"/>
          <w:lang w:val="en-US" w:eastAsia="zh-CN"/>
        </w:rPr>
        <w:t>4</w:t>
      </w:r>
      <w:r>
        <w:rPr>
          <w:rFonts w:hint="default" w:ascii="Times New Roman" w:hAnsi="Times New Roman" w:eastAsia="仿宋" w:cs="Times New Roman"/>
          <w:b w:val="0"/>
          <w:bCs w:val="0"/>
          <w:color w:val="auto"/>
          <w:kern w:val="0"/>
          <w:sz w:val="24"/>
          <w:szCs w:val="24"/>
          <w:highlight w:val="none"/>
          <w:lang w:val="en-US" w:eastAsia="zh-CN"/>
        </w:rPr>
        <w:t xml:space="preserve"> 复垦义务人的复垦承诺书</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_Toc10640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68</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rPr>
          <w:rFonts w:hint="default" w:ascii="Times New Roman" w:hAnsi="Times New Roman" w:eastAsia="仿宋" w:cs="Times New Roman"/>
          <w:b w:val="0"/>
          <w:bCs w:val="0"/>
          <w:color w:val="auto"/>
          <w:kern w:val="0"/>
          <w:sz w:val="24"/>
          <w:szCs w:val="24"/>
          <w:highlight w:val="none"/>
        </w:rPr>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_Toc27910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lang w:val="en-US" w:eastAsia="zh-CN"/>
        </w:rPr>
        <w:t>附件</w:t>
      </w:r>
      <w:r>
        <w:rPr>
          <w:rFonts w:hint="eastAsia" w:ascii="Times New Roman" w:hAnsi="Times New Roman" w:eastAsia="仿宋" w:cs="Times New Roman"/>
          <w:b w:val="0"/>
          <w:bCs w:val="0"/>
          <w:color w:val="auto"/>
          <w:kern w:val="0"/>
          <w:sz w:val="24"/>
          <w:szCs w:val="24"/>
          <w:highlight w:val="none"/>
          <w:lang w:val="en-US" w:eastAsia="zh-CN"/>
        </w:rPr>
        <w:t>5</w:t>
      </w:r>
      <w:r>
        <w:rPr>
          <w:rFonts w:hint="default" w:ascii="Times New Roman" w:hAnsi="Times New Roman" w:eastAsia="仿宋" w:cs="Times New Roman"/>
          <w:b w:val="0"/>
          <w:bCs w:val="0"/>
          <w:color w:val="auto"/>
          <w:kern w:val="0"/>
          <w:sz w:val="24"/>
          <w:szCs w:val="24"/>
          <w:highlight w:val="none"/>
          <w:lang w:val="en-US" w:eastAsia="zh-CN"/>
        </w:rPr>
        <w:t xml:space="preserve"> 复垦方案编制委托函</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_Toc27910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69</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rPr>
          <w:rFonts w:hint="default" w:ascii="Times New Roman" w:hAnsi="Times New Roman" w:eastAsia="仿宋" w:cs="Times New Roman"/>
          <w:b w:val="0"/>
          <w:bCs w:val="0"/>
          <w:color w:val="auto"/>
          <w:kern w:val="0"/>
          <w:sz w:val="24"/>
          <w:szCs w:val="24"/>
          <w:highlight w:val="none"/>
        </w:rPr>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_Toc25283 </w:instrText>
      </w:r>
      <w:r>
        <w:rPr>
          <w:rFonts w:hint="default" w:ascii="Times New Roman" w:hAnsi="Times New Roman" w:eastAsia="仿宋" w:cs="Times New Roman"/>
          <w:b w:val="0"/>
          <w:bCs w:val="0"/>
          <w:color w:val="auto"/>
          <w:kern w:val="0"/>
          <w:sz w:val="24"/>
          <w:szCs w:val="24"/>
          <w:highlight w:val="none"/>
        </w:rPr>
        <w:fldChar w:fldCharType="separate"/>
      </w:r>
      <w:r>
        <w:rPr>
          <w:rFonts w:hint="eastAsia" w:ascii="Times New Roman" w:hAnsi="Times New Roman" w:eastAsia="仿宋" w:cs="Times New Roman"/>
          <w:b w:val="0"/>
          <w:bCs w:val="0"/>
          <w:color w:val="auto"/>
          <w:kern w:val="0"/>
          <w:sz w:val="24"/>
          <w:szCs w:val="24"/>
          <w:highlight w:val="none"/>
          <w:lang w:val="en-US" w:eastAsia="zh-CN"/>
        </w:rPr>
        <w:t xml:space="preserve">附件6 </w:t>
      </w:r>
      <w:r>
        <w:rPr>
          <w:rFonts w:hint="default" w:ascii="Times New Roman" w:hAnsi="Times New Roman" w:eastAsia="仿宋" w:cs="Times New Roman"/>
          <w:b w:val="0"/>
          <w:bCs w:val="0"/>
          <w:color w:val="auto"/>
          <w:kern w:val="0"/>
          <w:sz w:val="24"/>
          <w:szCs w:val="24"/>
          <w:highlight w:val="none"/>
          <w:lang w:val="en-US" w:eastAsia="zh-CN"/>
        </w:rPr>
        <w:t>项目建设依据文件</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_Toc25283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70</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rPr>
          <w:rFonts w:hint="default" w:ascii="Times New Roman" w:hAnsi="Times New Roman" w:eastAsia="仿宋" w:cs="Times New Roman"/>
          <w:b w:val="0"/>
          <w:bCs w:val="0"/>
          <w:color w:val="auto"/>
          <w:kern w:val="0"/>
          <w:sz w:val="24"/>
          <w:szCs w:val="24"/>
          <w:highlight w:val="none"/>
        </w:rPr>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_Toc19358 </w:instrText>
      </w:r>
      <w:r>
        <w:rPr>
          <w:rFonts w:hint="default" w:ascii="Times New Roman" w:hAnsi="Times New Roman" w:eastAsia="仿宋" w:cs="Times New Roman"/>
          <w:b w:val="0"/>
          <w:bCs w:val="0"/>
          <w:color w:val="auto"/>
          <w:kern w:val="0"/>
          <w:sz w:val="24"/>
          <w:szCs w:val="24"/>
          <w:highlight w:val="none"/>
        </w:rPr>
        <w:fldChar w:fldCharType="separate"/>
      </w:r>
      <w:r>
        <w:rPr>
          <w:rFonts w:hint="eastAsia" w:ascii="Times New Roman" w:hAnsi="Times New Roman" w:eastAsia="仿宋" w:cs="Times New Roman"/>
          <w:b w:val="0"/>
          <w:bCs w:val="0"/>
          <w:color w:val="auto"/>
          <w:kern w:val="0"/>
          <w:sz w:val="24"/>
          <w:szCs w:val="24"/>
          <w:highlight w:val="none"/>
          <w:lang w:val="en-US" w:eastAsia="zh-CN"/>
        </w:rPr>
        <w:t>附件7</w:t>
      </w:r>
      <w:r>
        <w:rPr>
          <w:rFonts w:hint="default" w:ascii="Times New Roman" w:hAnsi="Times New Roman" w:eastAsia="仿宋" w:cs="Times New Roman"/>
          <w:b w:val="0"/>
          <w:bCs w:val="0"/>
          <w:color w:val="auto"/>
          <w:kern w:val="0"/>
          <w:sz w:val="24"/>
          <w:szCs w:val="24"/>
          <w:highlight w:val="none"/>
          <w:lang w:val="en-US" w:eastAsia="zh-CN"/>
        </w:rPr>
        <w:t>公众意见调查表</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_Toc19358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72</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rPr>
          <w:rFonts w:hint="default" w:ascii="Times New Roman" w:hAnsi="Times New Roman" w:eastAsia="仿宋" w:cs="Times New Roman"/>
          <w:b w:val="0"/>
          <w:bCs w:val="0"/>
          <w:color w:val="auto"/>
          <w:kern w:val="0"/>
          <w:sz w:val="24"/>
          <w:szCs w:val="24"/>
          <w:highlight w:val="none"/>
        </w:rPr>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_Toc21388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lang w:val="en-US" w:eastAsia="zh-CN"/>
        </w:rPr>
        <w:t>附件</w:t>
      </w:r>
      <w:r>
        <w:rPr>
          <w:rFonts w:hint="eastAsia" w:ascii="Times New Roman" w:hAnsi="Times New Roman" w:eastAsia="仿宋" w:cs="Times New Roman"/>
          <w:b w:val="0"/>
          <w:bCs w:val="0"/>
          <w:color w:val="auto"/>
          <w:kern w:val="0"/>
          <w:sz w:val="24"/>
          <w:szCs w:val="24"/>
          <w:highlight w:val="none"/>
          <w:lang w:val="en-US" w:eastAsia="zh-CN"/>
        </w:rPr>
        <w:t>8</w:t>
      </w:r>
      <w:r>
        <w:rPr>
          <w:rFonts w:hint="default" w:ascii="Times New Roman" w:hAnsi="Times New Roman" w:eastAsia="仿宋" w:cs="Times New Roman"/>
          <w:b w:val="0"/>
          <w:bCs w:val="0"/>
          <w:color w:val="auto"/>
          <w:kern w:val="0"/>
          <w:sz w:val="24"/>
          <w:szCs w:val="24"/>
          <w:highlight w:val="none"/>
          <w:lang w:val="en-US" w:eastAsia="zh-CN"/>
        </w:rPr>
        <w:t xml:space="preserve"> 最新税金文件</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_Toc21388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77</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rPr>
          <w:rFonts w:hint="default" w:ascii="Times New Roman" w:hAnsi="Times New Roman" w:eastAsia="仿宋" w:cs="Times New Roman"/>
          <w:b w:val="0"/>
          <w:bCs w:val="0"/>
          <w:color w:val="auto"/>
          <w:kern w:val="0"/>
          <w:sz w:val="24"/>
          <w:szCs w:val="24"/>
          <w:highlight w:val="none"/>
        </w:rPr>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_Toc21044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lang w:val="en-US" w:eastAsia="zh-CN"/>
        </w:rPr>
        <w:t>附件</w:t>
      </w:r>
      <w:r>
        <w:rPr>
          <w:rFonts w:hint="eastAsia" w:ascii="Times New Roman" w:hAnsi="Times New Roman" w:eastAsia="仿宋" w:cs="Times New Roman"/>
          <w:b w:val="0"/>
          <w:bCs w:val="0"/>
          <w:color w:val="auto"/>
          <w:kern w:val="0"/>
          <w:sz w:val="24"/>
          <w:szCs w:val="24"/>
          <w:highlight w:val="none"/>
          <w:lang w:val="en-US" w:eastAsia="zh-CN"/>
        </w:rPr>
        <w:t>9</w:t>
      </w:r>
      <w:r>
        <w:rPr>
          <w:rFonts w:hint="default" w:ascii="Times New Roman" w:hAnsi="Times New Roman" w:eastAsia="仿宋" w:cs="Times New Roman"/>
          <w:b w:val="0"/>
          <w:bCs w:val="0"/>
          <w:color w:val="auto"/>
          <w:kern w:val="0"/>
          <w:sz w:val="24"/>
          <w:szCs w:val="24"/>
          <w:highlight w:val="none"/>
          <w:lang w:val="en-US" w:eastAsia="zh-CN"/>
        </w:rPr>
        <w:t xml:space="preserve"> 相关地区近期建设工程材料信息价格</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_Toc21044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80</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rPr>
          <w:rFonts w:hint="default" w:ascii="Times New Roman" w:hAnsi="Times New Roman" w:eastAsia="仿宋" w:cs="Times New Roman"/>
          <w:b w:val="0"/>
          <w:bCs w:val="0"/>
          <w:color w:val="auto"/>
          <w:kern w:val="0"/>
          <w:sz w:val="24"/>
          <w:szCs w:val="24"/>
          <w:highlight w:val="none"/>
        </w:rPr>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_Toc14609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lang w:val="en-US" w:eastAsia="zh-CN"/>
        </w:rPr>
        <w:t>附件</w:t>
      </w:r>
      <w:r>
        <w:rPr>
          <w:rFonts w:hint="eastAsia" w:ascii="Times New Roman" w:hAnsi="Times New Roman" w:eastAsia="仿宋" w:cs="Times New Roman"/>
          <w:b w:val="0"/>
          <w:bCs w:val="0"/>
          <w:color w:val="auto"/>
          <w:kern w:val="0"/>
          <w:sz w:val="24"/>
          <w:szCs w:val="24"/>
          <w:highlight w:val="none"/>
          <w:lang w:val="en-US" w:eastAsia="zh-CN"/>
        </w:rPr>
        <w:t>10</w:t>
      </w:r>
      <w:r>
        <w:rPr>
          <w:rFonts w:hint="default" w:ascii="Times New Roman" w:hAnsi="Times New Roman" w:eastAsia="仿宋" w:cs="Times New Roman"/>
          <w:b w:val="0"/>
          <w:bCs w:val="0"/>
          <w:color w:val="auto"/>
          <w:kern w:val="0"/>
          <w:sz w:val="24"/>
          <w:szCs w:val="24"/>
          <w:highlight w:val="none"/>
          <w:lang w:val="en-US" w:eastAsia="zh-CN"/>
        </w:rPr>
        <w:t xml:space="preserve"> 临时用地现状照片</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_Toc14609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82</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ind w:left="0" w:firstLine="243" w:firstLineChars="100"/>
        <w:textAlignment w:val="auto"/>
        <w:rPr>
          <w:rFonts w:hint="default" w:ascii="Times New Roman" w:hAnsi="Times New Roman" w:eastAsia="仿宋" w:cs="Times New Roman"/>
          <w:b w:val="0"/>
          <w:bCs w:val="0"/>
          <w:color w:val="auto"/>
          <w:kern w:val="0"/>
          <w:sz w:val="24"/>
          <w:szCs w:val="24"/>
          <w:highlight w:val="none"/>
        </w:rPr>
      </w:pP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HYPERLINK \l _Toc10606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lang w:val="en-US" w:eastAsia="zh-CN"/>
        </w:rPr>
        <w:t>附件</w:t>
      </w:r>
      <w:r>
        <w:rPr>
          <w:rFonts w:hint="eastAsia" w:ascii="Times New Roman" w:hAnsi="Times New Roman" w:eastAsia="仿宋" w:cs="Times New Roman"/>
          <w:b w:val="0"/>
          <w:bCs w:val="0"/>
          <w:color w:val="auto"/>
          <w:kern w:val="0"/>
          <w:sz w:val="24"/>
          <w:szCs w:val="24"/>
          <w:highlight w:val="none"/>
          <w:lang w:val="en-US" w:eastAsia="zh-CN"/>
        </w:rPr>
        <w:t>11</w:t>
      </w:r>
      <w:r>
        <w:rPr>
          <w:rFonts w:hint="default" w:ascii="Times New Roman" w:hAnsi="Times New Roman" w:eastAsia="仿宋" w:cs="Times New Roman"/>
          <w:b w:val="0"/>
          <w:bCs w:val="0"/>
          <w:color w:val="auto"/>
          <w:kern w:val="0"/>
          <w:sz w:val="24"/>
          <w:szCs w:val="24"/>
          <w:highlight w:val="none"/>
          <w:lang w:val="en-US" w:eastAsia="zh-CN"/>
        </w:rPr>
        <w:t xml:space="preserve"> </w:t>
      </w:r>
      <w:r>
        <w:rPr>
          <w:rFonts w:hint="eastAsia" w:ascii="Times New Roman" w:hAnsi="Times New Roman" w:eastAsia="仿宋" w:cs="Times New Roman"/>
          <w:b w:val="0"/>
          <w:bCs w:val="0"/>
          <w:color w:val="auto"/>
          <w:kern w:val="0"/>
          <w:sz w:val="24"/>
          <w:szCs w:val="24"/>
          <w:highlight w:val="none"/>
          <w:lang w:val="en-US" w:eastAsia="zh-CN"/>
        </w:rPr>
        <w:t>专家意见及修改说明</w:t>
      </w:r>
      <w:r>
        <w:rPr>
          <w:rFonts w:hint="default" w:ascii="Times New Roman" w:hAnsi="Times New Roman" w:eastAsia="仿宋" w:cs="Times New Roman"/>
          <w:b w:val="0"/>
          <w:bCs w:val="0"/>
          <w:color w:val="auto"/>
          <w:kern w:val="0"/>
          <w:sz w:val="24"/>
          <w:szCs w:val="24"/>
          <w:highlight w:val="none"/>
        </w:rPr>
        <w:tab/>
      </w:r>
      <w:r>
        <w:rPr>
          <w:rFonts w:hint="default" w:ascii="Times New Roman" w:hAnsi="Times New Roman" w:eastAsia="仿宋" w:cs="Times New Roman"/>
          <w:b w:val="0"/>
          <w:bCs w:val="0"/>
          <w:color w:val="auto"/>
          <w:kern w:val="0"/>
          <w:sz w:val="24"/>
          <w:szCs w:val="24"/>
          <w:highlight w:val="none"/>
        </w:rPr>
        <w:fldChar w:fldCharType="begin"/>
      </w:r>
      <w:r>
        <w:rPr>
          <w:rFonts w:hint="default" w:ascii="Times New Roman" w:hAnsi="Times New Roman" w:eastAsia="仿宋" w:cs="Times New Roman"/>
          <w:b w:val="0"/>
          <w:bCs w:val="0"/>
          <w:color w:val="auto"/>
          <w:kern w:val="0"/>
          <w:sz w:val="24"/>
          <w:szCs w:val="24"/>
          <w:highlight w:val="none"/>
        </w:rPr>
        <w:instrText xml:space="preserve"> PAGEREF _Toc10606 \h </w:instrText>
      </w:r>
      <w:r>
        <w:rPr>
          <w:rFonts w:hint="default" w:ascii="Times New Roman" w:hAnsi="Times New Roman" w:eastAsia="仿宋" w:cs="Times New Roman"/>
          <w:b w:val="0"/>
          <w:bCs w:val="0"/>
          <w:color w:val="auto"/>
          <w:kern w:val="0"/>
          <w:sz w:val="24"/>
          <w:szCs w:val="24"/>
          <w:highlight w:val="none"/>
        </w:rPr>
        <w:fldChar w:fldCharType="separate"/>
      </w:r>
      <w:r>
        <w:rPr>
          <w:rFonts w:hint="default" w:ascii="Times New Roman" w:hAnsi="Times New Roman" w:eastAsia="仿宋" w:cs="Times New Roman"/>
          <w:b w:val="0"/>
          <w:bCs w:val="0"/>
          <w:color w:val="auto"/>
          <w:kern w:val="0"/>
          <w:sz w:val="24"/>
          <w:szCs w:val="24"/>
          <w:highlight w:val="none"/>
        </w:rPr>
        <w:t>86</w:t>
      </w:r>
      <w:r>
        <w:rPr>
          <w:rFonts w:hint="default" w:ascii="Times New Roman" w:hAnsi="Times New Roman" w:eastAsia="仿宋" w:cs="Times New Roman"/>
          <w:b w:val="0"/>
          <w:bCs w:val="0"/>
          <w:color w:val="auto"/>
          <w:kern w:val="0"/>
          <w:sz w:val="24"/>
          <w:szCs w:val="24"/>
          <w:highlight w:val="none"/>
        </w:rPr>
        <w:fldChar w:fldCharType="end"/>
      </w:r>
      <w:r>
        <w:rPr>
          <w:rFonts w:hint="default" w:ascii="Times New Roman" w:hAnsi="Times New Roman" w:eastAsia="仿宋" w:cs="Times New Roman"/>
          <w:b w:val="0"/>
          <w:bCs w:val="0"/>
          <w:color w:val="auto"/>
          <w:kern w:val="0"/>
          <w:sz w:val="24"/>
          <w:szCs w:val="24"/>
          <w:highlight w:val="none"/>
        </w:rPr>
        <w:fldChar w:fldCharType="end"/>
      </w:r>
    </w:p>
    <w:p>
      <w:pPr>
        <w:pStyle w:val="40"/>
        <w:ind w:firstLine="0" w:firstLineChars="0"/>
        <w:rPr>
          <w:rFonts w:hint="default" w:ascii="Times New Roman" w:hAnsi="Times New Roman" w:cs="Times New Roman"/>
          <w:color w:val="auto"/>
          <w:highlight w:val="none"/>
        </w:rPr>
      </w:pPr>
      <w:r>
        <w:rPr>
          <w:rFonts w:hint="default" w:ascii="Times New Roman" w:hAnsi="Times New Roman" w:eastAsia="仿宋" w:cs="Times New Roman"/>
          <w:color w:val="auto"/>
          <w:kern w:val="0"/>
          <w:szCs w:val="24"/>
          <w:highlight w:val="none"/>
        </w:rPr>
        <w:fldChar w:fldCharType="end"/>
      </w:r>
      <w:r>
        <w:rPr>
          <w:rFonts w:hint="default" w:ascii="Times New Roman" w:hAnsi="Times New Roman" w:cs="Times New Roman"/>
          <w:color w:val="auto"/>
          <w:highlight w:val="none"/>
        </w:rPr>
        <w:br w:type="page"/>
      </w:r>
    </w:p>
    <w:p>
      <w:pPr>
        <w:pStyle w:val="17"/>
        <w:keepNext w:val="0"/>
        <w:keepLines w:val="0"/>
        <w:pageBreakBefore w:val="0"/>
        <w:widowControl/>
        <w:tabs>
          <w:tab w:val="right" w:leader="dot" w:pos="8312"/>
        </w:tabs>
        <w:kinsoku/>
        <w:wordWrap/>
        <w:overflowPunct/>
        <w:topLinePunct w:val="0"/>
        <w:autoSpaceDE/>
        <w:autoSpaceDN/>
        <w:bidi w:val="0"/>
        <w:adjustRightInd/>
        <w:snapToGrid/>
        <w:spacing w:after="0" w:line="500" w:lineRule="exact"/>
        <w:textAlignment w:val="auto"/>
        <w:rPr>
          <w:rFonts w:hint="default" w:ascii="Times New Roman" w:hAnsi="Times New Roman" w:cs="Times New Roman"/>
          <w:color w:val="auto"/>
          <w:highlight w:val="none"/>
        </w:rPr>
        <w:sectPr>
          <w:footerReference r:id="rId6" w:type="default"/>
          <w:pgSz w:w="11906" w:h="16838"/>
          <w:pgMar w:top="1440" w:right="1797" w:bottom="1440" w:left="1797" w:header="851" w:footer="992" w:gutter="0"/>
          <w:pgBorders>
            <w:top w:val="none" w:sz="0" w:space="0"/>
            <w:left w:val="none" w:sz="0" w:space="0"/>
            <w:bottom w:val="none" w:sz="0" w:space="0"/>
            <w:right w:val="none" w:sz="0" w:space="0"/>
          </w:pgBorders>
          <w:pgNumType w:fmt="upperRoman" w:start="1"/>
          <w:cols w:space="0" w:num="1"/>
          <w:rtlGutter w:val="0"/>
          <w:docGrid w:type="linesAndChars" w:linePitch="312" w:charSpace="640"/>
        </w:sectPr>
      </w:pPr>
    </w:p>
    <w:p>
      <w:pPr>
        <w:pStyle w:val="3"/>
        <w:rPr>
          <w:rFonts w:hint="default" w:ascii="Times New Roman" w:hAnsi="Times New Roman" w:cs="Times New Roman"/>
          <w:color w:val="auto"/>
          <w:highlight w:val="none"/>
          <w:lang w:val="en-US" w:eastAsia="zh-CN"/>
        </w:rPr>
      </w:pPr>
      <w:bookmarkStart w:id="16" w:name="_Toc636"/>
      <w:bookmarkStart w:id="17" w:name="_Toc4387"/>
      <w:bookmarkStart w:id="18" w:name="_Toc10111"/>
      <w:bookmarkStart w:id="19" w:name="_Toc467688493"/>
      <w:r>
        <w:rPr>
          <w:rFonts w:hint="default" w:ascii="Times New Roman" w:hAnsi="Times New Roman" w:cs="Times New Roman"/>
          <w:color w:val="auto"/>
          <w:highlight w:val="none"/>
          <w:lang w:val="en-US" w:eastAsia="zh-CN"/>
        </w:rPr>
        <w:t>1前言</w:t>
      </w:r>
      <w:bookmarkEnd w:id="16"/>
      <w:bookmarkEnd w:id="17"/>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color w:val="auto"/>
          <w:highlight w:val="none"/>
          <w:lang w:val="en-US" w:eastAsia="zh-CN"/>
        </w:rPr>
      </w:pPr>
      <w:bookmarkStart w:id="20" w:name="_Toc24149"/>
      <w:r>
        <w:rPr>
          <w:rFonts w:hint="default" w:ascii="Times New Roman" w:hAnsi="Times New Roman" w:cs="Times New Roman"/>
          <w:color w:val="auto"/>
          <w:highlight w:val="none"/>
          <w:lang w:val="en-US" w:eastAsia="zh-CN"/>
        </w:rPr>
        <w:t>1.1编制背景及过程</w:t>
      </w:r>
      <w:bookmarkEnd w:id="20"/>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G219线岳普湖-英吉沙公路建设项目（以下简称“本项目”）是《新疆维吾尔自治区交通运输“十四五”发展规划》中的正选项目之一，且作为《新疆维吾尔自治区综合交通（公路）发展战略（2018-2030）规划》的重要组成部分，是项目区内南北方向的对外交通出行的重要公路通道，是横跨喀什地区境内的重要通县国道干线公路，项目的建设是加快实施新疆干线公路网建设的客观需要。研究范围是G219线岳普湖至英吉沙段，是喀什地区重要道路组成部分。</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本项目起点岳普湖县以北利用S213线路段已完成升级改造，项目终点英吉沙县至莎车县路段与现G315线共线，莎车县至叶城新建路段已完成工可报告编制工作，叶城以南路段利用现G219线，以上路段均为二级公路标准。目前，仅剩岳普湖县至英吉沙县利用S213线段，除少数城镇路段外，绝大部分为三级公路标准，路基宽度8.5米，道路等级较低，路面结构病害较严重，道路通行能力和服务水平较低，已成为国道干线公路的瓶颈路段，不能满足交通量增长和沿线经济社会发展的需要。因此，拟对G219线岳普湖县至英吉沙县路段进行升级改建。</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本项目的建设实施将加快国道公路网建设，改善喀什地区路网结构，促进综合运输体系的形成，改善区域通行条件，提高道路通行能力，适应区域经济社会发展，促进南疆地区政治稳定，巩固祖国边防等方面具有重要的意义。</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为贯彻落实《土地复垦条例》精神，预防和控制本项目施工建设及运营阶段的土地损毁面积，并及时对损毁土地进行复垦，</w:t>
      </w:r>
      <w:r>
        <w:rPr>
          <w:rFonts w:hint="eastAsia" w:ascii="Times New Roman" w:hAnsi="Times New Roman" w:eastAsia="仿宋" w:cs="Times New Roman"/>
          <w:color w:val="auto"/>
          <w:sz w:val="24"/>
          <w:szCs w:val="24"/>
          <w:highlight w:val="none"/>
          <w:lang w:val="en-US" w:eastAsia="zh-CN"/>
        </w:rPr>
        <w:t>新疆路桥南疆工程建设有限公司</w:t>
      </w:r>
      <w:r>
        <w:rPr>
          <w:rFonts w:hint="default" w:ascii="Times New Roman" w:hAnsi="Times New Roman" w:eastAsia="仿宋" w:cs="Times New Roman"/>
          <w:color w:val="auto"/>
          <w:sz w:val="24"/>
          <w:szCs w:val="24"/>
          <w:highlight w:val="none"/>
          <w:lang w:val="en-US" w:eastAsia="zh-CN"/>
        </w:rPr>
        <w:t>于2023年</w:t>
      </w:r>
      <w:r>
        <w:rPr>
          <w:rFonts w:hint="eastAsia" w:ascii="Times New Roman" w:hAnsi="Times New Roman" w:eastAsia="仿宋" w:cs="Times New Roman"/>
          <w:color w:val="auto"/>
          <w:sz w:val="24"/>
          <w:szCs w:val="24"/>
          <w:highlight w:val="none"/>
          <w:lang w:val="en-US" w:eastAsia="zh-CN"/>
        </w:rPr>
        <w:t>12</w:t>
      </w:r>
      <w:r>
        <w:rPr>
          <w:rFonts w:hint="default" w:ascii="Times New Roman" w:hAnsi="Times New Roman" w:eastAsia="仿宋" w:cs="Times New Roman"/>
          <w:color w:val="auto"/>
          <w:sz w:val="24"/>
          <w:szCs w:val="24"/>
          <w:highlight w:val="none"/>
          <w:lang w:val="en-US" w:eastAsia="zh-CN"/>
        </w:rPr>
        <w:t>月委托</w:t>
      </w:r>
      <w:r>
        <w:rPr>
          <w:rFonts w:hint="eastAsia" w:ascii="Times New Roman" w:hAnsi="Times New Roman" w:eastAsia="仿宋" w:cs="Times New Roman"/>
          <w:color w:val="auto"/>
          <w:sz w:val="24"/>
          <w:szCs w:val="24"/>
          <w:highlight w:val="none"/>
          <w:lang w:val="en-US" w:eastAsia="zh-CN"/>
        </w:rPr>
        <w:t>新疆智恒技术咨询有限公司</w:t>
      </w:r>
      <w:r>
        <w:rPr>
          <w:rFonts w:hint="default" w:ascii="Times New Roman" w:hAnsi="Times New Roman" w:eastAsia="仿宋" w:cs="Times New Roman"/>
          <w:color w:val="auto"/>
          <w:sz w:val="24"/>
          <w:szCs w:val="24"/>
          <w:highlight w:val="none"/>
          <w:lang w:val="en-US" w:eastAsia="zh-CN"/>
        </w:rPr>
        <w:t>编制</w:t>
      </w:r>
      <w:r>
        <w:rPr>
          <w:rFonts w:hint="eastAsia" w:ascii="Times New Roman" w:hAnsi="Times New Roman" w:eastAsia="仿宋" w:cs="Times New Roman"/>
          <w:color w:val="auto"/>
          <w:sz w:val="24"/>
          <w:szCs w:val="24"/>
          <w:highlight w:val="none"/>
          <w:lang w:eastAsia="zh-CN"/>
        </w:rPr>
        <w:t>G219线岳普湖-英吉沙公路建设项目疏勒段施工便道</w:t>
      </w:r>
      <w:r>
        <w:rPr>
          <w:rFonts w:hint="default" w:ascii="Times New Roman" w:hAnsi="Times New Roman" w:eastAsia="仿宋" w:cs="Times New Roman"/>
          <w:color w:val="auto"/>
          <w:sz w:val="24"/>
          <w:szCs w:val="24"/>
          <w:highlight w:val="none"/>
          <w:lang w:eastAsia="zh-CN"/>
        </w:rPr>
        <w:t>土地</w:t>
      </w:r>
      <w:r>
        <w:rPr>
          <w:rFonts w:hint="default" w:ascii="Times New Roman" w:hAnsi="Times New Roman" w:eastAsia="仿宋" w:cs="Times New Roman"/>
          <w:color w:val="auto"/>
          <w:sz w:val="24"/>
          <w:szCs w:val="24"/>
          <w:highlight w:val="none"/>
          <w:lang w:val="en-US" w:eastAsia="zh-CN"/>
        </w:rPr>
        <w:t>复垦</w:t>
      </w:r>
      <w:r>
        <w:rPr>
          <w:rFonts w:hint="default" w:ascii="Times New Roman" w:hAnsi="Times New Roman" w:eastAsia="仿宋" w:cs="Times New Roman"/>
          <w:color w:val="auto"/>
          <w:sz w:val="24"/>
          <w:szCs w:val="24"/>
          <w:highlight w:val="none"/>
          <w:lang w:eastAsia="zh-CN"/>
        </w:rPr>
        <w:t>方案报告</w:t>
      </w:r>
      <w:r>
        <w:rPr>
          <w:rFonts w:hint="default" w:ascii="Times New Roman" w:hAnsi="Times New Roman" w:eastAsia="仿宋" w:cs="Times New Roman"/>
          <w:color w:val="auto"/>
          <w:sz w:val="24"/>
          <w:szCs w:val="24"/>
          <w:highlight w:val="none"/>
          <w:lang w:val="en-US" w:eastAsia="zh-CN"/>
        </w:rPr>
        <w:t>。接受委托后，我单位相关技术人员对现场情况进行了调查、踏勘、公众参与调查等，对临时用地项目周边的土地利用现状、土壤分布、植被状况进行了详细</w:t>
      </w:r>
      <w:r>
        <w:rPr>
          <w:rFonts w:hint="eastAsia" w:ascii="Times New Roman" w:hAnsi="Times New Roman" w:eastAsia="仿宋" w:cs="Times New Roman"/>
          <w:color w:val="auto"/>
          <w:sz w:val="24"/>
          <w:szCs w:val="24"/>
          <w:highlight w:val="none"/>
          <w:lang w:val="en-US" w:eastAsia="zh-CN"/>
        </w:rPr>
        <w:t>地</w:t>
      </w:r>
      <w:r>
        <w:rPr>
          <w:rFonts w:hint="default" w:ascii="Times New Roman" w:hAnsi="Times New Roman" w:eastAsia="仿宋" w:cs="Times New Roman"/>
          <w:color w:val="auto"/>
          <w:sz w:val="24"/>
          <w:szCs w:val="24"/>
          <w:highlight w:val="none"/>
          <w:lang w:val="en-US" w:eastAsia="zh-CN"/>
        </w:rPr>
        <w:t>调查，走访相关单位，收集相关资料，听取复垦建议，在此基础上编制完成了《</w:t>
      </w:r>
      <w:r>
        <w:rPr>
          <w:rFonts w:hint="eastAsia" w:ascii="Times New Roman" w:hAnsi="Times New Roman" w:eastAsia="仿宋" w:cs="Times New Roman"/>
          <w:color w:val="auto"/>
          <w:sz w:val="24"/>
          <w:szCs w:val="24"/>
          <w:highlight w:val="none"/>
          <w:lang w:eastAsia="zh-CN"/>
        </w:rPr>
        <w:t>G219线岳普湖-英吉沙公路建设项目疏勒段施工便道</w:t>
      </w:r>
      <w:r>
        <w:rPr>
          <w:rFonts w:hint="default" w:ascii="Times New Roman" w:hAnsi="Times New Roman" w:eastAsia="仿宋" w:cs="Times New Roman"/>
          <w:color w:val="auto"/>
          <w:sz w:val="24"/>
          <w:szCs w:val="24"/>
          <w:highlight w:val="none"/>
          <w:lang w:eastAsia="zh-CN"/>
        </w:rPr>
        <w:t>土地</w:t>
      </w:r>
      <w:r>
        <w:rPr>
          <w:rFonts w:hint="default" w:ascii="Times New Roman" w:hAnsi="Times New Roman" w:eastAsia="仿宋" w:cs="Times New Roman"/>
          <w:color w:val="auto"/>
          <w:sz w:val="24"/>
          <w:szCs w:val="24"/>
          <w:highlight w:val="none"/>
          <w:lang w:val="en-US" w:eastAsia="zh-CN"/>
        </w:rPr>
        <w:t>复垦</w:t>
      </w:r>
      <w:r>
        <w:rPr>
          <w:rFonts w:hint="default" w:ascii="Times New Roman" w:hAnsi="Times New Roman" w:eastAsia="仿宋" w:cs="Times New Roman"/>
          <w:color w:val="auto"/>
          <w:sz w:val="24"/>
          <w:szCs w:val="24"/>
          <w:highlight w:val="none"/>
          <w:lang w:eastAsia="zh-CN"/>
        </w:rPr>
        <w:t>方案</w:t>
      </w:r>
      <w:r>
        <w:rPr>
          <w:rFonts w:hint="eastAsia" w:ascii="Times New Roman" w:hAnsi="Times New Roman" w:eastAsia="仿宋" w:cs="Times New Roman"/>
          <w:color w:val="auto"/>
          <w:sz w:val="24"/>
          <w:szCs w:val="24"/>
          <w:highlight w:val="none"/>
          <w:lang w:eastAsia="zh-CN"/>
        </w:rPr>
        <w:t>报告书</w:t>
      </w:r>
      <w:r>
        <w:rPr>
          <w:rFonts w:hint="default" w:ascii="Times New Roman" w:hAnsi="Times New Roman" w:eastAsia="仿宋" w:cs="Times New Roman"/>
          <w:color w:val="auto"/>
          <w:sz w:val="24"/>
          <w:szCs w:val="24"/>
          <w:highlight w:val="none"/>
          <w:lang w:val="en-US" w:eastAsia="zh-CN"/>
        </w:rPr>
        <w:t>》。</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方案编制过程中，设计人员就方案中的关键问题，咨询了相关专家的意见和建议，在符合我国土地复垦法律法规和政策规定的基础上，力争本复垦方案资料权威真实、复垦技术措施可行、理论技术支撑可靠。</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编制组全体工作人员严格按照《土地复垦方案编制规程》，对方案内容反复讨论修改，最终编制完成《</w:t>
      </w:r>
      <w:r>
        <w:rPr>
          <w:rFonts w:hint="eastAsia" w:ascii="Times New Roman" w:hAnsi="Times New Roman" w:eastAsia="仿宋" w:cs="Times New Roman"/>
          <w:color w:val="auto"/>
          <w:sz w:val="24"/>
          <w:szCs w:val="24"/>
          <w:highlight w:val="none"/>
          <w:lang w:eastAsia="zh-CN"/>
        </w:rPr>
        <w:t>G219线岳普湖-英吉沙公路建设项目疏勒段施工便道</w:t>
      </w:r>
      <w:r>
        <w:rPr>
          <w:rFonts w:hint="default" w:ascii="Times New Roman" w:hAnsi="Times New Roman" w:eastAsia="仿宋" w:cs="Times New Roman"/>
          <w:color w:val="auto"/>
          <w:sz w:val="24"/>
          <w:szCs w:val="24"/>
          <w:highlight w:val="none"/>
          <w:lang w:eastAsia="zh-CN"/>
        </w:rPr>
        <w:t>土地</w:t>
      </w:r>
      <w:r>
        <w:rPr>
          <w:rFonts w:hint="default" w:ascii="Times New Roman" w:hAnsi="Times New Roman" w:eastAsia="仿宋" w:cs="Times New Roman"/>
          <w:color w:val="auto"/>
          <w:sz w:val="24"/>
          <w:szCs w:val="24"/>
          <w:highlight w:val="none"/>
          <w:lang w:val="en-US" w:eastAsia="zh-CN"/>
        </w:rPr>
        <w:t>复垦</w:t>
      </w:r>
      <w:r>
        <w:rPr>
          <w:rFonts w:hint="default" w:ascii="Times New Roman" w:hAnsi="Times New Roman" w:eastAsia="仿宋" w:cs="Times New Roman"/>
          <w:color w:val="auto"/>
          <w:sz w:val="24"/>
          <w:szCs w:val="24"/>
          <w:highlight w:val="none"/>
          <w:lang w:eastAsia="zh-CN"/>
        </w:rPr>
        <w:t>方案</w:t>
      </w:r>
      <w:r>
        <w:rPr>
          <w:rFonts w:hint="eastAsia" w:ascii="Times New Roman" w:hAnsi="Times New Roman" w:eastAsia="仿宋" w:cs="Times New Roman"/>
          <w:color w:val="auto"/>
          <w:sz w:val="24"/>
          <w:szCs w:val="24"/>
          <w:highlight w:val="none"/>
          <w:lang w:eastAsia="zh-CN"/>
        </w:rPr>
        <w:t>报告书</w:t>
      </w:r>
      <w:r>
        <w:rPr>
          <w:rFonts w:hint="default" w:ascii="Times New Roman" w:hAnsi="Times New Roman" w:eastAsia="仿宋" w:cs="Times New Roman"/>
          <w:color w:val="auto"/>
          <w:sz w:val="24"/>
          <w:szCs w:val="24"/>
          <w:highlight w:val="none"/>
          <w:lang w:val="en-US" w:eastAsia="zh-CN"/>
        </w:rPr>
        <w:t>》。</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color w:val="auto"/>
          <w:highlight w:val="none"/>
          <w:lang w:val="en-US" w:eastAsia="zh-CN"/>
        </w:rPr>
      </w:pPr>
      <w:bookmarkStart w:id="21" w:name="_Toc2654"/>
      <w:r>
        <w:rPr>
          <w:rFonts w:hint="default" w:ascii="Times New Roman" w:hAnsi="Times New Roman" w:cs="Times New Roman"/>
          <w:color w:val="auto"/>
          <w:highlight w:val="none"/>
          <w:lang w:val="en-US" w:eastAsia="zh-CN"/>
        </w:rPr>
        <w:t>1.2服务方案摘要</w:t>
      </w:r>
      <w:bookmarkEnd w:id="21"/>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（1）服务年限</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项目于2023年8月-2025年8月建设，建设工期2年，工程建设期内采取边施工边复垦方式完成所有临时用地复垦工作，加之复垦工作存在一定的滞后性，将复垦施工期确定为工程建设期后1个月，故复垦施工期为2023年8月至2025年9月。</w:t>
      </w:r>
      <w:r>
        <w:rPr>
          <w:rFonts w:hint="eastAsia" w:ascii="Times New Roman" w:hAnsi="Times New Roman" w:eastAsia="仿宋" w:cs="Times New Roman"/>
          <w:color w:val="auto"/>
          <w:sz w:val="24"/>
          <w:szCs w:val="24"/>
          <w:highlight w:val="none"/>
          <w:lang w:val="en-US" w:eastAsia="zh-CN"/>
        </w:rPr>
        <w:t>经调查，项目占用临时用地不需要后期管护</w:t>
      </w:r>
      <w:r>
        <w:rPr>
          <w:rFonts w:hint="default" w:ascii="Times New Roman" w:hAnsi="Times New Roman" w:eastAsia="仿宋" w:cs="Times New Roman"/>
          <w:color w:val="auto"/>
          <w:sz w:val="24"/>
          <w:szCs w:val="24"/>
          <w:highlight w:val="none"/>
          <w:lang w:val="en-US" w:eastAsia="zh-CN"/>
        </w:rPr>
        <w:t>，最终确定本复垦方案的服务年限为</w:t>
      </w:r>
      <w:r>
        <w:rPr>
          <w:rFonts w:hint="eastAsia" w:ascii="Times New Roman" w:hAnsi="Times New Roman" w:eastAsia="仿宋" w:cs="Times New Roman"/>
          <w:color w:val="auto"/>
          <w:sz w:val="24"/>
          <w:szCs w:val="24"/>
          <w:highlight w:val="none"/>
          <w:lang w:val="en-US" w:eastAsia="zh-CN"/>
        </w:rPr>
        <w:t>2023年8月-2025年9月</w:t>
      </w:r>
      <w:r>
        <w:rPr>
          <w:rFonts w:hint="default" w:ascii="Times New Roman" w:hAnsi="Times New Roman" w:eastAsia="仿宋" w:cs="Times New Roman"/>
          <w:color w:val="auto"/>
          <w:sz w:val="24"/>
          <w:szCs w:val="24"/>
          <w:highlight w:val="none"/>
          <w:lang w:val="en-US" w:eastAsia="zh-CN"/>
        </w:rPr>
        <w:t>，服务期限为</w:t>
      </w:r>
      <w:r>
        <w:rPr>
          <w:rFonts w:hint="eastAsia" w:ascii="Times New Roman" w:hAnsi="Times New Roman" w:eastAsia="仿宋" w:cs="Times New Roman"/>
          <w:color w:val="auto"/>
          <w:sz w:val="24"/>
          <w:szCs w:val="24"/>
          <w:highlight w:val="none"/>
          <w:lang w:val="en-US" w:eastAsia="zh-CN"/>
        </w:rPr>
        <w:t>25个月</w:t>
      </w:r>
      <w:r>
        <w:rPr>
          <w:rFonts w:hint="default" w:ascii="Times New Roman" w:hAnsi="Times New Roman" w:eastAsia="仿宋" w:cs="Times New Roman"/>
          <w:color w:val="auto"/>
          <w:sz w:val="24"/>
          <w:szCs w:val="24"/>
          <w:highlight w:val="none"/>
          <w:lang w:val="en-US" w:eastAsia="zh-CN"/>
        </w:rPr>
        <w:t>。若出现特殊情况项目提前或延后完工，复垦方案的服务年限随之提前或延后。</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（2）复垦区及复垦责任范围</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本方案临时用地面积为</w:t>
      </w:r>
      <w:r>
        <w:rPr>
          <w:rFonts w:hint="eastAsia" w:ascii="Times New Roman" w:hAnsi="Times New Roman" w:eastAsia="仿宋" w:cs="Times New Roman"/>
          <w:color w:val="auto"/>
          <w:sz w:val="24"/>
          <w:szCs w:val="24"/>
          <w:highlight w:val="none"/>
          <w:lang w:val="en-US" w:eastAsia="zh-CN"/>
        </w:rPr>
        <w:t>2.4296</w:t>
      </w:r>
      <w:r>
        <w:rPr>
          <w:rFonts w:hint="default" w:ascii="Times New Roman" w:hAnsi="Times New Roman" w:eastAsia="仿宋" w:cs="Times New Roman"/>
          <w:color w:val="auto"/>
          <w:sz w:val="24"/>
          <w:szCs w:val="24"/>
          <w:highlight w:val="none"/>
          <w:lang w:val="en-US" w:eastAsia="zh-CN"/>
        </w:rPr>
        <w:t>hm²，复垦责任范围面积为损毁临时土地面积</w:t>
      </w:r>
      <w:r>
        <w:rPr>
          <w:rFonts w:hint="eastAsia" w:ascii="Times New Roman" w:hAnsi="Times New Roman" w:eastAsia="仿宋" w:cs="Times New Roman"/>
          <w:color w:val="auto"/>
          <w:sz w:val="24"/>
          <w:szCs w:val="24"/>
          <w:highlight w:val="none"/>
          <w:lang w:val="en-US" w:eastAsia="zh-CN"/>
        </w:rPr>
        <w:t>2.4296</w:t>
      </w:r>
      <w:r>
        <w:rPr>
          <w:rFonts w:hint="default" w:ascii="Times New Roman" w:hAnsi="Times New Roman" w:eastAsia="仿宋" w:cs="Times New Roman"/>
          <w:color w:val="auto"/>
          <w:sz w:val="24"/>
          <w:szCs w:val="24"/>
          <w:highlight w:val="none"/>
          <w:lang w:val="en-US" w:eastAsia="zh-CN"/>
        </w:rPr>
        <w:t>hm²，全部为国有土地。</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（3）项目区损毁土地情况</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本次临时用地</w:t>
      </w:r>
      <w:r>
        <w:rPr>
          <w:rFonts w:hint="eastAsia" w:ascii="Times New Roman" w:hAnsi="Times New Roman" w:eastAsia="仿宋" w:cs="Times New Roman"/>
          <w:color w:val="auto"/>
          <w:sz w:val="24"/>
          <w:szCs w:val="24"/>
          <w:highlight w:val="none"/>
          <w:lang w:val="en-US" w:eastAsia="zh-CN"/>
        </w:rPr>
        <w:t>为拟损毁</w:t>
      </w:r>
      <w:r>
        <w:rPr>
          <w:rFonts w:hint="default" w:ascii="Times New Roman" w:hAnsi="Times New Roman" w:eastAsia="仿宋" w:cs="Times New Roman"/>
          <w:color w:val="auto"/>
          <w:sz w:val="24"/>
          <w:szCs w:val="24"/>
          <w:highlight w:val="none"/>
          <w:lang w:val="en-US" w:eastAsia="zh-CN"/>
        </w:rPr>
        <w:t>，均为临时性</w:t>
      </w:r>
      <w:r>
        <w:rPr>
          <w:rFonts w:hint="eastAsia" w:ascii="Times New Roman" w:hAnsi="Times New Roman" w:eastAsia="仿宋" w:cs="Times New Roman"/>
          <w:color w:val="auto"/>
          <w:sz w:val="24"/>
          <w:szCs w:val="24"/>
          <w:highlight w:val="none"/>
          <w:lang w:val="en-US" w:eastAsia="zh-CN"/>
        </w:rPr>
        <w:t>拟损毁</w:t>
      </w:r>
      <w:r>
        <w:rPr>
          <w:rFonts w:hint="default" w:ascii="Times New Roman" w:hAnsi="Times New Roman" w:eastAsia="仿宋" w:cs="Times New Roman"/>
          <w:color w:val="auto"/>
          <w:sz w:val="24"/>
          <w:szCs w:val="24"/>
          <w:highlight w:val="none"/>
          <w:lang w:val="en-US" w:eastAsia="zh-CN"/>
        </w:rPr>
        <w:t>土地，土地的损毁主要是</w:t>
      </w:r>
      <w:r>
        <w:rPr>
          <w:rFonts w:hint="eastAsia" w:ascii="Times New Roman" w:hAnsi="Times New Roman" w:eastAsia="仿宋" w:cs="Times New Roman"/>
          <w:color w:val="auto"/>
          <w:sz w:val="24"/>
          <w:szCs w:val="24"/>
          <w:highlight w:val="none"/>
          <w:lang w:val="en-US" w:eastAsia="zh-CN"/>
        </w:rPr>
        <w:t>临时施工便道建设</w:t>
      </w:r>
      <w:r>
        <w:rPr>
          <w:rFonts w:hint="default" w:ascii="Times New Roman" w:hAnsi="Times New Roman" w:eastAsia="仿宋" w:cs="Times New Roman"/>
          <w:color w:val="auto"/>
          <w:sz w:val="24"/>
          <w:szCs w:val="24"/>
          <w:highlight w:val="none"/>
          <w:lang w:val="en-US" w:eastAsia="zh-CN"/>
        </w:rPr>
        <w:t>对土地的损毁，土地损毁形式主要为</w:t>
      </w:r>
      <w:r>
        <w:rPr>
          <w:rFonts w:hint="eastAsia" w:ascii="Times New Roman" w:hAnsi="Times New Roman" w:eastAsia="仿宋" w:cs="Times New Roman"/>
          <w:color w:val="auto"/>
          <w:sz w:val="24"/>
          <w:szCs w:val="24"/>
          <w:highlight w:val="none"/>
          <w:lang w:val="en-US" w:eastAsia="zh-CN"/>
        </w:rPr>
        <w:t>压占</w:t>
      </w:r>
      <w:r>
        <w:rPr>
          <w:rFonts w:hint="default" w:ascii="Times New Roman" w:hAnsi="Times New Roman" w:eastAsia="仿宋" w:cs="Times New Roman"/>
          <w:color w:val="auto"/>
          <w:sz w:val="24"/>
          <w:szCs w:val="24"/>
          <w:highlight w:val="none"/>
          <w:lang w:val="en-US" w:eastAsia="zh-CN"/>
        </w:rPr>
        <w:t>，损毁前地类为</w:t>
      </w:r>
      <w:r>
        <w:rPr>
          <w:rFonts w:hint="eastAsia" w:ascii="Times New Roman" w:hAnsi="Times New Roman" w:eastAsia="仿宋" w:cs="Times New Roman"/>
          <w:color w:val="auto"/>
          <w:sz w:val="24"/>
          <w:szCs w:val="24"/>
          <w:highlight w:val="none"/>
          <w:lang w:val="en-US" w:eastAsia="zh-CN"/>
        </w:rPr>
        <w:t>沙地</w:t>
      </w:r>
      <w:r>
        <w:rPr>
          <w:rFonts w:hint="default" w:ascii="Times New Roman" w:hAnsi="Times New Roman" w:eastAsia="仿宋" w:cs="Times New Roman"/>
          <w:color w:val="auto"/>
          <w:sz w:val="24"/>
          <w:szCs w:val="24"/>
          <w:highlight w:val="none"/>
          <w:lang w:val="en-US" w:eastAsia="zh-CN"/>
        </w:rPr>
        <w:t>，</w:t>
      </w:r>
      <w:r>
        <w:rPr>
          <w:rFonts w:hint="eastAsia" w:ascii="Times New Roman" w:hAnsi="Times New Roman" w:eastAsia="仿宋" w:cs="Times New Roman"/>
          <w:color w:val="auto"/>
          <w:sz w:val="24"/>
          <w:szCs w:val="24"/>
          <w:highlight w:val="none"/>
          <w:lang w:val="en-US" w:eastAsia="zh-CN"/>
        </w:rPr>
        <w:t>面积2.4296hm²</w:t>
      </w:r>
      <w:r>
        <w:rPr>
          <w:rFonts w:hint="default" w:ascii="Times New Roman" w:hAnsi="Times New Roman" w:eastAsia="仿宋" w:cs="Times New Roman"/>
          <w:color w:val="auto"/>
          <w:sz w:val="24"/>
          <w:szCs w:val="24"/>
          <w:highlight w:val="none"/>
          <w:lang w:val="en-US" w:eastAsia="zh-CN"/>
        </w:rPr>
        <w:t>。</w:t>
      </w:r>
    </w:p>
    <w:p>
      <w:pPr>
        <w:pStyle w:val="43"/>
        <w:keepNext w:val="0"/>
        <w:keepLines w:val="0"/>
        <w:pageBreakBefore w:val="0"/>
        <w:widowControl/>
        <w:shd w:val="clear"/>
        <w:kinsoku/>
        <w:wordWrap/>
        <w:overflowPunct/>
        <w:topLinePunct w:val="0"/>
        <w:autoSpaceDE/>
        <w:autoSpaceDN/>
        <w:bidi w:val="0"/>
        <w:adjustRightInd/>
        <w:snapToGrid/>
        <w:spacing w:line="500" w:lineRule="exact"/>
        <w:ind w:firstLine="42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w:t>
      </w:r>
      <w:r>
        <w:rPr>
          <w:rFonts w:hint="default" w:ascii="Times New Roman" w:hAnsi="Times New Roman" w:cs="Times New Roman"/>
          <w:color w:val="auto"/>
          <w:sz w:val="21"/>
          <w:szCs w:val="21"/>
          <w:highlight w:val="none"/>
          <w:lang w:val="en-US" w:eastAsia="zh-CN"/>
        </w:rPr>
        <w:t xml:space="preserve">1-1 </w:t>
      </w:r>
      <w:r>
        <w:rPr>
          <w:rFonts w:hint="default" w:ascii="Times New Roman" w:hAnsi="Times New Roman" w:cs="Times New Roman"/>
          <w:color w:val="auto"/>
          <w:sz w:val="21"/>
          <w:szCs w:val="21"/>
          <w:highlight w:val="none"/>
        </w:rPr>
        <w:t>项目区</w:t>
      </w:r>
      <w:r>
        <w:rPr>
          <w:rFonts w:hint="default" w:ascii="Times New Roman" w:hAnsi="Times New Roman" w:cs="Times New Roman"/>
          <w:color w:val="auto"/>
          <w:sz w:val="21"/>
          <w:szCs w:val="21"/>
          <w:highlight w:val="none"/>
          <w:lang w:eastAsia="zh-CN"/>
        </w:rPr>
        <w:t>拟损毁</w:t>
      </w:r>
      <w:r>
        <w:rPr>
          <w:rFonts w:hint="default" w:ascii="Times New Roman" w:hAnsi="Times New Roman" w:cs="Times New Roman"/>
          <w:color w:val="auto"/>
          <w:sz w:val="21"/>
          <w:szCs w:val="21"/>
          <w:highlight w:val="none"/>
        </w:rPr>
        <w:t>土地情况表</w:t>
      </w:r>
    </w:p>
    <w:tbl>
      <w:tblPr>
        <w:tblStyle w:val="22"/>
        <w:tblpPr w:leftFromText="180" w:rightFromText="180" w:vertAnchor="text" w:horzAnchor="page" w:tblpX="1907" w:tblpY="312"/>
        <w:tblOverlap w:val="never"/>
        <w:tblW w:w="8298"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508"/>
        <w:gridCol w:w="1173"/>
        <w:gridCol w:w="690"/>
        <w:gridCol w:w="1064"/>
        <w:gridCol w:w="1077"/>
        <w:gridCol w:w="665"/>
        <w:gridCol w:w="786"/>
        <w:gridCol w:w="799"/>
        <w:gridCol w:w="774"/>
        <w:gridCol w:w="76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85" w:hRule="atLeast"/>
        </w:trPr>
        <w:tc>
          <w:tcPr>
            <w:tcW w:w="3435" w:type="dxa"/>
            <w:gridSpan w:val="4"/>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地类</w:t>
            </w:r>
          </w:p>
        </w:tc>
        <w:tc>
          <w:tcPr>
            <w:tcW w:w="1077"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面积（公顷）</w:t>
            </w:r>
          </w:p>
        </w:tc>
        <w:tc>
          <w:tcPr>
            <w:tcW w:w="665"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损毁情况</w:t>
            </w:r>
          </w:p>
        </w:tc>
        <w:tc>
          <w:tcPr>
            <w:tcW w:w="786"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损毁单元</w:t>
            </w:r>
          </w:p>
        </w:tc>
        <w:tc>
          <w:tcPr>
            <w:tcW w:w="799"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损毁类型</w:t>
            </w:r>
          </w:p>
        </w:tc>
        <w:tc>
          <w:tcPr>
            <w:tcW w:w="774"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损毁时序</w:t>
            </w:r>
          </w:p>
        </w:tc>
        <w:tc>
          <w:tcPr>
            <w:tcW w:w="762"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损毁程度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trPr>
        <w:tc>
          <w:tcPr>
            <w:tcW w:w="508"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12</w:t>
            </w:r>
          </w:p>
        </w:tc>
        <w:tc>
          <w:tcPr>
            <w:tcW w:w="1173"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其他土地</w:t>
            </w:r>
          </w:p>
        </w:tc>
        <w:tc>
          <w:tcPr>
            <w:tcW w:w="690"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1205</w:t>
            </w:r>
          </w:p>
        </w:tc>
        <w:tc>
          <w:tcPr>
            <w:tcW w:w="1064" w:type="dxa"/>
            <w:tcBorders>
              <w:tl2br w:val="nil"/>
              <w:tr2bl w:val="nil"/>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沙地</w:t>
            </w:r>
          </w:p>
        </w:tc>
        <w:tc>
          <w:tcPr>
            <w:tcW w:w="1077" w:type="dxa"/>
            <w:tcBorders>
              <w:tl2br w:val="nil"/>
              <w:tr2bl w:val="nil"/>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0"/>
                <w:szCs w:val="20"/>
                <w:highlight w:val="none"/>
                <w:u w:val="none"/>
                <w:lang w:val="en-US" w:eastAsia="zh-CN" w:bidi="ar-SA"/>
              </w:rPr>
            </w:pPr>
            <w:r>
              <w:rPr>
                <w:rFonts w:hint="eastAsia" w:ascii="Times New Roman" w:hAnsi="Times New Roman" w:cs="Times New Roman"/>
                <w:color w:val="000000"/>
                <w:sz w:val="21"/>
                <w:szCs w:val="21"/>
                <w:highlight w:val="none"/>
                <w:lang w:val="en-US" w:eastAsia="zh-CN"/>
              </w:rPr>
              <w:t>2.4296</w:t>
            </w:r>
          </w:p>
        </w:tc>
        <w:tc>
          <w:tcPr>
            <w:tcW w:w="665" w:type="dxa"/>
            <w:vMerge w:val="restart"/>
            <w:tcBorders>
              <w:tl2br w:val="nil"/>
              <w:tr2bl w:val="nil"/>
            </w:tcBorders>
            <w:shd w:val="clear" w:color="auto" w:fill="auto"/>
            <w:noWrap/>
            <w:vAlign w:val="center"/>
          </w:tcPr>
          <w:p>
            <w:pPr>
              <w:jc w:val="center"/>
              <w:rPr>
                <w:rFonts w:hint="eastAsia" w:ascii="宋体" w:hAnsi="宋体" w:eastAsia="宋体" w:cs="宋体"/>
                <w:i w:val="0"/>
                <w:iCs w:val="0"/>
                <w:color w:val="000000"/>
                <w:sz w:val="24"/>
                <w:szCs w:val="24"/>
                <w:highlight w:val="none"/>
                <w:u w:val="none"/>
              </w:rPr>
            </w:pPr>
            <w:r>
              <w:rPr>
                <w:rFonts w:hint="eastAsia" w:ascii="Times New Roman" w:hAnsi="Times New Roman" w:cs="Times New Roman"/>
                <w:color w:val="000000"/>
                <w:sz w:val="21"/>
                <w:szCs w:val="21"/>
                <w:highlight w:val="none"/>
                <w:lang w:val="en-US" w:eastAsia="zh-CN"/>
              </w:rPr>
              <w:t>拟损毁</w:t>
            </w:r>
          </w:p>
        </w:tc>
        <w:tc>
          <w:tcPr>
            <w:tcW w:w="786" w:type="dxa"/>
            <w:vMerge w:val="restart"/>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 w:val="0"/>
                <w:iCs w:val="0"/>
                <w:color w:val="000000"/>
                <w:sz w:val="24"/>
                <w:szCs w:val="24"/>
                <w:highlight w:val="none"/>
                <w:u w:val="none"/>
              </w:rPr>
            </w:pPr>
            <w:r>
              <w:rPr>
                <w:rFonts w:hint="eastAsia" w:ascii="Times New Roman" w:hAnsi="Times New Roman" w:cs="Times New Roman"/>
                <w:color w:val="000000"/>
                <w:sz w:val="21"/>
                <w:szCs w:val="21"/>
                <w:highlight w:val="none"/>
                <w:lang w:val="en-US" w:eastAsia="zh-CN"/>
              </w:rPr>
              <w:t>施工便道</w:t>
            </w:r>
          </w:p>
        </w:tc>
        <w:tc>
          <w:tcPr>
            <w:tcW w:w="799" w:type="dxa"/>
            <w:vMerge w:val="restart"/>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 w:val="0"/>
                <w:iCs w:val="0"/>
                <w:color w:val="000000"/>
                <w:sz w:val="24"/>
                <w:szCs w:val="24"/>
                <w:highlight w:val="none"/>
                <w:u w:val="none"/>
              </w:rPr>
            </w:pPr>
            <w:r>
              <w:rPr>
                <w:rFonts w:hint="eastAsia" w:ascii="Times New Roman" w:hAnsi="Times New Roman" w:cs="Times New Roman"/>
                <w:color w:val="000000"/>
                <w:sz w:val="21"/>
                <w:szCs w:val="21"/>
                <w:highlight w:val="none"/>
                <w:lang w:val="en-US" w:eastAsia="zh-CN"/>
              </w:rPr>
              <w:t>压占</w:t>
            </w:r>
          </w:p>
        </w:tc>
        <w:tc>
          <w:tcPr>
            <w:tcW w:w="774" w:type="dxa"/>
            <w:vMerge w:val="restart"/>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 w:val="0"/>
                <w:iCs w:val="0"/>
                <w:color w:val="000000"/>
                <w:sz w:val="24"/>
                <w:szCs w:val="24"/>
                <w:highlight w:val="none"/>
                <w:u w:val="none"/>
              </w:rPr>
            </w:pPr>
            <w:r>
              <w:rPr>
                <w:rFonts w:hint="eastAsia" w:ascii="Times New Roman" w:hAnsi="Times New Roman" w:cs="Times New Roman"/>
                <w:color w:val="000000"/>
                <w:sz w:val="21"/>
                <w:szCs w:val="21"/>
                <w:highlight w:val="none"/>
                <w:lang w:val="en-US" w:eastAsia="zh-CN"/>
              </w:rPr>
              <w:t>施工期</w:t>
            </w:r>
          </w:p>
        </w:tc>
        <w:tc>
          <w:tcPr>
            <w:tcW w:w="762" w:type="dxa"/>
            <w:vMerge w:val="restart"/>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i w:val="0"/>
                <w:iCs w:val="0"/>
                <w:color w:val="000000"/>
                <w:sz w:val="24"/>
                <w:szCs w:val="24"/>
                <w:highlight w:val="none"/>
                <w:u w:val="none"/>
              </w:rPr>
            </w:pPr>
            <w:r>
              <w:rPr>
                <w:rFonts w:hint="eastAsia" w:ascii="Times New Roman" w:hAnsi="Times New Roman" w:cs="Times New Roman"/>
                <w:color w:val="000000"/>
                <w:sz w:val="21"/>
                <w:szCs w:val="21"/>
                <w:highlight w:val="none"/>
                <w:lang w:val="en-US" w:eastAsia="zh-CN"/>
              </w:rPr>
              <w:t>中度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trPr>
        <w:tc>
          <w:tcPr>
            <w:tcW w:w="3435" w:type="dxa"/>
            <w:gridSpan w:val="4"/>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合计</w:t>
            </w:r>
          </w:p>
        </w:tc>
        <w:tc>
          <w:tcPr>
            <w:tcW w:w="1077"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2.4296</w:t>
            </w:r>
          </w:p>
        </w:tc>
        <w:tc>
          <w:tcPr>
            <w:tcW w:w="665"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c>
          <w:tcPr>
            <w:tcW w:w="786"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c>
          <w:tcPr>
            <w:tcW w:w="799"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c>
          <w:tcPr>
            <w:tcW w:w="774"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c>
          <w:tcPr>
            <w:tcW w:w="762" w:type="dxa"/>
            <w:vMerge w:val="continue"/>
            <w:tcBorders>
              <w:tl2br w:val="nil"/>
              <w:tr2bl w:val="nil"/>
            </w:tcBorders>
            <w:shd w:val="clear" w:color="auto" w:fill="auto"/>
            <w:noWrap/>
            <w:vAlign w:val="center"/>
          </w:tcPr>
          <w:p>
            <w:pPr>
              <w:jc w:val="center"/>
              <w:rPr>
                <w:rFonts w:hint="eastAsia" w:ascii="宋体" w:hAnsi="宋体" w:eastAsia="宋体" w:cs="宋体"/>
                <w:i w:val="0"/>
                <w:iCs w:val="0"/>
                <w:color w:val="000000"/>
                <w:sz w:val="24"/>
                <w:szCs w:val="24"/>
                <w:highlight w:val="none"/>
                <w:u w:val="none"/>
              </w:rPr>
            </w:pPr>
          </w:p>
        </w:tc>
      </w:tr>
    </w:tbl>
    <w:p>
      <w:pPr>
        <w:pStyle w:val="43"/>
        <w:keepNext w:val="0"/>
        <w:keepLines w:val="0"/>
        <w:pageBreakBefore w:val="0"/>
        <w:widowControl/>
        <w:shd w:val="clear"/>
        <w:kinsoku/>
        <w:wordWrap/>
        <w:overflowPunct/>
        <w:topLinePunct w:val="0"/>
        <w:autoSpaceDE/>
        <w:autoSpaceDN/>
        <w:bidi w:val="0"/>
        <w:adjustRightInd/>
        <w:snapToGrid/>
        <w:spacing w:line="240" w:lineRule="auto"/>
        <w:ind w:firstLine="420"/>
        <w:jc w:val="right"/>
        <w:textAlignment w:val="auto"/>
        <w:rPr>
          <w:rFonts w:hint="default" w:ascii="Times New Roman" w:hAnsi="Times New Roman" w:eastAsia="黑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单位：公顷</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（4）土地复垦目标</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本项目通过采取预防控制和工程技术措施，预防控制损毁土地面积，并对损毁土地全部进行复垦。根据复垦适宜性评价结果，确定临时用地复垦时按原土地利用类型恢复。本方案复垦责任范围</w:t>
      </w:r>
      <w:r>
        <w:rPr>
          <w:rFonts w:hint="eastAsia" w:ascii="Times New Roman" w:hAnsi="Times New Roman" w:eastAsia="仿宋" w:cs="Times New Roman"/>
          <w:color w:val="auto"/>
          <w:sz w:val="24"/>
          <w:szCs w:val="24"/>
          <w:highlight w:val="none"/>
          <w:lang w:val="en-US" w:eastAsia="zh-CN"/>
        </w:rPr>
        <w:t>2.4296</w:t>
      </w:r>
      <w:r>
        <w:rPr>
          <w:rFonts w:hint="default" w:ascii="Times New Roman" w:hAnsi="Times New Roman" w:eastAsia="仿宋" w:cs="Times New Roman"/>
          <w:color w:val="auto"/>
          <w:sz w:val="24"/>
          <w:szCs w:val="24"/>
          <w:highlight w:val="none"/>
          <w:lang w:val="en-US" w:eastAsia="zh-CN"/>
        </w:rPr>
        <w:t>hm²，</w:t>
      </w:r>
      <w:r>
        <w:rPr>
          <w:rFonts w:hint="eastAsia" w:ascii="Times New Roman" w:hAnsi="Times New Roman" w:eastAsia="仿宋" w:cs="Times New Roman"/>
          <w:color w:val="auto"/>
          <w:sz w:val="24"/>
          <w:szCs w:val="24"/>
          <w:highlight w:val="none"/>
          <w:lang w:val="en-US" w:eastAsia="zh-CN"/>
        </w:rPr>
        <w:t>全部复垦为沙地，</w:t>
      </w:r>
      <w:r>
        <w:rPr>
          <w:rFonts w:hint="default" w:ascii="Times New Roman" w:hAnsi="Times New Roman" w:eastAsia="仿宋" w:cs="Times New Roman"/>
          <w:color w:val="auto"/>
          <w:sz w:val="24"/>
          <w:szCs w:val="24"/>
          <w:highlight w:val="none"/>
          <w:lang w:val="en-US" w:eastAsia="zh-CN"/>
        </w:rPr>
        <w:t>土地复垦率为100%。</w:t>
      </w:r>
    </w:p>
    <w:p>
      <w:pPr>
        <w:pStyle w:val="43"/>
        <w:keepNext w:val="0"/>
        <w:keepLines w:val="0"/>
        <w:pageBreakBefore w:val="0"/>
        <w:widowControl/>
        <w:shd w:val="clear"/>
        <w:kinsoku/>
        <w:wordWrap/>
        <w:overflowPunct/>
        <w:topLinePunct w:val="0"/>
        <w:autoSpaceDE/>
        <w:autoSpaceDN/>
        <w:bidi w:val="0"/>
        <w:adjustRightInd/>
        <w:snapToGrid/>
        <w:spacing w:line="500" w:lineRule="exact"/>
        <w:ind w:firstLine="42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w:t>
      </w:r>
      <w:r>
        <w:rPr>
          <w:rFonts w:hint="default" w:ascii="Times New Roman" w:hAnsi="Times New Roman" w:cs="Times New Roman"/>
          <w:color w:val="auto"/>
          <w:sz w:val="21"/>
          <w:szCs w:val="21"/>
          <w:highlight w:val="none"/>
          <w:lang w:val="en-US" w:eastAsia="zh-CN"/>
        </w:rPr>
        <w:t>1-2</w:t>
      </w:r>
      <w:r>
        <w:rPr>
          <w:rFonts w:hint="default" w:ascii="Times New Roman" w:hAnsi="Times New Roman" w:cs="Times New Roman"/>
          <w:color w:val="auto"/>
          <w:sz w:val="21"/>
          <w:szCs w:val="21"/>
          <w:highlight w:val="none"/>
        </w:rPr>
        <w:t>复垦前后土地利用结构调整表</w:t>
      </w:r>
    </w:p>
    <w:tbl>
      <w:tblPr>
        <w:tblStyle w:val="22"/>
        <w:tblW w:w="8428"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517"/>
        <w:gridCol w:w="2202"/>
        <w:gridCol w:w="653"/>
        <w:gridCol w:w="1657"/>
        <w:gridCol w:w="1258"/>
        <w:gridCol w:w="1258"/>
        <w:gridCol w:w="88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2719" w:type="dxa"/>
            <w:gridSpan w:val="2"/>
            <w:tcBorders>
              <w:tl2br w:val="nil"/>
              <w:tr2bl w:val="nil"/>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一级地类</w:t>
            </w:r>
          </w:p>
        </w:tc>
        <w:tc>
          <w:tcPr>
            <w:tcW w:w="2310" w:type="dxa"/>
            <w:gridSpan w:val="2"/>
            <w:tcBorders>
              <w:tl2br w:val="nil"/>
              <w:tr2bl w:val="nil"/>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二级地类</w:t>
            </w:r>
          </w:p>
        </w:tc>
        <w:tc>
          <w:tcPr>
            <w:tcW w:w="1258" w:type="dxa"/>
            <w:tcBorders>
              <w:tl2br w:val="nil"/>
              <w:tr2bl w:val="nil"/>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复垦前/h</w:t>
            </w:r>
            <w:r>
              <w:rPr>
                <w:rFonts w:hint="default" w:ascii="Times New Roman" w:hAnsi="Times New Roman" w:eastAsia="仿宋" w:cs="Times New Roman"/>
                <w:color w:val="auto"/>
                <w:sz w:val="24"/>
                <w:szCs w:val="24"/>
                <w:highlight w:val="none"/>
                <w:lang w:val="en-US" w:eastAsia="zh-CN"/>
              </w:rPr>
              <w:t>m²</w:t>
            </w:r>
          </w:p>
        </w:tc>
        <w:tc>
          <w:tcPr>
            <w:tcW w:w="1258" w:type="dxa"/>
            <w:tcBorders>
              <w:tl2br w:val="nil"/>
              <w:tr2bl w:val="nil"/>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复垦后/h</w:t>
            </w:r>
            <w:r>
              <w:rPr>
                <w:rFonts w:hint="default" w:ascii="Times New Roman" w:hAnsi="Times New Roman" w:eastAsia="仿宋" w:cs="Times New Roman"/>
                <w:color w:val="auto"/>
                <w:sz w:val="24"/>
                <w:szCs w:val="24"/>
                <w:highlight w:val="none"/>
                <w:lang w:val="en-US" w:eastAsia="zh-CN"/>
              </w:rPr>
              <w:t>m²</w:t>
            </w:r>
          </w:p>
        </w:tc>
        <w:tc>
          <w:tcPr>
            <w:tcW w:w="883" w:type="dxa"/>
            <w:tcBorders>
              <w:tl2br w:val="nil"/>
              <w:tr2bl w:val="nil"/>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变幅/%</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52" w:hRule="atLeast"/>
        </w:trPr>
        <w:tc>
          <w:tcPr>
            <w:tcW w:w="517"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000000"/>
                <w:sz w:val="21"/>
                <w:szCs w:val="21"/>
                <w:highlight w:val="none"/>
                <w:lang w:val="en-US" w:eastAsia="zh-CN"/>
              </w:rPr>
              <w:t>12</w:t>
            </w:r>
          </w:p>
        </w:tc>
        <w:tc>
          <w:tcPr>
            <w:tcW w:w="2202"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000000"/>
                <w:sz w:val="21"/>
                <w:szCs w:val="21"/>
                <w:highlight w:val="none"/>
                <w:lang w:val="en-US" w:eastAsia="zh-CN"/>
              </w:rPr>
              <w:t>其他土地</w:t>
            </w:r>
          </w:p>
        </w:tc>
        <w:tc>
          <w:tcPr>
            <w:tcW w:w="653"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000000"/>
                <w:sz w:val="21"/>
                <w:szCs w:val="21"/>
                <w:highlight w:val="none"/>
                <w:lang w:val="en-US" w:eastAsia="zh-CN"/>
              </w:rPr>
              <w:t>1205</w:t>
            </w:r>
          </w:p>
        </w:tc>
        <w:tc>
          <w:tcPr>
            <w:tcW w:w="1657"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000000"/>
                <w:sz w:val="21"/>
                <w:szCs w:val="21"/>
                <w:highlight w:val="none"/>
                <w:lang w:val="en-US" w:eastAsia="zh-CN"/>
              </w:rPr>
              <w:t>沙地</w:t>
            </w:r>
          </w:p>
        </w:tc>
        <w:tc>
          <w:tcPr>
            <w:tcW w:w="1258"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2.4296</w:t>
            </w:r>
          </w:p>
        </w:tc>
        <w:tc>
          <w:tcPr>
            <w:tcW w:w="1258"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2.4296</w:t>
            </w:r>
          </w:p>
        </w:tc>
        <w:tc>
          <w:tcPr>
            <w:tcW w:w="883" w:type="dxa"/>
            <w:tcBorders>
              <w:tl2br w:val="nil"/>
              <w:tr2bl w:val="nil"/>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95" w:hRule="atLeast"/>
        </w:trPr>
        <w:tc>
          <w:tcPr>
            <w:tcW w:w="5029" w:type="dxa"/>
            <w:gridSpan w:val="4"/>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合计</w:t>
            </w:r>
          </w:p>
        </w:tc>
        <w:tc>
          <w:tcPr>
            <w:tcW w:w="1258"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2.4296</w:t>
            </w:r>
          </w:p>
        </w:tc>
        <w:tc>
          <w:tcPr>
            <w:tcW w:w="1258"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2.4296</w:t>
            </w:r>
          </w:p>
        </w:tc>
        <w:tc>
          <w:tcPr>
            <w:tcW w:w="883" w:type="dxa"/>
            <w:tcBorders>
              <w:tl2br w:val="nil"/>
              <w:tr2bl w:val="nil"/>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r>
    </w:tbl>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（5）复垦投资情况</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本项目土地复垦静态总投资</w:t>
      </w:r>
      <w:r>
        <w:rPr>
          <w:rFonts w:hint="eastAsia" w:ascii="Times New Roman" w:hAnsi="Times New Roman" w:eastAsia="仿宋" w:cs="Times New Roman"/>
          <w:color w:val="auto"/>
          <w:sz w:val="24"/>
          <w:szCs w:val="24"/>
          <w:highlight w:val="none"/>
          <w:lang w:val="en-US" w:eastAsia="zh-CN"/>
        </w:rPr>
        <w:t>10.78</w:t>
      </w:r>
      <w:r>
        <w:rPr>
          <w:rFonts w:hint="default" w:ascii="Times New Roman" w:hAnsi="Times New Roman" w:eastAsia="仿宋" w:cs="Times New Roman"/>
          <w:color w:val="auto"/>
          <w:sz w:val="24"/>
          <w:szCs w:val="24"/>
          <w:highlight w:val="none"/>
          <w:lang w:val="en-US" w:eastAsia="zh-CN"/>
        </w:rPr>
        <w:t>万元。其中：</w:t>
      </w:r>
      <w:r>
        <w:rPr>
          <w:rFonts w:hint="eastAsia" w:ascii="Times New Roman" w:hAnsi="Times New Roman" w:eastAsia="仿宋" w:cs="Times New Roman"/>
          <w:color w:val="auto"/>
          <w:sz w:val="24"/>
          <w:szCs w:val="24"/>
          <w:highlight w:val="none"/>
          <w:lang w:val="en-US" w:eastAsia="zh-CN"/>
        </w:rPr>
        <w:t>工程施工费为10.47万元，占总投资的97.09%；预备费0.31万元，占静态总投资2.91%。</w:t>
      </w:r>
    </w:p>
    <w:p>
      <w:pP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br w:type="page"/>
      </w:r>
    </w:p>
    <w:p>
      <w:pPr>
        <w:pStyle w:val="3"/>
        <w:rPr>
          <w:rFonts w:hint="default" w:ascii="Times New Roman" w:hAnsi="Times New Roman" w:cs="Times New Roman"/>
          <w:color w:val="auto"/>
          <w:highlight w:val="none"/>
          <w:lang w:val="en-US" w:eastAsia="zh-CN"/>
        </w:rPr>
      </w:pPr>
      <w:bookmarkStart w:id="22" w:name="_Toc1878"/>
      <w:bookmarkStart w:id="23" w:name="_Toc30052"/>
      <w:r>
        <w:rPr>
          <w:rFonts w:hint="default" w:ascii="Times New Roman" w:hAnsi="Times New Roman" w:cs="Times New Roman"/>
          <w:color w:val="auto"/>
          <w:highlight w:val="none"/>
          <w:lang w:val="en-US" w:eastAsia="zh-CN"/>
        </w:rPr>
        <w:t>2编制总则</w:t>
      </w:r>
      <w:bookmarkEnd w:id="22"/>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color w:val="auto"/>
          <w:highlight w:val="none"/>
          <w:lang w:val="en-US" w:eastAsia="zh-CN"/>
        </w:rPr>
      </w:pPr>
      <w:bookmarkStart w:id="24" w:name="_Toc6495"/>
      <w:r>
        <w:rPr>
          <w:rFonts w:hint="default" w:ascii="Times New Roman" w:hAnsi="Times New Roman" w:cs="Times New Roman"/>
          <w:color w:val="auto"/>
          <w:highlight w:val="none"/>
          <w:lang w:val="en-US" w:eastAsia="zh-CN"/>
        </w:rPr>
        <w:t>2.1编制目的</w:t>
      </w:r>
      <w:bookmarkEnd w:id="24"/>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为贯彻落实《土地复垦条例》“谁损毁、谁复垦”的基本原则，坚持最严格的节约集约用地制度，坚持项目在建设中少占地、不占或少占耕地，减少土地损毁面积，并保证损毁土地得到及时复垦，恢复生态环境；同时，将建设单位的土地复垦目标、任务、措施和实施计划等落到实处，为土地复垦工程的实施管理、监督检查、验收以及土地复垦费用的征收等提供依据，确保土地复垦工作落到实处， 特编制本方案。</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color w:val="auto"/>
          <w:highlight w:val="none"/>
          <w:lang w:val="en-US" w:eastAsia="zh-CN"/>
        </w:rPr>
      </w:pPr>
      <w:bookmarkStart w:id="25" w:name="_Toc25573"/>
      <w:r>
        <w:rPr>
          <w:rFonts w:hint="default" w:ascii="Times New Roman" w:hAnsi="Times New Roman" w:cs="Times New Roman"/>
          <w:color w:val="auto"/>
          <w:highlight w:val="none"/>
          <w:lang w:val="en-US" w:eastAsia="zh-CN"/>
        </w:rPr>
        <w:t>2.2编制原则</w:t>
      </w:r>
      <w:bookmarkEnd w:id="25"/>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在贯彻“十分珍惜、合理利用土地和切实保护耕地”基本国策的基础上，按照“谁损毁，谁复垦”的基本原则，根据项目区复垦责任范围内损毁土地自然与社会经济发展情况，从经济可行、技术科学合理、综合效益最佳和便于操作的角度出发，结合工程建设的实际情况，本工程项目区复垦责任范围内损毁土地复垦方案编制体现以下原则：</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源头控制、预防与复垦相结合。在工程建设过程中应采取预防、控制措施，最大限度减少临时用地损毁面积，尽量取弃结合，满足土方平衡；临时用地首先考虑未利用地。坚持预防为主、防治结合的原则，防患于未然，使土地损毁面积和损毁程度控制在最小范围和限度内，使项目区域生态环境得到有效保护。</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统一规划，统筹安排。在土地复垦规划设计和实施过程中，结合国家政策、新疆维吾尔自治区及当地相关规划，并充分考虑工程施工特点，合理确定土地复垦方向。土地复垦与项目建设施工工作统一部署，将土地复垦方案与项目工程建设方案相结合，土地复垦费列入项目建设总投资，最大限度</w:t>
      </w:r>
      <w:r>
        <w:rPr>
          <w:rFonts w:hint="eastAsia" w:ascii="Times New Roman" w:hAnsi="Times New Roman" w:eastAsia="仿宋" w:cs="Times New Roman"/>
          <w:color w:val="auto"/>
          <w:sz w:val="24"/>
          <w:szCs w:val="24"/>
          <w:highlight w:val="none"/>
          <w:lang w:val="en-US" w:eastAsia="zh-CN"/>
        </w:rPr>
        <w:t>地</w:t>
      </w:r>
      <w:r>
        <w:rPr>
          <w:rFonts w:hint="default" w:ascii="Times New Roman" w:hAnsi="Times New Roman" w:eastAsia="仿宋" w:cs="Times New Roman"/>
          <w:color w:val="auto"/>
          <w:sz w:val="24"/>
          <w:szCs w:val="24"/>
          <w:highlight w:val="none"/>
          <w:lang w:val="en-US" w:eastAsia="zh-CN"/>
        </w:rPr>
        <w:t>恢复原有生态系统；做到土地复垦与工程建设同步设计、同步施工，努力实现“边建设、边复垦”，使项目建设与复垦统一规划，统筹安排。</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因地制宜，优先用于农用地。贯彻落实“十分珍惜和合理利用土地，切实保护耕地”的基本国策，按照“因地制宜，综合利用”的原则，本着需要与可能（人力、物力、财力、科学技术等的可能），依据项目区复垦责任范围内损毁土地所在区域各土地利用总体规划和国家相关法律法规政策要求，根据当地自然气候条件和土地利用现状的适宜性评价结果，合理确定复垦土地用途，因地制宜， 宜农则农、宜林则林、宜牧则牧、宜建则建。对于土壤条件及灌溉水源条件等能够满足要求的临时用地，优先复垦为耕地，发展农业，使项目区复垦责任范围内损毁土地成为当地农业资源的一项补充。</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——可操作性，综合效益最佳。复垦方案的工程措施要充分考虑项目区特性、工程投资情况和投资收益边际效益及企业生产成本，体现经济可行、技术科学合理、综合效益最佳、可操作性强的原则。</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color w:val="auto"/>
          <w:highlight w:val="none"/>
          <w:lang w:val="en-US" w:eastAsia="zh-CN"/>
        </w:rPr>
      </w:pPr>
      <w:bookmarkStart w:id="26" w:name="_Toc28707"/>
      <w:r>
        <w:rPr>
          <w:rFonts w:hint="default" w:ascii="Times New Roman" w:hAnsi="Times New Roman" w:cs="Times New Roman"/>
          <w:color w:val="auto"/>
          <w:highlight w:val="none"/>
          <w:lang w:val="en-US" w:eastAsia="zh-CN"/>
        </w:rPr>
        <w:t>2.3编制依据</w:t>
      </w:r>
      <w:bookmarkEnd w:id="26"/>
    </w:p>
    <w:p>
      <w:pPr>
        <w:pStyle w:val="5"/>
        <w:keepNext w:val="0"/>
        <w:keepLines w:val="0"/>
        <w:tabs>
          <w:tab w:val="left" w:pos="426"/>
        </w:tabs>
        <w:adjustRightInd w:val="0"/>
        <w:snapToGrid w:val="0"/>
        <w:spacing w:before="0" w:after="0" w:line="360" w:lineRule="auto"/>
        <w:ind w:firstLine="482" w:firstLineChars="200"/>
        <w:textAlignment w:val="baseline"/>
        <w:rPr>
          <w:rFonts w:hint="default" w:ascii="Times New Roman" w:hAnsi="Times New Roman" w:cs="Times New Roman"/>
          <w:b/>
          <w:bCs w:val="0"/>
          <w:kern w:val="0"/>
          <w:szCs w:val="28"/>
          <w:highlight w:val="none"/>
          <w:lang w:val="en-US" w:eastAsia="zh-CN"/>
        </w:rPr>
      </w:pPr>
      <w:bookmarkStart w:id="27" w:name="2.3.1法律法规"/>
      <w:bookmarkEnd w:id="27"/>
      <w:bookmarkStart w:id="28" w:name="2.3.1法律法规"/>
      <w:bookmarkEnd w:id="28"/>
      <w:bookmarkStart w:id="29" w:name="_Toc31554"/>
      <w:bookmarkStart w:id="30" w:name="_Toc32487"/>
      <w:bookmarkStart w:id="31" w:name="_Toc18499"/>
      <w:bookmarkStart w:id="32" w:name="_Toc32118"/>
      <w:r>
        <w:rPr>
          <w:rFonts w:hint="default" w:ascii="Times New Roman" w:hAnsi="Times New Roman" w:cs="Times New Roman"/>
          <w:b/>
          <w:bCs w:val="0"/>
          <w:kern w:val="0"/>
          <w:szCs w:val="28"/>
          <w:highlight w:val="none"/>
          <w:lang w:val="en-US" w:eastAsia="zh-CN"/>
        </w:rPr>
        <w:t>2.3.1法律法规</w:t>
      </w:r>
      <w:bookmarkEnd w:id="29"/>
      <w:bookmarkEnd w:id="30"/>
      <w:bookmarkEnd w:id="31"/>
      <w:bookmarkEnd w:id="32"/>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a）《中华人民共和国土地管理法》（2019 年 8 月 26 日第十三届全国人民代表大会常务委员会第十二次会议第三次修正，2020 年 1 月 1 日施行）；</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b）《中华人民共和国土地管理法实施条例》（2021 年 4 月 21 日国务院第132 次常务会议修订通过，2021 年 9 月 1 日起施行）；</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c）《</w:t>
      </w:r>
      <w:r>
        <w:rPr>
          <w:rFonts w:hint="default" w:ascii="Times New Roman" w:hAnsi="Times New Roman" w:eastAsia="仿宋" w:cs="Times New Roman"/>
          <w:color w:val="auto"/>
          <w:sz w:val="24"/>
          <w:szCs w:val="24"/>
          <w:highlight w:val="none"/>
          <w:lang w:val="en-US" w:eastAsia="zh-CN"/>
        </w:rPr>
        <w:t>中华人民共和国</w:t>
      </w:r>
      <w:r>
        <w:rPr>
          <w:rFonts w:hint="eastAsia" w:ascii="Times New Roman" w:hAnsi="Times New Roman" w:eastAsia="仿宋" w:cs="Times New Roman"/>
          <w:color w:val="auto"/>
          <w:sz w:val="24"/>
          <w:szCs w:val="24"/>
          <w:highlight w:val="none"/>
          <w:lang w:val="en-US" w:eastAsia="zh-CN"/>
        </w:rPr>
        <w:t>土地复垦条例》（2011年）；</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d</w:t>
      </w:r>
      <w:r>
        <w:rPr>
          <w:rFonts w:hint="default" w:ascii="Times New Roman" w:hAnsi="Times New Roman" w:eastAsia="仿宋" w:cs="Times New Roman"/>
          <w:color w:val="auto"/>
          <w:sz w:val="24"/>
          <w:szCs w:val="24"/>
          <w:highlight w:val="none"/>
          <w:lang w:val="en-US" w:eastAsia="zh-CN"/>
        </w:rPr>
        <w:t>）《土地复垦条例实施办法》（2019 年 7 月 16 日自然资源部第二次部务会议修正）；</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e</w:t>
      </w:r>
      <w:r>
        <w:rPr>
          <w:rFonts w:hint="default" w:ascii="Times New Roman" w:hAnsi="Times New Roman" w:eastAsia="仿宋" w:cs="Times New Roman"/>
          <w:color w:val="auto"/>
          <w:sz w:val="24"/>
          <w:szCs w:val="24"/>
          <w:highlight w:val="none"/>
          <w:lang w:val="en-US" w:eastAsia="zh-CN"/>
        </w:rPr>
        <w:t>）《中华人民共和国水土保持法》（2010 年 12 月 25 日第十一届全国人民代表大会常务委员会第十八次会议修订，自 2011 年 3 月 1 日起施行）；</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f</w:t>
      </w:r>
      <w:r>
        <w:rPr>
          <w:rFonts w:hint="default" w:ascii="Times New Roman" w:hAnsi="Times New Roman" w:eastAsia="仿宋" w:cs="Times New Roman"/>
          <w:color w:val="auto"/>
          <w:sz w:val="24"/>
          <w:szCs w:val="24"/>
          <w:highlight w:val="none"/>
          <w:lang w:val="en-US" w:eastAsia="zh-CN"/>
        </w:rPr>
        <w:t>）《中华人民共和国环境保护法》（2014 年 4 月 24 日第十二届全国人民</w:t>
      </w:r>
      <w:r>
        <w:rPr>
          <w:rFonts w:hint="eastAsia" w:ascii="Times New Roman" w:hAnsi="Times New Roman" w:eastAsia="仿宋" w:cs="Times New Roman"/>
          <w:color w:val="auto"/>
          <w:sz w:val="24"/>
          <w:szCs w:val="24"/>
          <w:highlight w:val="none"/>
          <w:lang w:val="en-US" w:eastAsia="zh-CN"/>
        </w:rPr>
        <w:t>代表</w:t>
      </w:r>
      <w:r>
        <w:rPr>
          <w:rFonts w:hint="default" w:ascii="Times New Roman" w:hAnsi="Times New Roman" w:eastAsia="仿宋" w:cs="Times New Roman"/>
          <w:color w:val="auto"/>
          <w:sz w:val="24"/>
          <w:szCs w:val="24"/>
          <w:highlight w:val="none"/>
          <w:lang w:val="en-US" w:eastAsia="zh-CN"/>
        </w:rPr>
        <w:t>大会常务委员会第八次会议修订，自 2015 年 1 月 1 日起施行）；</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g）《建设项目环境保护管理条例》（2017 年 6 月 21 日国务院第 177 次常务会议通过修改，自 2017 年 10 月 1 日起施行）；</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h）《中华人民共和国土壤污染防治法》（2018 年 8 月 31 日十三届全国人民代表大会常务委员会第五次会议通过，2019 年 1 月 1 日起施行）；</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k</w:t>
      </w:r>
      <w:r>
        <w:rPr>
          <w:rFonts w:hint="default" w:ascii="Times New Roman" w:hAnsi="Times New Roman" w:eastAsia="仿宋" w:cs="Times New Roman"/>
          <w:color w:val="auto"/>
          <w:sz w:val="24"/>
          <w:szCs w:val="24"/>
          <w:highlight w:val="none"/>
          <w:lang w:val="en-US" w:eastAsia="zh-CN"/>
        </w:rPr>
        <w:t>）《新疆维吾尔自治区环境保护条例》（2018 年 9 月 21 日新疆维吾尔自治区第十三届人民代表大会常务委员会第六次会议修正）。</w:t>
      </w:r>
    </w:p>
    <w:p>
      <w:pPr>
        <w:pStyle w:val="5"/>
        <w:keepNext w:val="0"/>
        <w:keepLines w:val="0"/>
        <w:tabs>
          <w:tab w:val="left" w:pos="426"/>
        </w:tabs>
        <w:adjustRightInd w:val="0"/>
        <w:snapToGrid w:val="0"/>
        <w:spacing w:before="0" w:after="0" w:line="360" w:lineRule="auto"/>
        <w:ind w:firstLine="482" w:firstLineChars="200"/>
        <w:textAlignment w:val="baseline"/>
        <w:rPr>
          <w:rFonts w:hint="default" w:ascii="Times New Roman" w:hAnsi="Times New Roman" w:cs="Times New Roman"/>
          <w:b/>
          <w:bCs w:val="0"/>
          <w:kern w:val="0"/>
          <w:szCs w:val="28"/>
          <w:highlight w:val="none"/>
          <w:lang w:val="en-US" w:eastAsia="zh-CN"/>
        </w:rPr>
      </w:pPr>
      <w:bookmarkStart w:id="33" w:name="2.3.2政策文件"/>
      <w:bookmarkEnd w:id="33"/>
      <w:bookmarkStart w:id="34" w:name="2.3.2政策文件"/>
      <w:bookmarkEnd w:id="34"/>
      <w:bookmarkStart w:id="35" w:name="_Toc25559"/>
      <w:bookmarkStart w:id="36" w:name="_Toc12044"/>
      <w:bookmarkStart w:id="37" w:name="_Toc4948"/>
      <w:bookmarkStart w:id="38" w:name="_Toc10782"/>
      <w:r>
        <w:rPr>
          <w:rFonts w:hint="default" w:ascii="Times New Roman" w:hAnsi="Times New Roman" w:cs="Times New Roman"/>
          <w:b/>
          <w:bCs w:val="0"/>
          <w:kern w:val="0"/>
          <w:szCs w:val="28"/>
          <w:highlight w:val="none"/>
          <w:lang w:val="en-US" w:eastAsia="zh-CN"/>
        </w:rPr>
        <w:t>2.3.2政策文件</w:t>
      </w:r>
      <w:bookmarkEnd w:id="35"/>
      <w:bookmarkEnd w:id="36"/>
      <w:bookmarkEnd w:id="37"/>
      <w:bookmarkEnd w:id="38"/>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a）《国务院关于促进节约集约用地的通知》，国发〔2008〕3号；</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b）《国土资源部关于贯彻实施〈土地复垦条例〉的通知》，国土资发〔2011〕50号；</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c）《关于落实国土资源部贯彻实施〈土地复垦条例〉的通知》，新国土资发〔2011〕421号；</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d）《关于印发&lt;自治区生产建设项目土地复垦管理办法&gt;&lt;自治区生产建设项目土地复垦方案审查暂行办法&gt;&lt;自治区生产建设项目土地复垦验收办法&gt;的通知》（新自然资规〔2018〕1号）。</w:t>
      </w:r>
    </w:p>
    <w:p>
      <w:pPr>
        <w:pStyle w:val="5"/>
        <w:keepNext w:val="0"/>
        <w:keepLines w:val="0"/>
        <w:tabs>
          <w:tab w:val="left" w:pos="426"/>
        </w:tabs>
        <w:adjustRightInd w:val="0"/>
        <w:snapToGrid w:val="0"/>
        <w:spacing w:before="0" w:after="0" w:line="360" w:lineRule="auto"/>
        <w:ind w:firstLine="482" w:firstLineChars="200"/>
        <w:textAlignment w:val="baseline"/>
        <w:rPr>
          <w:rFonts w:hint="default" w:ascii="Times New Roman" w:hAnsi="Times New Roman" w:cs="Times New Roman"/>
          <w:b/>
          <w:bCs w:val="0"/>
          <w:kern w:val="0"/>
          <w:szCs w:val="28"/>
          <w:highlight w:val="none"/>
          <w:lang w:val="en-US" w:eastAsia="zh-CN"/>
        </w:rPr>
      </w:pPr>
      <w:bookmarkStart w:id="39" w:name="_Toc496521266"/>
      <w:bookmarkStart w:id="40" w:name="_Toc24004"/>
      <w:bookmarkStart w:id="41" w:name="_Toc3788"/>
      <w:bookmarkStart w:id="42" w:name="_Toc495652921"/>
      <w:bookmarkStart w:id="43" w:name="_Toc495585756"/>
      <w:bookmarkStart w:id="44" w:name="_Toc11746471"/>
      <w:bookmarkStart w:id="45" w:name="_Toc16977"/>
      <w:bookmarkStart w:id="46" w:name="_Toc25592"/>
      <w:bookmarkStart w:id="47" w:name="_Toc496775592"/>
      <w:bookmarkStart w:id="48" w:name="_Toc495492073"/>
      <w:bookmarkStart w:id="49" w:name="_Toc11591918"/>
      <w:r>
        <w:rPr>
          <w:rFonts w:hint="default" w:ascii="Times New Roman" w:hAnsi="Times New Roman" w:cs="Times New Roman"/>
          <w:b/>
          <w:bCs w:val="0"/>
          <w:kern w:val="0"/>
          <w:szCs w:val="28"/>
          <w:highlight w:val="none"/>
          <w:lang w:val="en-US" w:eastAsia="zh-CN"/>
        </w:rPr>
        <w:t>2.3.3标准规范</w:t>
      </w:r>
      <w:bookmarkEnd w:id="39"/>
      <w:bookmarkEnd w:id="40"/>
      <w:bookmarkEnd w:id="41"/>
      <w:bookmarkEnd w:id="42"/>
      <w:bookmarkEnd w:id="43"/>
      <w:bookmarkEnd w:id="44"/>
      <w:bookmarkEnd w:id="45"/>
      <w:bookmarkEnd w:id="46"/>
      <w:bookmarkEnd w:id="47"/>
      <w:bookmarkEnd w:id="48"/>
      <w:bookmarkEnd w:id="49"/>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a）《土地复垦方案编制规程第1部分：通则》（TD/T103.1-2011）；</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b）《土地复垦方案编制规程第6部分：建设项目》（TD/T103.6-2011）；</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c）《土地复垦质量控制标准》（TD/T1036-2013）；</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d）《国土空间调查、规划、用途管制用地用海分类指南》（自然资发〔2023〕234号）；</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e）《第三次全国国土调查技术规程》（TD/T1055-2019）；</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f）《水土保持综合治理技术规范》（GB/T16453-2008）；</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g）《水土保持综合治理规划通则》（GB/T15772-2008）；</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h）《开发建设项目水土保持方案技术规范》（GB50433-2008）；</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i）《生态环境状况评价技术规范》（HJ/T192-2015）；</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j）《财政部、国土资源部关于印发土地开发整理项目预算定额标准的通知》，财综〔2011〕128号；</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k）《生产项目土地复垦验收规程》（TD/T1044-2014）。</w:t>
      </w:r>
    </w:p>
    <w:p>
      <w:pPr>
        <w:pStyle w:val="5"/>
        <w:keepNext w:val="0"/>
        <w:keepLines w:val="0"/>
        <w:tabs>
          <w:tab w:val="left" w:pos="426"/>
        </w:tabs>
        <w:adjustRightInd w:val="0"/>
        <w:snapToGrid w:val="0"/>
        <w:spacing w:before="0" w:after="0" w:line="360" w:lineRule="auto"/>
        <w:ind w:firstLine="482" w:firstLineChars="200"/>
        <w:textAlignment w:val="baseline"/>
        <w:rPr>
          <w:rFonts w:hint="default" w:ascii="Times New Roman" w:hAnsi="Times New Roman" w:cs="Times New Roman"/>
          <w:b/>
          <w:bCs w:val="0"/>
          <w:kern w:val="0"/>
          <w:szCs w:val="28"/>
          <w:highlight w:val="none"/>
          <w:lang w:val="en-US" w:eastAsia="zh-CN"/>
        </w:rPr>
      </w:pPr>
      <w:bookmarkStart w:id="50" w:name="_Toc21087"/>
      <w:bookmarkStart w:id="51" w:name="_Toc10400"/>
      <w:bookmarkStart w:id="52" w:name="_Toc22915"/>
      <w:bookmarkStart w:id="53" w:name="_Toc9531"/>
      <w:r>
        <w:rPr>
          <w:rFonts w:hint="default" w:ascii="Times New Roman" w:hAnsi="Times New Roman" w:cs="Times New Roman"/>
          <w:b/>
          <w:bCs w:val="0"/>
          <w:kern w:val="0"/>
          <w:szCs w:val="28"/>
          <w:highlight w:val="none"/>
          <w:lang w:val="en-US" w:eastAsia="zh-CN"/>
        </w:rPr>
        <w:t>2.3.4基础资料</w:t>
      </w:r>
      <w:bookmarkEnd w:id="50"/>
      <w:bookmarkEnd w:id="51"/>
      <w:bookmarkEnd w:id="52"/>
      <w:bookmarkEnd w:id="53"/>
    </w:p>
    <w:p>
      <w:pPr>
        <w:adjustRightInd w:val="0"/>
        <w:snapToGrid w:val="0"/>
        <w:spacing w:after="0" w:line="360" w:lineRule="auto"/>
        <w:ind w:firstLine="484" w:firstLineChars="200"/>
        <w:jc w:val="both"/>
        <w:rPr>
          <w:rFonts w:hint="default" w:ascii="Times New Roman" w:hAnsi="Times New Roman" w:eastAsia="仿宋" w:cs="Times New Roman"/>
          <w:color w:val="000000" w:themeColor="text1"/>
          <w:sz w:val="24"/>
          <w:szCs w:val="24"/>
          <w:highlight w:val="none"/>
          <w:u w:color="000000" w:themeColor="text1"/>
          <w:lang w:eastAsia="zh-CN"/>
          <w14:textFill>
            <w14:solidFill>
              <w14:schemeClr w14:val="tx1"/>
            </w14:solidFill>
          </w14:textFill>
        </w:rPr>
      </w:pPr>
      <w:r>
        <w:rPr>
          <w:rFonts w:hint="default" w:ascii="Times New Roman" w:hAnsi="Times New Roman" w:eastAsia="仿宋" w:cs="Times New Roman"/>
          <w:color w:val="000000" w:themeColor="text1"/>
          <w:spacing w:val="1"/>
          <w:position w:val="-1"/>
          <w:sz w:val="24"/>
          <w:szCs w:val="24"/>
          <w:highlight w:val="none"/>
          <w:u w:color="000000" w:themeColor="text1"/>
          <w:lang w:eastAsia="zh-CN"/>
          <w14:textFill>
            <w14:solidFill>
              <w14:schemeClr w14:val="tx1"/>
            </w14:solidFill>
          </w14:textFill>
        </w:rPr>
        <w:t>a）</w:t>
      </w:r>
      <w:r>
        <w:rPr>
          <w:rFonts w:hint="default" w:ascii="Times New Roman" w:hAnsi="Times New Roman" w:eastAsia="仿宋" w:cs="Times New Roman"/>
          <w:color w:val="000000" w:themeColor="text1"/>
          <w:spacing w:val="1"/>
          <w:position w:val="-1"/>
          <w:sz w:val="24"/>
          <w:szCs w:val="24"/>
          <w:highlight w:val="none"/>
          <w:u w:color="000000" w:themeColor="text1"/>
          <w:lang w:val="en-US" w:eastAsia="zh-CN"/>
          <w14:textFill>
            <w14:solidFill>
              <w14:schemeClr w14:val="tx1"/>
            </w14:solidFill>
          </w14:textFill>
        </w:rPr>
        <w:t>《G219线岳普湖-英吉沙公路建设项目两阶段初步设计</w:t>
      </w:r>
      <w:r>
        <w:rPr>
          <w:rFonts w:hint="default" w:ascii="Times New Roman" w:hAnsi="Times New Roman" w:eastAsia="仿宋" w:cs="Times New Roman"/>
          <w:color w:val="000000" w:themeColor="text1"/>
          <w:sz w:val="24"/>
          <w:szCs w:val="24"/>
          <w:highlight w:val="none"/>
          <w:u w:color="000000" w:themeColor="text1"/>
          <w:lang w:eastAsia="zh-CN"/>
          <w14:textFill>
            <w14:solidFill>
              <w14:schemeClr w14:val="tx1"/>
            </w14:solidFill>
          </w14:textFill>
        </w:rPr>
        <w:t>》；</w:t>
      </w:r>
    </w:p>
    <w:p>
      <w:pPr>
        <w:adjustRightInd w:val="0"/>
        <w:snapToGrid w:val="0"/>
        <w:spacing w:after="0" w:line="360" w:lineRule="auto"/>
        <w:ind w:firstLine="480" w:firstLineChars="200"/>
        <w:jc w:val="both"/>
        <w:rPr>
          <w:rFonts w:hint="default" w:ascii="Times New Roman" w:hAnsi="Times New Roman" w:eastAsia="仿宋" w:cs="Times New Roman"/>
          <w:color w:val="000000" w:themeColor="text1"/>
          <w:sz w:val="24"/>
          <w:szCs w:val="24"/>
          <w:highlight w:val="none"/>
          <w:u w:color="000000" w:themeColor="text1"/>
          <w:lang w:eastAsia="zh-CN"/>
          <w14:textFill>
            <w14:solidFill>
              <w14:schemeClr w14:val="tx1"/>
            </w14:solidFill>
          </w14:textFill>
        </w:rPr>
      </w:pPr>
      <w:r>
        <w:rPr>
          <w:rFonts w:hint="default" w:ascii="Times New Roman" w:hAnsi="Times New Roman" w:eastAsia="仿宋" w:cs="Times New Roman"/>
          <w:color w:val="000000" w:themeColor="text1"/>
          <w:sz w:val="24"/>
          <w:szCs w:val="24"/>
          <w:highlight w:val="none"/>
          <w:u w:color="000000" w:themeColor="text1"/>
          <w:lang w:val="en-US" w:eastAsia="zh-CN"/>
          <w14:textFill>
            <w14:solidFill>
              <w14:schemeClr w14:val="tx1"/>
            </w14:solidFill>
          </w14:textFill>
        </w:rPr>
        <w:t>b</w:t>
      </w:r>
      <w:r>
        <w:rPr>
          <w:rFonts w:hint="default" w:ascii="Times New Roman" w:hAnsi="Times New Roman" w:eastAsia="仿宋" w:cs="Times New Roman"/>
          <w:color w:val="000000" w:themeColor="text1"/>
          <w:sz w:val="24"/>
          <w:szCs w:val="24"/>
          <w:highlight w:val="none"/>
          <w:u w:color="000000" w:themeColor="text1"/>
          <w:lang w:eastAsia="zh-CN"/>
          <w14:textFill>
            <w14:solidFill>
              <w14:schemeClr w14:val="tx1"/>
            </w14:solidFill>
          </w14:textFill>
        </w:rPr>
        <w:t>）《新疆生态功能区划》（2005年）；</w:t>
      </w:r>
    </w:p>
    <w:p>
      <w:pPr>
        <w:adjustRightInd w:val="0"/>
        <w:snapToGrid w:val="0"/>
        <w:spacing w:after="0" w:line="360" w:lineRule="auto"/>
        <w:ind w:firstLine="480" w:firstLineChars="200"/>
        <w:jc w:val="both"/>
        <w:rPr>
          <w:rFonts w:hint="default" w:ascii="Times New Roman" w:hAnsi="Times New Roman" w:eastAsia="仿宋" w:cs="Times New Roman"/>
          <w:color w:val="000000" w:themeColor="text1"/>
          <w:sz w:val="24"/>
          <w:szCs w:val="24"/>
          <w:highlight w:val="none"/>
          <w:u w:color="000000" w:themeColor="text1"/>
          <w:lang w:eastAsia="zh-CN"/>
          <w14:textFill>
            <w14:solidFill>
              <w14:schemeClr w14:val="tx1"/>
            </w14:solidFill>
          </w14:textFill>
        </w:rPr>
      </w:pPr>
      <w:r>
        <w:rPr>
          <w:rFonts w:hint="default" w:ascii="Times New Roman" w:hAnsi="Times New Roman" w:eastAsia="仿宋" w:cs="Times New Roman"/>
          <w:color w:val="000000" w:themeColor="text1"/>
          <w:sz w:val="24"/>
          <w:szCs w:val="24"/>
          <w:highlight w:val="none"/>
          <w:u w:color="000000" w:themeColor="text1"/>
          <w:lang w:val="en-US" w:eastAsia="zh-CN"/>
          <w14:textFill>
            <w14:solidFill>
              <w14:schemeClr w14:val="tx1"/>
            </w14:solidFill>
          </w14:textFill>
        </w:rPr>
        <w:t>c</w:t>
      </w:r>
      <w:r>
        <w:rPr>
          <w:rFonts w:hint="default" w:ascii="Times New Roman" w:hAnsi="Times New Roman" w:eastAsia="仿宋" w:cs="Times New Roman"/>
          <w:color w:val="000000" w:themeColor="text1"/>
          <w:sz w:val="24"/>
          <w:szCs w:val="24"/>
          <w:highlight w:val="none"/>
          <w:u w:color="000000" w:themeColor="text1"/>
          <w:lang w:eastAsia="zh-CN"/>
          <w14:textFill>
            <w14:solidFill>
              <w14:schemeClr w14:val="tx1"/>
            </w14:solidFill>
          </w14:textFill>
        </w:rPr>
        <w:t>）</w:t>
      </w:r>
      <w:r>
        <w:rPr>
          <w:rFonts w:hint="eastAsia" w:ascii="Times New Roman" w:hAnsi="Times New Roman" w:eastAsia="仿宋" w:cs="Times New Roman"/>
          <w:color w:val="000000" w:themeColor="text1"/>
          <w:sz w:val="24"/>
          <w:szCs w:val="24"/>
          <w:highlight w:val="none"/>
          <w:u w:color="000000" w:themeColor="text1"/>
          <w:lang w:eastAsia="zh-CN"/>
          <w14:textFill>
            <w14:solidFill>
              <w14:schemeClr w14:val="tx1"/>
            </w14:solidFill>
          </w14:textFill>
        </w:rPr>
        <w:t>疏勒县</w:t>
      </w:r>
      <w:r>
        <w:rPr>
          <w:rFonts w:hint="default" w:ascii="Times New Roman" w:hAnsi="Times New Roman" w:eastAsia="仿宋" w:cs="Times New Roman"/>
          <w:color w:val="000000" w:themeColor="text1"/>
          <w:sz w:val="24"/>
          <w:szCs w:val="24"/>
          <w:highlight w:val="none"/>
          <w:u w:color="000000" w:themeColor="text1"/>
          <w:lang w:eastAsia="zh-CN"/>
          <w14:textFill>
            <w14:solidFill>
              <w14:schemeClr w14:val="tx1"/>
            </w14:solidFill>
          </w14:textFill>
        </w:rPr>
        <w:t>2019年-2021年国民经济和社会发展统计公报；</w:t>
      </w:r>
    </w:p>
    <w:p>
      <w:pPr>
        <w:adjustRightInd w:val="0"/>
        <w:snapToGrid w:val="0"/>
        <w:spacing w:after="0" w:line="360" w:lineRule="auto"/>
        <w:ind w:firstLine="480" w:firstLineChars="200"/>
        <w:jc w:val="both"/>
        <w:rPr>
          <w:rFonts w:hint="default" w:ascii="Times New Roman" w:hAnsi="Times New Roman" w:eastAsia="仿宋" w:cs="Times New Roman"/>
          <w:color w:val="000000" w:themeColor="text1"/>
          <w:sz w:val="24"/>
          <w:szCs w:val="24"/>
          <w:highlight w:val="none"/>
          <w:u w:color="000000" w:themeColor="text1"/>
          <w:lang w:eastAsia="zh-CN"/>
          <w14:textFill>
            <w14:solidFill>
              <w14:schemeClr w14:val="tx1"/>
            </w14:solidFill>
          </w14:textFill>
        </w:rPr>
      </w:pPr>
      <w:r>
        <w:rPr>
          <w:rFonts w:hint="default" w:ascii="Times New Roman" w:hAnsi="Times New Roman" w:eastAsia="仿宋" w:cs="Times New Roman"/>
          <w:color w:val="000000" w:themeColor="text1"/>
          <w:sz w:val="24"/>
          <w:szCs w:val="24"/>
          <w:highlight w:val="none"/>
          <w:u w:color="000000" w:themeColor="text1"/>
          <w:lang w:val="en-US" w:eastAsia="zh-CN"/>
          <w14:textFill>
            <w14:solidFill>
              <w14:schemeClr w14:val="tx1"/>
            </w14:solidFill>
          </w14:textFill>
        </w:rPr>
        <w:t>d</w:t>
      </w:r>
      <w:r>
        <w:rPr>
          <w:rFonts w:hint="default" w:ascii="Times New Roman" w:hAnsi="Times New Roman" w:eastAsia="仿宋" w:cs="Times New Roman"/>
          <w:color w:val="000000" w:themeColor="text1"/>
          <w:sz w:val="24"/>
          <w:szCs w:val="24"/>
          <w:highlight w:val="none"/>
          <w:u w:color="000000" w:themeColor="text1"/>
          <w:lang w:eastAsia="zh-CN"/>
          <w14:textFill>
            <w14:solidFill>
              <w14:schemeClr w14:val="tx1"/>
            </w14:solidFill>
          </w14:textFill>
        </w:rPr>
        <w:t>）</w:t>
      </w:r>
      <w:r>
        <w:rPr>
          <w:rFonts w:hint="eastAsia" w:ascii="Times New Roman" w:hAnsi="Times New Roman" w:eastAsia="仿宋" w:cs="Times New Roman"/>
          <w:color w:val="000000" w:themeColor="text1"/>
          <w:sz w:val="24"/>
          <w:szCs w:val="24"/>
          <w:highlight w:val="none"/>
          <w:u w:color="000000" w:themeColor="text1"/>
          <w:lang w:eastAsia="zh-CN"/>
          <w14:textFill>
            <w14:solidFill>
              <w14:schemeClr w14:val="tx1"/>
            </w14:solidFill>
          </w14:textFill>
        </w:rPr>
        <w:t>疏勒县</w:t>
      </w:r>
      <w:r>
        <w:rPr>
          <w:rFonts w:hint="default" w:ascii="Times New Roman" w:hAnsi="Times New Roman" w:eastAsia="仿宋" w:cs="Times New Roman"/>
          <w:color w:val="000000" w:themeColor="text1"/>
          <w:sz w:val="24"/>
          <w:szCs w:val="24"/>
          <w:highlight w:val="none"/>
          <w:u w:color="000000" w:themeColor="text1"/>
          <w:lang w:eastAsia="zh-CN"/>
          <w14:textFill>
            <w14:solidFill>
              <w14:schemeClr w14:val="tx1"/>
            </w14:solidFill>
          </w14:textFill>
        </w:rPr>
        <w:t>202</w:t>
      </w:r>
      <w:r>
        <w:rPr>
          <w:rFonts w:hint="eastAsia" w:ascii="Times New Roman" w:hAnsi="Times New Roman" w:eastAsia="仿宋" w:cs="Times New Roman"/>
          <w:color w:val="000000" w:themeColor="text1"/>
          <w:sz w:val="24"/>
          <w:szCs w:val="24"/>
          <w:highlight w:val="none"/>
          <w:u w:color="000000" w:themeColor="text1"/>
          <w:lang w:val="en-US" w:eastAsia="zh-CN"/>
          <w14:textFill>
            <w14:solidFill>
              <w14:schemeClr w14:val="tx1"/>
            </w14:solidFill>
          </w14:textFill>
        </w:rPr>
        <w:t>2</w:t>
      </w:r>
      <w:r>
        <w:rPr>
          <w:rFonts w:hint="default" w:ascii="Times New Roman" w:hAnsi="Times New Roman" w:eastAsia="仿宋" w:cs="Times New Roman"/>
          <w:color w:val="000000" w:themeColor="text1"/>
          <w:sz w:val="24"/>
          <w:szCs w:val="24"/>
          <w:highlight w:val="none"/>
          <w:u w:color="000000" w:themeColor="text1"/>
          <w:lang w:eastAsia="zh-CN"/>
          <w14:textFill>
            <w14:solidFill>
              <w14:schemeClr w14:val="tx1"/>
            </w14:solidFill>
          </w14:textFill>
        </w:rPr>
        <w:t>年土地利用现状图；</w:t>
      </w:r>
    </w:p>
    <w:p>
      <w:pPr>
        <w:adjustRightInd w:val="0"/>
        <w:snapToGrid w:val="0"/>
        <w:spacing w:after="0" w:line="360" w:lineRule="auto"/>
        <w:ind w:firstLine="480" w:firstLineChars="200"/>
        <w:jc w:val="both"/>
        <w:rPr>
          <w:rFonts w:hint="default" w:ascii="Times New Roman" w:hAnsi="Times New Roman" w:eastAsia="仿宋" w:cs="Times New Roman"/>
          <w:color w:val="000000" w:themeColor="text1"/>
          <w:sz w:val="24"/>
          <w:szCs w:val="24"/>
          <w:highlight w:val="none"/>
          <w:u w:color="000000" w:themeColor="text1"/>
          <w:lang w:eastAsia="zh-CN"/>
          <w14:textFill>
            <w14:solidFill>
              <w14:schemeClr w14:val="tx1"/>
            </w14:solidFill>
          </w14:textFill>
        </w:rPr>
      </w:pPr>
      <w:r>
        <w:rPr>
          <w:rFonts w:hint="default" w:ascii="Times New Roman" w:hAnsi="Times New Roman" w:eastAsia="仿宋" w:cs="Times New Roman"/>
          <w:color w:val="000000" w:themeColor="text1"/>
          <w:sz w:val="24"/>
          <w:szCs w:val="24"/>
          <w:highlight w:val="none"/>
          <w:u w:color="000000" w:themeColor="text1"/>
          <w:lang w:val="en-US" w:eastAsia="zh-CN"/>
          <w14:textFill>
            <w14:solidFill>
              <w14:schemeClr w14:val="tx1"/>
            </w14:solidFill>
          </w14:textFill>
        </w:rPr>
        <w:t>e</w:t>
      </w:r>
      <w:r>
        <w:rPr>
          <w:rFonts w:hint="default" w:ascii="Times New Roman" w:hAnsi="Times New Roman" w:eastAsia="仿宋" w:cs="Times New Roman"/>
          <w:color w:val="000000" w:themeColor="text1"/>
          <w:sz w:val="24"/>
          <w:szCs w:val="24"/>
          <w:highlight w:val="none"/>
          <w:u w:color="000000" w:themeColor="text1"/>
          <w:lang w:eastAsia="zh-CN"/>
          <w14:textFill>
            <w14:solidFill>
              <w14:schemeClr w14:val="tx1"/>
            </w14:solidFill>
          </w14:textFill>
        </w:rPr>
        <w:t>）项目区土地损毁现状实地踏勘及相关照片等资料。</w:t>
      </w:r>
    </w:p>
    <w:bookmarkEnd w:id="23"/>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color w:val="auto"/>
          <w:highlight w:val="none"/>
          <w:lang w:val="en-US" w:eastAsia="zh-CN"/>
        </w:rPr>
      </w:pPr>
      <w:bookmarkStart w:id="54" w:name="_Toc20174"/>
      <w:r>
        <w:rPr>
          <w:rFonts w:hint="default" w:ascii="Times New Roman" w:hAnsi="Times New Roman" w:cs="Times New Roman"/>
          <w:color w:val="auto"/>
          <w:highlight w:val="none"/>
          <w:lang w:val="en-US" w:eastAsia="zh-CN"/>
        </w:rPr>
        <w:t>2.4项目简介</w:t>
      </w:r>
      <w:bookmarkEnd w:id="54"/>
    </w:p>
    <w:p>
      <w:pPr>
        <w:adjustRightInd w:val="0"/>
        <w:snapToGrid w:val="0"/>
        <w:spacing w:after="0" w:line="360" w:lineRule="auto"/>
        <w:ind w:firstLine="484" w:firstLineChars="200"/>
        <w:jc w:val="both"/>
        <w:rPr>
          <w:rFonts w:hint="default" w:ascii="Times New Roman" w:hAnsi="Times New Roman" w:eastAsia="仿宋" w:cs="Times New Roman"/>
          <w:color w:val="000000" w:themeColor="text1"/>
          <w:spacing w:val="1"/>
          <w:position w:val="-1"/>
          <w:sz w:val="24"/>
          <w:szCs w:val="24"/>
          <w:highlight w:val="none"/>
          <w:u w:color="000000" w:themeColor="text1"/>
          <w:lang w:val="en-US" w:eastAsia="zh-CN"/>
          <w14:textFill>
            <w14:solidFill>
              <w14:schemeClr w14:val="tx1"/>
            </w14:solidFill>
          </w14:textFill>
        </w:rPr>
      </w:pPr>
      <w:r>
        <w:rPr>
          <w:rFonts w:hint="default" w:ascii="Times New Roman" w:hAnsi="Times New Roman" w:eastAsia="仿宋" w:cs="Times New Roman"/>
          <w:color w:val="000000" w:themeColor="text1"/>
          <w:spacing w:val="1"/>
          <w:position w:val="-1"/>
          <w:sz w:val="24"/>
          <w:szCs w:val="24"/>
          <w:highlight w:val="none"/>
          <w:u w:color="000000" w:themeColor="text1"/>
          <w:lang w:val="en-US" w:eastAsia="zh-CN"/>
          <w14:textFill>
            <w14:solidFill>
              <w14:schemeClr w14:val="tx1"/>
            </w14:solidFill>
          </w14:textFill>
        </w:rPr>
        <w:t>a）项目名称：G219线岳普湖-英吉沙公路建设项目；</w:t>
      </w:r>
    </w:p>
    <w:p>
      <w:pPr>
        <w:adjustRightInd w:val="0"/>
        <w:snapToGrid w:val="0"/>
        <w:spacing w:after="0" w:line="360" w:lineRule="auto"/>
        <w:ind w:firstLine="484" w:firstLineChars="200"/>
        <w:jc w:val="both"/>
        <w:rPr>
          <w:rFonts w:hint="default" w:ascii="Times New Roman" w:hAnsi="Times New Roman" w:eastAsia="仿宋" w:cs="Times New Roman"/>
          <w:color w:val="000000" w:themeColor="text1"/>
          <w:spacing w:val="1"/>
          <w:position w:val="-1"/>
          <w:sz w:val="24"/>
          <w:szCs w:val="24"/>
          <w:highlight w:val="none"/>
          <w:u w:color="000000" w:themeColor="text1"/>
          <w:lang w:val="en-US" w:eastAsia="zh-CN"/>
          <w14:textFill>
            <w14:solidFill>
              <w14:schemeClr w14:val="tx1"/>
            </w14:solidFill>
          </w14:textFill>
        </w:rPr>
      </w:pPr>
      <w:r>
        <w:rPr>
          <w:rFonts w:hint="default" w:ascii="Times New Roman" w:hAnsi="Times New Roman" w:eastAsia="仿宋" w:cs="Times New Roman"/>
          <w:color w:val="000000" w:themeColor="text1"/>
          <w:spacing w:val="1"/>
          <w:position w:val="-1"/>
          <w:sz w:val="24"/>
          <w:szCs w:val="24"/>
          <w:highlight w:val="none"/>
          <w:u w:color="000000" w:themeColor="text1"/>
          <w:lang w:val="en-US" w:eastAsia="zh-CN"/>
          <w14:textFill>
            <w14:solidFill>
              <w14:schemeClr w14:val="tx1"/>
            </w14:solidFill>
          </w14:textFill>
        </w:rPr>
        <w:t>b）工程类型：新建；</w:t>
      </w:r>
    </w:p>
    <w:p>
      <w:pPr>
        <w:adjustRightInd w:val="0"/>
        <w:snapToGrid w:val="0"/>
        <w:spacing w:after="0" w:line="360" w:lineRule="auto"/>
        <w:ind w:firstLine="484" w:firstLineChars="200"/>
        <w:jc w:val="both"/>
        <w:rPr>
          <w:rFonts w:hint="default" w:ascii="Times New Roman" w:hAnsi="Times New Roman" w:eastAsia="仿宋" w:cs="Times New Roman"/>
          <w:color w:val="000000" w:themeColor="text1"/>
          <w:spacing w:val="1"/>
          <w:position w:val="-1"/>
          <w:sz w:val="24"/>
          <w:szCs w:val="24"/>
          <w:highlight w:val="none"/>
          <w:u w:color="000000" w:themeColor="text1"/>
          <w:lang w:val="en-US" w:eastAsia="zh-CN"/>
          <w14:textFill>
            <w14:solidFill>
              <w14:schemeClr w14:val="tx1"/>
            </w14:solidFill>
          </w14:textFill>
        </w:rPr>
      </w:pPr>
      <w:r>
        <w:rPr>
          <w:rFonts w:hint="default" w:ascii="Times New Roman" w:hAnsi="Times New Roman" w:eastAsia="仿宋" w:cs="Times New Roman"/>
          <w:color w:val="000000" w:themeColor="text1"/>
          <w:spacing w:val="1"/>
          <w:position w:val="-1"/>
          <w:sz w:val="24"/>
          <w:szCs w:val="24"/>
          <w:highlight w:val="none"/>
          <w:u w:color="000000" w:themeColor="text1"/>
          <w:lang w:val="en-US" w:eastAsia="zh-CN"/>
          <w14:textFill>
            <w14:solidFill>
              <w14:schemeClr w14:val="tx1"/>
            </w14:solidFill>
          </w14:textFill>
        </w:rPr>
        <w:t>c）建设地点：本项目沿线经过主要有岳普湖县及境内的岳普湖乡、色也克乡、阿其克乡、疏勒县境内的阿拉甫乡、英吉沙县境内的芒辛乡、拓普鲁克乡、芒辛乡、兵团东风农场；</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d）项目主要建设内容：本项目全长为67.323Km，K0+000～K4+285采用一级公路技术标准，路基宽度为24.5m；K4+285～K67+323.1采用二级公路技术标准，一般路段路基宽度为12m。全线设计车速80km/h，本项目共设置大中桥502.16m/7座，小桥19.04m/1座，涵洞143道；分离式立交2座，平面交叉20处；收费站1处，养护工区1处。</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e）投资规模：本项目概算总金额为118809.0674万元，平均每公里造价1764.7619万元。其中建安费97770.3226万元，平均每公里1452.2574万元。土地使用及拆迁补偿费6477.994万元，工程建设其他费7095.858万元，预备费5567.2087万元，建设期贷款利息1897.6841万元。</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f）建设期限：</w:t>
      </w:r>
      <w:r>
        <w:rPr>
          <w:rFonts w:hint="eastAsia" w:ascii="Times New Roman" w:hAnsi="Times New Roman" w:eastAsia="仿宋" w:cs="Times New Roman"/>
          <w:color w:val="auto"/>
          <w:sz w:val="24"/>
          <w:szCs w:val="24"/>
          <w:highlight w:val="none"/>
          <w:lang w:val="en-US" w:eastAsia="zh-CN"/>
        </w:rPr>
        <w:t>2023年8月-2025年8月</w:t>
      </w:r>
      <w:r>
        <w:rPr>
          <w:rFonts w:hint="default" w:ascii="Times New Roman" w:hAnsi="Times New Roman" w:eastAsia="仿宋" w:cs="Times New Roman"/>
          <w:color w:val="auto"/>
          <w:sz w:val="24"/>
          <w:szCs w:val="24"/>
          <w:highlight w:val="none"/>
          <w:lang w:val="en-US" w:eastAsia="zh-CN"/>
        </w:rPr>
        <w:t>。</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color w:val="auto"/>
          <w:highlight w:val="none"/>
          <w:lang w:val="en-US" w:eastAsia="zh-CN"/>
        </w:rPr>
      </w:pPr>
      <w:bookmarkStart w:id="55" w:name="_Toc13650"/>
      <w:r>
        <w:rPr>
          <w:rFonts w:hint="default" w:ascii="Times New Roman" w:hAnsi="Times New Roman" w:cs="Times New Roman"/>
          <w:color w:val="auto"/>
          <w:highlight w:val="none"/>
          <w:lang w:val="en-US" w:eastAsia="zh-CN"/>
        </w:rPr>
        <w:t>2.5项目组成</w:t>
      </w:r>
      <w:bookmarkEnd w:id="55"/>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a）主要技术指标</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结合本项目沿线地形、地质及水文特点，设计采用的技术指标力求全段均衡、协调、连续，对工程量增加不大的局部路段，尽量采用较高技术指标。本项目K0+000～K4+285段采用一级公路、设计速度80km/h技术标准，路基宽度24.5m；K4+285～K67+323段采用二级公路、设计速度80km/h技术标准，路基宽度12.0m.全线路面采用沥青混凝土路面；桥涵与路基同宽，荷载标准</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采用公路-Ⅰ级，本项目初步设计阶段采用的技术标准与工可推荐的一致，其余标准都按部颁JTGB01-2014《公路工程技术标准》执行。</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（1）平面设计</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本项目推荐方案路线全长67.323km，共设28个平曲线交点，平均每公里交点数0.416个，路线增长系数1.111，平曲线总长29.63km，占路线全长的44.011％。平曲线最大半径7500m/2处，最小半径700m/1处，最大直线长度3941.057m。</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（2）纵断面设计</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本项目全线设置了60个变坡点，平均每公里变坡0.891次，竖曲线长度22.356km，占路线全长的33.207％。其中最大纵坡3.89％/1处，最短坡长143.1m/1处，最小竖曲线半径凸形8200m/1处，凹形5800m/1处。</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考虑后期全线提升改建为一级公路的可能性，路线平纵面指标满足一级公路100km/h设计速度技术标准。本项目采用的平、纵面指标见下表：</w:t>
      </w:r>
    </w:p>
    <w:p>
      <w:pPr>
        <w:pStyle w:val="43"/>
        <w:keepNext w:val="0"/>
        <w:keepLines w:val="0"/>
        <w:pageBreakBefore w:val="0"/>
        <w:widowControl/>
        <w:shd w:val="clear"/>
        <w:kinsoku/>
        <w:wordWrap/>
        <w:overflowPunct/>
        <w:topLinePunct w:val="0"/>
        <w:autoSpaceDE/>
        <w:autoSpaceDN/>
        <w:bidi w:val="0"/>
        <w:adjustRightInd/>
        <w:snapToGrid/>
        <w:spacing w:line="500" w:lineRule="exact"/>
        <w:ind w:firstLine="420"/>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表2-1 项目沿线气象要素表</w:t>
      </w:r>
    </w:p>
    <w:tbl>
      <w:tblPr>
        <w:tblStyle w:val="22"/>
        <w:tblW w:w="8519"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2548"/>
        <w:gridCol w:w="1207"/>
        <w:gridCol w:w="1742"/>
        <w:gridCol w:w="2170"/>
        <w:gridCol w:w="85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85" w:hRule="atLeast"/>
        </w:trPr>
        <w:tc>
          <w:tcPr>
            <w:tcW w:w="2548" w:type="dxa"/>
            <w:vMerge w:val="restart"/>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指标名称</w:t>
            </w:r>
          </w:p>
        </w:tc>
        <w:tc>
          <w:tcPr>
            <w:tcW w:w="1207" w:type="dxa"/>
            <w:vMerge w:val="restart"/>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单位</w:t>
            </w:r>
          </w:p>
        </w:tc>
        <w:tc>
          <w:tcPr>
            <w:tcW w:w="3912" w:type="dxa"/>
            <w:gridSpan w:val="2"/>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指标值</w:t>
            </w:r>
          </w:p>
        </w:tc>
        <w:tc>
          <w:tcPr>
            <w:tcW w:w="852" w:type="dxa"/>
            <w:vMerge w:val="restart"/>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30" w:hRule="atLeast"/>
        </w:trPr>
        <w:tc>
          <w:tcPr>
            <w:tcW w:w="2548" w:type="dxa"/>
            <w:vMerge w:val="continue"/>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p>
        </w:tc>
        <w:tc>
          <w:tcPr>
            <w:tcW w:w="1207" w:type="dxa"/>
            <w:vMerge w:val="continue"/>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p>
        </w:tc>
        <w:tc>
          <w:tcPr>
            <w:tcW w:w="1742"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K0+000~K4+285</w:t>
            </w:r>
          </w:p>
        </w:tc>
        <w:tc>
          <w:tcPr>
            <w:tcW w:w="2170"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K4+285至K67+323</w:t>
            </w:r>
          </w:p>
        </w:tc>
        <w:tc>
          <w:tcPr>
            <w:tcW w:w="852" w:type="dxa"/>
            <w:vMerge w:val="continue"/>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trPr>
        <w:tc>
          <w:tcPr>
            <w:tcW w:w="2548"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公路等级</w:t>
            </w:r>
          </w:p>
        </w:tc>
        <w:tc>
          <w:tcPr>
            <w:tcW w:w="1207"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w:t>
            </w:r>
          </w:p>
        </w:tc>
        <w:tc>
          <w:tcPr>
            <w:tcW w:w="1742"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一级</w:t>
            </w:r>
          </w:p>
        </w:tc>
        <w:tc>
          <w:tcPr>
            <w:tcW w:w="2170"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二级</w:t>
            </w:r>
          </w:p>
        </w:tc>
        <w:tc>
          <w:tcPr>
            <w:tcW w:w="852"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trPr>
        <w:tc>
          <w:tcPr>
            <w:tcW w:w="2548"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设计速度</w:t>
            </w:r>
          </w:p>
        </w:tc>
        <w:tc>
          <w:tcPr>
            <w:tcW w:w="1207"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Km/h</w:t>
            </w:r>
          </w:p>
        </w:tc>
        <w:tc>
          <w:tcPr>
            <w:tcW w:w="1742"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80</w:t>
            </w:r>
          </w:p>
        </w:tc>
        <w:tc>
          <w:tcPr>
            <w:tcW w:w="2170"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80</w:t>
            </w:r>
          </w:p>
        </w:tc>
        <w:tc>
          <w:tcPr>
            <w:tcW w:w="852"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trPr>
        <w:tc>
          <w:tcPr>
            <w:tcW w:w="2548"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路基宽度</w:t>
            </w:r>
          </w:p>
        </w:tc>
        <w:tc>
          <w:tcPr>
            <w:tcW w:w="1207"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米</w:t>
            </w:r>
          </w:p>
        </w:tc>
        <w:tc>
          <w:tcPr>
            <w:tcW w:w="1742"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24.5</w:t>
            </w:r>
          </w:p>
        </w:tc>
        <w:tc>
          <w:tcPr>
            <w:tcW w:w="2170"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12</w:t>
            </w:r>
          </w:p>
        </w:tc>
        <w:tc>
          <w:tcPr>
            <w:tcW w:w="852"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trPr>
        <w:tc>
          <w:tcPr>
            <w:tcW w:w="2548"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车道数</w:t>
            </w:r>
          </w:p>
        </w:tc>
        <w:tc>
          <w:tcPr>
            <w:tcW w:w="1207"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道</w:t>
            </w:r>
          </w:p>
        </w:tc>
        <w:tc>
          <w:tcPr>
            <w:tcW w:w="1742"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w:t>
            </w:r>
          </w:p>
        </w:tc>
        <w:tc>
          <w:tcPr>
            <w:tcW w:w="2170"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2</w:t>
            </w:r>
          </w:p>
        </w:tc>
        <w:tc>
          <w:tcPr>
            <w:tcW w:w="852"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trPr>
        <w:tc>
          <w:tcPr>
            <w:tcW w:w="2548"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行车道宽度</w:t>
            </w:r>
          </w:p>
        </w:tc>
        <w:tc>
          <w:tcPr>
            <w:tcW w:w="1207"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m</w:t>
            </w:r>
          </w:p>
        </w:tc>
        <w:tc>
          <w:tcPr>
            <w:tcW w:w="1742"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3.75</w:t>
            </w:r>
          </w:p>
        </w:tc>
        <w:tc>
          <w:tcPr>
            <w:tcW w:w="2170"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3.75</w:t>
            </w:r>
          </w:p>
        </w:tc>
        <w:tc>
          <w:tcPr>
            <w:tcW w:w="852"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trPr>
        <w:tc>
          <w:tcPr>
            <w:tcW w:w="2548"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圆曲线最小半径</w:t>
            </w:r>
          </w:p>
        </w:tc>
        <w:tc>
          <w:tcPr>
            <w:tcW w:w="1207"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m</w:t>
            </w:r>
          </w:p>
        </w:tc>
        <w:tc>
          <w:tcPr>
            <w:tcW w:w="1742"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700</w:t>
            </w:r>
          </w:p>
        </w:tc>
        <w:tc>
          <w:tcPr>
            <w:tcW w:w="2170"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800</w:t>
            </w:r>
          </w:p>
        </w:tc>
        <w:tc>
          <w:tcPr>
            <w:tcW w:w="852"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trPr>
        <w:tc>
          <w:tcPr>
            <w:tcW w:w="2548"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最大纵坡</w:t>
            </w:r>
          </w:p>
        </w:tc>
        <w:tc>
          <w:tcPr>
            <w:tcW w:w="1207"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w:t>
            </w:r>
          </w:p>
        </w:tc>
        <w:tc>
          <w:tcPr>
            <w:tcW w:w="1742"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0.5</w:t>
            </w:r>
          </w:p>
        </w:tc>
        <w:tc>
          <w:tcPr>
            <w:tcW w:w="2170"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3.89</w:t>
            </w:r>
          </w:p>
        </w:tc>
        <w:tc>
          <w:tcPr>
            <w:tcW w:w="852"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trPr>
        <w:tc>
          <w:tcPr>
            <w:tcW w:w="2548"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最小坡长</w:t>
            </w:r>
          </w:p>
        </w:tc>
        <w:tc>
          <w:tcPr>
            <w:tcW w:w="1207"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m</w:t>
            </w:r>
          </w:p>
        </w:tc>
        <w:tc>
          <w:tcPr>
            <w:tcW w:w="1742"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370</w:t>
            </w:r>
          </w:p>
        </w:tc>
        <w:tc>
          <w:tcPr>
            <w:tcW w:w="2170"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301.911</w:t>
            </w:r>
          </w:p>
        </w:tc>
        <w:tc>
          <w:tcPr>
            <w:tcW w:w="852"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trPr>
        <w:tc>
          <w:tcPr>
            <w:tcW w:w="2548"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凸型竖曲线最小半径</w:t>
            </w:r>
          </w:p>
        </w:tc>
        <w:tc>
          <w:tcPr>
            <w:tcW w:w="1207"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m</w:t>
            </w:r>
          </w:p>
        </w:tc>
        <w:tc>
          <w:tcPr>
            <w:tcW w:w="1742"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35000</w:t>
            </w:r>
          </w:p>
        </w:tc>
        <w:tc>
          <w:tcPr>
            <w:tcW w:w="2170"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8200</w:t>
            </w:r>
          </w:p>
        </w:tc>
        <w:tc>
          <w:tcPr>
            <w:tcW w:w="852"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trPr>
        <w:tc>
          <w:tcPr>
            <w:tcW w:w="2548"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凹型竖曲线最小半径</w:t>
            </w:r>
          </w:p>
        </w:tc>
        <w:tc>
          <w:tcPr>
            <w:tcW w:w="1207"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m</w:t>
            </w:r>
          </w:p>
        </w:tc>
        <w:tc>
          <w:tcPr>
            <w:tcW w:w="1742"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36000</w:t>
            </w:r>
          </w:p>
        </w:tc>
        <w:tc>
          <w:tcPr>
            <w:tcW w:w="2170"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5800</w:t>
            </w:r>
          </w:p>
        </w:tc>
        <w:tc>
          <w:tcPr>
            <w:tcW w:w="852"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00" w:hRule="atLeast"/>
        </w:trPr>
        <w:tc>
          <w:tcPr>
            <w:tcW w:w="2548"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停车视距</w:t>
            </w:r>
          </w:p>
        </w:tc>
        <w:tc>
          <w:tcPr>
            <w:tcW w:w="1207"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M</w:t>
            </w:r>
          </w:p>
        </w:tc>
        <w:tc>
          <w:tcPr>
            <w:tcW w:w="1742"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110</w:t>
            </w:r>
          </w:p>
        </w:tc>
        <w:tc>
          <w:tcPr>
            <w:tcW w:w="2170"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110</w:t>
            </w:r>
          </w:p>
        </w:tc>
        <w:tc>
          <w:tcPr>
            <w:tcW w:w="852"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p>
        </w:tc>
      </w:tr>
    </w:tbl>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b）</w:t>
      </w:r>
      <w:r>
        <w:rPr>
          <w:rFonts w:hint="default" w:ascii="Times New Roman" w:hAnsi="Times New Roman" w:eastAsia="仿宋" w:cs="Times New Roman"/>
          <w:color w:val="auto"/>
          <w:sz w:val="24"/>
          <w:szCs w:val="24"/>
          <w:highlight w:val="none"/>
          <w:lang w:val="en-US" w:eastAsia="zh-CN"/>
        </w:rPr>
        <w:t>主体工程</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（1）路基工程</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 xml:space="preserve">1）路基横断面 </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 xml:space="preserve">（1）K0+000～K4+285 段 </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 xml:space="preserve">路基宽度为 24.5m，其具体布置为：0.75m 土路肩+3.0m 硬路肩+2×3.75m 行车道+0.5m 左侧路缘带+1.0m 中央分隔带+0.5m 左侧路缘带+2×3.75m 行车道+3.0m 硬路肩+0.75m 土路肩。 </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 xml:space="preserve">（2）K4+285～K67+323.1 段 </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 xml:space="preserve">路基宽度为 12m，其具体布置为：0.75m 土路肩+1.5m 硬路肩+2×3.75m 行车道+1.5m 硬路肩+0.75m 土路肩。 </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2）路拱横坡</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本项目行车道和硬路肩路拱横坡采用双向1.5％，坡向外侧；土路肩横坡采用3％，坡向外侧。</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3）超高方式</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一级公路路段（设计车速80km/h）：对于半径小于2500m的平曲线，均进行超高处理。其超高方式为：绕中央分隔带边缘旋转。</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二级公路路段（设计车速80km/h）：对于半径小于2500m的平曲线，均进行超高处理。其超高方式为：绕行车道中心线旋转。</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为了避免路面出现滞水区，保证路面排水顺畅，超高渐变率不小于1/330。超高过渡仅在缓和曲线内进行，缓和曲线较长时，全超高断面设置在缓圆点或圆缓点出，硬路肩与行车道一起超高，横坡相同，外侧土路肩保持向外3%横坡不变，内侧土路肩在超高值不超过3%时保持3%的横坡，超高值超过3%时则采用超高值。曲线外侧土路肩始终以3%的横坡外倾。</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4）边坡坡率</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边坡设计中突出“安全、经济、环保、舒适”的设计理念，在安全的前提下，体现经济性与环保和舒适性的平衡统一，力求与周围景观相协调，避免没必要的大填大挖。</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路提边坡</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非沙漠路段：填方高度小于8.0m时，边坡坡率统一采用1:1.5；填方高度大于8.0m时，采用折线边坡，8.0m以上范围边坡坡率采用1：1.5，8.0m以下范围边坡坡率采用1.75；</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沙漠路段：沙漠路段填方高度较小，为避免积沙对行车安全影响，应尽可能减少阻沙设施的设置，使风沙流能顺利通过路基，边坡坡率统一采用1:3缓边坡。</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路堑边坡</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非沙漠路段：挖方边坡根据岩土类型、岩层产状、破碎、松散程度和边坡高度等确定。本项目区地形条件为平原微丘区，路堑段落较短且挖方深度较浅，根据沿线工程地质及水文地质条件，土质边坡坡率1：1，岩质边坡1：0.75，挖深每10m高设置一处2m宽挖方平台；</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沙漠路段：本项目局部经过沙丘路段，挖方边坡坡率统一采用1:4缓边坡，并在路基两侧设置4m宽积沙平台。</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5）用地范围</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本项目公路用地范围，路基填方为排水沟外1.0m；桥梁段以桥梁正投影外1m范围为公路用地界。</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（2）路面工程</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全线采用沥青混凝土路面，以双轮组单轴轴载100KN为设计轴载，一级公路设计使用年限为15年，二级公路设计使用年限为12年。路面设计采用双圆垂直均布荷载作用下的多层弹性连续体系理论。</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（3）桥梁及涵洞</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桥位选择一般服从路线总体走向，在有条件的情况下进行了桥位比较。桥梁进行了控制点坐标和高程测量，并按规范及规程要求进行了桥轴线测量、洪痕调查及测量。涵洞除现场进行位置、断面尺寸、水文方面的调查勘测外，还考虑了桥涵与农田水利设施及规划的配合，外业期间征求了有关规划、交通、水利等部门的意见，收集了相关资料，尽可能保持原有河道、排灌系统及道路等设施的完整性,并充分考虑了地方交通现有规划和长远发展的可能。</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桥涵主体结构设计使用年限：一级公路大中桥100年，小桥、涵洞50年，二级公路大桥100年、中桥50年，小桥、涵洞30年。</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一级公路段：无桥梁，涵洞与路基同宽；</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二级公路段：桥梁宽度12m=0.5m（防撞护栏)+11m（行车道)+0.5m（防撞护栏)；涵洞与路基同宽。</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（4）</w:t>
      </w:r>
      <w:r>
        <w:rPr>
          <w:rFonts w:hint="default" w:ascii="Times New Roman" w:hAnsi="Times New Roman" w:eastAsia="仿宋" w:cs="Times New Roman"/>
          <w:color w:val="auto"/>
          <w:sz w:val="24"/>
          <w:szCs w:val="24"/>
          <w:highlight w:val="none"/>
          <w:lang w:val="en-US" w:eastAsia="zh-CN"/>
        </w:rPr>
        <w:t xml:space="preserve">交通工程及沿线设施 </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本项目设置5处港湾式停靠站，分别位于K6+700、K15+900、K37+100、K51+200及K59+460处，港湾式停靠站为两侧设置</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本项目路线全长67.323km，拟设置1处开放式主线收费站，本项目沿既有G219线以东5～10公里布设，且距沿线乡镇较远。</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新建养护工区与阿拉甫收费站办公区合并设置，总占地面积22420m</w:t>
      </w:r>
      <w:r>
        <w:rPr>
          <w:rFonts w:hint="eastAsia" w:ascii="Times New Roman" w:hAnsi="Times New Roman" w:eastAsia="仿宋" w:cs="Times New Roman"/>
          <w:color w:val="auto"/>
          <w:sz w:val="24"/>
          <w:szCs w:val="24"/>
          <w:highlight w:val="none"/>
          <w:vertAlign w:val="superscript"/>
          <w:lang w:val="en-US" w:eastAsia="zh-CN"/>
        </w:rPr>
        <w:t>2</w:t>
      </w:r>
      <w:r>
        <w:rPr>
          <w:rFonts w:hint="eastAsia" w:ascii="Times New Roman" w:hAnsi="Times New Roman" w:eastAsia="仿宋" w:cs="Times New Roman"/>
          <w:color w:val="auto"/>
          <w:sz w:val="24"/>
          <w:szCs w:val="24"/>
          <w:highlight w:val="none"/>
          <w:lang w:val="en-US" w:eastAsia="zh-CN"/>
        </w:rPr>
        <w:t>，总建筑面积4089.58m</w:t>
      </w:r>
      <w:r>
        <w:rPr>
          <w:rFonts w:hint="eastAsia" w:ascii="Times New Roman" w:hAnsi="Times New Roman" w:eastAsia="仿宋" w:cs="Times New Roman"/>
          <w:color w:val="auto"/>
          <w:sz w:val="24"/>
          <w:szCs w:val="24"/>
          <w:highlight w:val="none"/>
          <w:vertAlign w:val="superscript"/>
          <w:lang w:val="en-US" w:eastAsia="zh-CN"/>
        </w:rPr>
        <w:t>2</w:t>
      </w:r>
      <w:r>
        <w:rPr>
          <w:rFonts w:hint="eastAsia" w:ascii="Times New Roman" w:hAnsi="Times New Roman" w:eastAsia="仿宋" w:cs="Times New Roman"/>
          <w:color w:val="auto"/>
          <w:sz w:val="24"/>
          <w:szCs w:val="24"/>
          <w:highlight w:val="none"/>
          <w:lang w:val="en-US" w:eastAsia="zh-CN"/>
        </w:rPr>
        <w:t>，绿地面积5894.68m</w:t>
      </w:r>
      <w:r>
        <w:rPr>
          <w:rFonts w:hint="eastAsia" w:ascii="Times New Roman" w:hAnsi="Times New Roman" w:eastAsia="仿宋" w:cs="Times New Roman"/>
          <w:color w:val="auto"/>
          <w:sz w:val="24"/>
          <w:szCs w:val="24"/>
          <w:highlight w:val="none"/>
          <w:vertAlign w:val="superscript"/>
          <w:lang w:val="en-US" w:eastAsia="zh-CN"/>
        </w:rPr>
        <w:t>2</w:t>
      </w:r>
      <w:r>
        <w:rPr>
          <w:rFonts w:hint="eastAsia" w:ascii="Times New Roman" w:hAnsi="Times New Roman" w:eastAsia="仿宋" w:cs="Times New Roman"/>
          <w:color w:val="auto"/>
          <w:sz w:val="24"/>
          <w:szCs w:val="24"/>
          <w:highlight w:val="none"/>
          <w:lang w:val="en-US" w:eastAsia="zh-CN"/>
        </w:rPr>
        <w:t>，场区混凝土地坪6206.01m</w:t>
      </w:r>
      <w:r>
        <w:rPr>
          <w:rFonts w:hint="eastAsia" w:ascii="Times New Roman" w:hAnsi="Times New Roman" w:eastAsia="仿宋" w:cs="Times New Roman"/>
          <w:color w:val="auto"/>
          <w:sz w:val="24"/>
          <w:szCs w:val="24"/>
          <w:highlight w:val="none"/>
          <w:vertAlign w:val="superscript"/>
          <w:lang w:val="en-US" w:eastAsia="zh-CN"/>
        </w:rPr>
        <w:t>2</w:t>
      </w:r>
      <w:r>
        <w:rPr>
          <w:rFonts w:hint="eastAsia" w:ascii="Times New Roman" w:hAnsi="Times New Roman" w:eastAsia="仿宋" w:cs="Times New Roman"/>
          <w:color w:val="auto"/>
          <w:sz w:val="24"/>
          <w:szCs w:val="24"/>
          <w:highlight w:val="none"/>
          <w:lang w:val="en-US" w:eastAsia="zh-CN"/>
        </w:rPr>
        <w:t>。</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c</w:t>
      </w:r>
      <w:r>
        <w:rPr>
          <w:rFonts w:hint="default" w:ascii="Times New Roman" w:hAnsi="Times New Roman" w:eastAsia="仿宋" w:cs="Times New Roman"/>
          <w:color w:val="auto"/>
          <w:sz w:val="24"/>
          <w:szCs w:val="24"/>
          <w:highlight w:val="none"/>
          <w:lang w:val="en-US" w:eastAsia="zh-CN"/>
        </w:rPr>
        <w:t>）临时工程</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根据项目实施方案等基础资料的统计和分析，结合实地调查情况，本项目疏勒县临时工程为施工便道压占造成的土地损毁，项目区设置施工便道总面积</w:t>
      </w:r>
      <w:r>
        <w:rPr>
          <w:rFonts w:hint="eastAsia" w:ascii="Times New Roman" w:hAnsi="Times New Roman" w:eastAsia="仿宋" w:cs="Times New Roman"/>
          <w:color w:val="auto"/>
          <w:sz w:val="24"/>
          <w:szCs w:val="24"/>
          <w:highlight w:val="none"/>
          <w:lang w:val="en-US" w:eastAsia="zh-CN"/>
        </w:rPr>
        <w:t>2.4296</w:t>
      </w:r>
      <w:r>
        <w:rPr>
          <w:rFonts w:hint="default" w:ascii="Times New Roman" w:hAnsi="Times New Roman" w:eastAsia="仿宋" w:cs="Times New Roman"/>
          <w:color w:val="auto"/>
          <w:sz w:val="24"/>
          <w:szCs w:val="24"/>
          <w:highlight w:val="none"/>
          <w:lang w:val="en-US" w:eastAsia="zh-CN"/>
        </w:rPr>
        <w:t>公顷，</w:t>
      </w:r>
      <w:r>
        <w:rPr>
          <w:rFonts w:hint="eastAsia" w:ascii="Times New Roman" w:hAnsi="Times New Roman" w:eastAsia="仿宋" w:cs="Times New Roman"/>
          <w:color w:val="auto"/>
          <w:sz w:val="24"/>
          <w:szCs w:val="24"/>
          <w:highlight w:val="none"/>
          <w:lang w:val="en-US" w:eastAsia="zh-CN"/>
        </w:rPr>
        <w:t>全部为沙地</w:t>
      </w:r>
      <w:r>
        <w:rPr>
          <w:rFonts w:hint="default" w:ascii="Times New Roman" w:hAnsi="Times New Roman" w:eastAsia="仿宋" w:cs="Times New Roman"/>
          <w:color w:val="auto"/>
          <w:sz w:val="24"/>
          <w:szCs w:val="24"/>
          <w:highlight w:val="none"/>
          <w:lang w:val="en-US" w:eastAsia="zh-CN"/>
        </w:rPr>
        <w:t>。对施工便道使用15厘米戈壁料进行场地硬化，待项目主体工程施工结束后拆除机械设施、拆除硬化，并对场地进行清理、平整。</w:t>
      </w:r>
    </w:p>
    <w:p>
      <w:pPr>
        <w:rPr>
          <w:rFonts w:hint="default" w:ascii="Times New Roman" w:hAnsi="Times New Roman" w:cs="Times New Roman"/>
          <w:color w:val="auto"/>
          <w:highlight w:val="none"/>
          <w:lang w:val="en-US" w:eastAsia="zh-CN"/>
        </w:rPr>
      </w:pPr>
      <w:bookmarkStart w:id="56" w:name="_Toc23617"/>
      <w:r>
        <w:rPr>
          <w:rFonts w:hint="default" w:ascii="Times New Roman" w:hAnsi="Times New Roman" w:cs="Times New Roman"/>
          <w:color w:val="auto"/>
          <w:highlight w:val="none"/>
          <w:lang w:val="en-US" w:eastAsia="zh-CN"/>
        </w:rPr>
        <w:br w:type="page"/>
      </w:r>
    </w:p>
    <w:p>
      <w:pPr>
        <w:pStyle w:val="3"/>
        <w:rPr>
          <w:rFonts w:hint="default" w:ascii="Times New Roman" w:hAnsi="Times New Roman" w:cs="Times New Roman"/>
          <w:color w:val="auto"/>
          <w:highlight w:val="none"/>
          <w:lang w:val="en-US" w:eastAsia="zh-CN"/>
        </w:rPr>
      </w:pPr>
      <w:bookmarkStart w:id="57" w:name="_Toc2429"/>
      <w:r>
        <w:rPr>
          <w:rFonts w:hint="eastAsia" w:cs="Times New Roman"/>
          <w:color w:val="auto"/>
          <w:highlight w:val="none"/>
          <w:lang w:val="en-US" w:eastAsia="zh-CN"/>
        </w:rPr>
        <w:t>3</w:t>
      </w:r>
      <w:r>
        <w:rPr>
          <w:rFonts w:hint="default" w:ascii="Times New Roman" w:hAnsi="Times New Roman" w:cs="Times New Roman"/>
          <w:color w:val="auto"/>
          <w:highlight w:val="none"/>
          <w:lang w:val="en-US" w:eastAsia="zh-CN"/>
        </w:rPr>
        <w:t>项目区概况</w:t>
      </w:r>
      <w:bookmarkEnd w:id="56"/>
      <w:bookmarkEnd w:id="57"/>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本项目位于新疆维吾尔自治区喀什地区东南部，昆仑山山脉东麓，塔克拉玛干沙漠西缘的岳普湖县、疏勒县及英吉沙县境内，路线起点位于G219岳普湖县过境段改线工程与S310交叉口处，向南前行至林场后继续向南，穿越疏勒县荒漠区，在英吉沙境内下穿喀和铁路，上跨吐和高速后，于东风农场东侧X477与G219线交叉路口北2km处到达终点。路线总体呈东南-西北走向，路线全长67.323公里。</w:t>
      </w:r>
    </w:p>
    <w:p>
      <w:pPr>
        <w:bidi w:val="0"/>
      </w:pPr>
    </w:p>
    <w:p>
      <w:pPr>
        <w:pStyle w:val="43"/>
        <w:shd w:val="clear"/>
        <w:ind w:firstLine="420"/>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rPr>
        <w:t>图3</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1</w:t>
      </w:r>
      <w:r>
        <w:rPr>
          <w:rFonts w:hint="eastAsia" w:ascii="Times New Roman" w:hAnsi="Times New Roman" w:cs="Times New Roman"/>
          <w:color w:val="auto"/>
          <w:sz w:val="21"/>
          <w:szCs w:val="21"/>
          <w:highlight w:val="none"/>
          <w:lang w:val="en-US" w:eastAsia="zh-CN"/>
        </w:rPr>
        <w:t xml:space="preserve"> </w:t>
      </w:r>
      <w:r>
        <w:rPr>
          <w:rFonts w:hint="eastAsia" w:ascii="Times New Roman" w:hAnsi="Times New Roman" w:cs="Times New Roman"/>
          <w:color w:val="auto"/>
          <w:sz w:val="21"/>
          <w:szCs w:val="21"/>
          <w:highlight w:val="none"/>
        </w:rPr>
        <w:t>工程区地理位置图</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color w:val="auto"/>
          <w:highlight w:val="none"/>
          <w:lang w:val="en-US" w:eastAsia="zh-CN"/>
        </w:rPr>
      </w:pPr>
      <w:bookmarkStart w:id="58" w:name="_Toc8584"/>
      <w:r>
        <w:rPr>
          <w:rFonts w:hint="default" w:ascii="Times New Roman" w:hAnsi="Times New Roman" w:cs="Times New Roman"/>
          <w:color w:val="auto"/>
          <w:highlight w:val="none"/>
          <w:lang w:val="en-US" w:eastAsia="zh-CN"/>
        </w:rPr>
        <w:t>3.1地形地貌</w:t>
      </w:r>
      <w:bookmarkEnd w:id="58"/>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本项目处于岳普湖西南部和英吉沙东南地区。岳普湖县属于喀什冲积扇平原的前端，地形南北向起伏较大，坡降较小；东西向坡降较大，为1/1000～1/4000；四周稍高，中部平坦，宛如一口向东斜放的平底锅。海拔相对高差较小。英吉沙县地貌可分为平原、丘陵、沟地及水面四个类型，平原又可分为山麓平原、冲洪积平原和沙漠平原。绿洲平原占全县面积的8%，水面占0.38%，荒地占17.56%，山地、戈壁、沙漠占74.06%。</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本项目线路经过区域地形地貌依如下：</w:t>
      </w:r>
    </w:p>
    <w:p>
      <w:pPr>
        <w:spacing w:line="360" w:lineRule="auto"/>
        <w:ind w:firstLine="482" w:firstLineChars="200"/>
        <w:rPr>
          <w:rFonts w:hint="eastAsia" w:ascii="Times New Roman" w:hAnsi="Times New Roman" w:eastAsia="仿宋" w:cs="Times New Roman"/>
          <w:b/>
          <w:bCs/>
          <w:color w:val="auto"/>
          <w:sz w:val="24"/>
          <w:szCs w:val="24"/>
          <w:highlight w:val="none"/>
          <w:lang w:val="en-US" w:eastAsia="zh-CN"/>
        </w:rPr>
      </w:pPr>
      <w:r>
        <w:rPr>
          <w:rFonts w:hint="eastAsia" w:ascii="Times New Roman" w:hAnsi="Times New Roman" w:eastAsia="仿宋" w:cs="Times New Roman"/>
          <w:b/>
          <w:bCs/>
          <w:color w:val="auto"/>
          <w:sz w:val="24"/>
          <w:szCs w:val="24"/>
          <w:highlight w:val="none"/>
          <w:lang w:val="en-US" w:eastAsia="zh-CN"/>
        </w:rPr>
        <w:t>1.冲洪积平原</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（1）喀什冲积扇平原前端</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分布在K0+000～K37+800，K47+390～K50+360，AK34+110～AK40+500，AK42+500～AK44+480，AK45+120～AK45+460，AK46+480～AK49+250，AK52+100～AK53+800，AK55+300～AK58+360段，主要在岳普湖</w:t>
      </w:r>
      <w:bookmarkStart w:id="293" w:name="_GoBack"/>
      <w:bookmarkEnd w:id="293"/>
      <w:r>
        <w:rPr>
          <w:rFonts w:hint="eastAsia" w:ascii="Times New Roman" w:hAnsi="Times New Roman" w:eastAsia="仿宋" w:cs="Times New Roman"/>
          <w:color w:val="auto"/>
          <w:sz w:val="24"/>
          <w:szCs w:val="24"/>
          <w:highlight w:val="none"/>
          <w:lang w:val="en-US" w:eastAsia="zh-CN"/>
        </w:rPr>
        <w:t>县境内，地势平坦，开阔，南北向起伏较缓，东西向由1/1000过度1/4000，地表主要以农田和荒滩为主，农田区植被主要以棉花、小麦、林地为主，田间地头灌溉沟渠分布，地基土以种植土、粉质黏土、粉土和粉细砂为主。荒滩区表层植被茂盛，地表盐化现象明显，局部小型冲沟发育，断续分布风积固定小沙丘，地基土以砂类土为主。</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（2）山前冲洪积平原区</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分布在K53+630～K55+550段，主要在英吉沙县境内，为库山河冲积平原，位于喀腊克山北</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部，地形狭长，但地势平坦，地形坡降0.3-10‰，由西南向东北微倾斜。潜水埋藏深度多在4m</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以下，表层覆盖含砾粉土，地层主要以灰褐色细砂为主，夹砾石。</w:t>
      </w:r>
    </w:p>
    <w:p>
      <w:pPr>
        <w:spacing w:line="360" w:lineRule="auto"/>
        <w:ind w:firstLine="482" w:firstLineChars="200"/>
        <w:rPr>
          <w:rFonts w:hint="eastAsia" w:ascii="Times New Roman" w:hAnsi="Times New Roman" w:eastAsia="仿宋" w:cs="Times New Roman"/>
          <w:b/>
          <w:bCs/>
          <w:color w:val="auto"/>
          <w:sz w:val="24"/>
          <w:szCs w:val="24"/>
          <w:highlight w:val="none"/>
          <w:lang w:val="en-US" w:eastAsia="zh-CN"/>
        </w:rPr>
      </w:pPr>
      <w:r>
        <w:rPr>
          <w:rFonts w:hint="eastAsia" w:ascii="Times New Roman" w:hAnsi="Times New Roman" w:eastAsia="仿宋" w:cs="Times New Roman"/>
          <w:b/>
          <w:bCs/>
          <w:color w:val="auto"/>
          <w:sz w:val="24"/>
          <w:szCs w:val="24"/>
          <w:highlight w:val="none"/>
          <w:lang w:val="en-US" w:eastAsia="zh-CN"/>
        </w:rPr>
        <w:t>2.风积沙丘区</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主要分布在K37+800～K47+390、K50+360～K53+930，AK40+500～AK42+500，AK44+480～AK45+120，AK45+460～AK46+480，AK49+250～AK52+100，AK53+800～AK55+300，AK58+360～AK58+757段，位于英吉沙县境内，海拔高度1208－1262m。为固定-半固定-流动沙丘，固定沙丘多分布在农田边缘，沙丘呈断续状椭圆形包，高1-3.5m，植被生长茂盛；半固定-流动沙丘多呈新月形、连续分布，沙丘高一般为3～10m，沙漠向WN向流动，沙丘中下部生长有少量芦苇、红柳等植物，沙丘之间有泥壳层覆盖，白色盐质晶体析出。地基土主要为粉细砂，灰黄色，厚度大于4m。</w:t>
      </w:r>
    </w:p>
    <w:p>
      <w:pPr>
        <w:spacing w:line="360" w:lineRule="auto"/>
        <w:ind w:firstLine="482" w:firstLineChars="200"/>
        <w:rPr>
          <w:rFonts w:hint="eastAsia" w:ascii="Times New Roman" w:hAnsi="Times New Roman" w:eastAsia="仿宋" w:cs="Times New Roman"/>
          <w:b/>
          <w:bCs/>
          <w:color w:val="auto"/>
          <w:sz w:val="24"/>
          <w:szCs w:val="24"/>
          <w:highlight w:val="none"/>
          <w:lang w:val="en-US" w:eastAsia="zh-CN"/>
        </w:rPr>
      </w:pPr>
      <w:r>
        <w:rPr>
          <w:rFonts w:hint="eastAsia" w:ascii="Times New Roman" w:hAnsi="Times New Roman" w:eastAsia="仿宋" w:cs="Times New Roman"/>
          <w:b/>
          <w:bCs/>
          <w:color w:val="auto"/>
          <w:sz w:val="24"/>
          <w:szCs w:val="24"/>
          <w:highlight w:val="none"/>
          <w:lang w:val="en-US" w:eastAsia="zh-CN"/>
        </w:rPr>
        <w:t>3.剥蚀丘陵区</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（1）剥蚀丘陵区</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分布在K56+770～K57+650、K58+110～K61+390、K61+670～K62+270、K64+290～K66+610段，在英吉沙背斜一带，海拔高度1300-2000m，相对高差700m，受剥蚀作用影响，山体平缓浑圆，沟谷发育，但大多无水。地表有少量荒漠干旱植被，生长低矮且稀疏，覆盖率小于5%。地势起伏5-80m不等，地层岩性以砂岩，泥岩为主，灰黄色，上覆砂类土。</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（2）丘间洼地区</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分布在K55+550～K56+770、K57+650～K58+110、K61+390～K61+670、K62+510～K62+970段，在英吉沙境内，丘间洼地松散沉积物以砂类土为主，下伏砂岩、泥岩。局部由于潜水溢出地表，形成了大片的湿地，芦苇、红柳等植被发育，土壤盐渍化分布面积较广。</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4）湖相沉积平原区</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分布在K66+610～K67+323.1段，位于英吉沙县国家湿地公园南湖旁，为湖泊退化后裸露地表，地形平坦、开阔，地表植被茂盛地，地下水埋深在4.0m。地基土主要为粉质黏土，软塑-可塑，厚度3-10m。</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color w:val="auto"/>
          <w:highlight w:val="none"/>
          <w:lang w:val="en-US" w:eastAsia="zh-CN"/>
        </w:rPr>
      </w:pPr>
      <w:bookmarkStart w:id="59" w:name="_Toc22710"/>
      <w:r>
        <w:rPr>
          <w:rFonts w:hint="default" w:ascii="Times New Roman" w:hAnsi="Times New Roman" w:cs="Times New Roman"/>
          <w:color w:val="auto"/>
          <w:highlight w:val="none"/>
          <w:lang w:val="en-US" w:eastAsia="zh-CN"/>
        </w:rPr>
        <w:t>3.2气候</w:t>
      </w:r>
      <w:bookmarkEnd w:id="59"/>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拟建公路沿线属温带大陆性干旱气候，其主要特征是，南部平原区气候干燥，日照充足，昼夜温差大，降水稀少，垂直蒸发大，冬春较长，夏季较短，一年四季气候比较温和。区域年平均气温11.4℃—11．7℃，极端最低气温-24.4℃，极端最高气温达49.1℃。年平均无霜期215天，年平均降雨量30—60毫米。年最大积雪厚度460mm，年最大冻土深度90cm，年最大降雨量125.8mm。蒸发量远远大于降水量，是该区气候干旱的主要原因。在中国公路自然区划图中，</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拟建公路位于绿洲荒漠区（VI2区）。光照充足，日照时间长，全年日照时数达2500-3000小时，历年平均无霜期214天，冬季不太寒冷。</w:t>
      </w:r>
    </w:p>
    <w:p>
      <w:pPr>
        <w:pStyle w:val="43"/>
        <w:keepNext w:val="0"/>
        <w:keepLines w:val="0"/>
        <w:pageBreakBefore w:val="0"/>
        <w:widowControl/>
        <w:shd w:val="clear"/>
        <w:kinsoku/>
        <w:wordWrap/>
        <w:overflowPunct/>
        <w:topLinePunct w:val="0"/>
        <w:autoSpaceDE/>
        <w:autoSpaceDN/>
        <w:bidi w:val="0"/>
        <w:adjustRightInd/>
        <w:snapToGrid/>
        <w:spacing w:line="500" w:lineRule="exact"/>
        <w:ind w:firstLine="420"/>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表3-1 项目沿线气象要素表</w:t>
      </w:r>
    </w:p>
    <w:tbl>
      <w:tblPr>
        <w:tblStyle w:val="22"/>
        <w:tblW w:w="8519"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014"/>
        <w:gridCol w:w="2691"/>
        <w:gridCol w:w="1108"/>
        <w:gridCol w:w="1684"/>
        <w:gridCol w:w="202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83" w:hRule="atLeast"/>
          <w:tblHeader/>
          <w:jc w:val="center"/>
        </w:trPr>
        <w:tc>
          <w:tcPr>
            <w:tcW w:w="1014"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序号</w:t>
            </w:r>
          </w:p>
        </w:tc>
        <w:tc>
          <w:tcPr>
            <w:tcW w:w="2691"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项目</w:t>
            </w:r>
          </w:p>
        </w:tc>
        <w:tc>
          <w:tcPr>
            <w:tcW w:w="1108"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单位</w:t>
            </w:r>
          </w:p>
        </w:tc>
        <w:tc>
          <w:tcPr>
            <w:tcW w:w="1684"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岳普湖县</w:t>
            </w:r>
          </w:p>
        </w:tc>
        <w:tc>
          <w:tcPr>
            <w:tcW w:w="2022"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英吉沙县</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jc w:val="center"/>
        </w:trPr>
        <w:tc>
          <w:tcPr>
            <w:tcW w:w="1014"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w:t>
            </w:r>
          </w:p>
        </w:tc>
        <w:tc>
          <w:tcPr>
            <w:tcW w:w="2691"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年平均气温</w:t>
            </w:r>
          </w:p>
        </w:tc>
        <w:tc>
          <w:tcPr>
            <w:tcW w:w="1108"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w:t>
            </w:r>
          </w:p>
        </w:tc>
        <w:tc>
          <w:tcPr>
            <w:tcW w:w="1684"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11.7</w:t>
            </w:r>
          </w:p>
        </w:tc>
        <w:tc>
          <w:tcPr>
            <w:tcW w:w="2022"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11.7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jc w:val="center"/>
        </w:trPr>
        <w:tc>
          <w:tcPr>
            <w:tcW w:w="1014"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2</w:t>
            </w:r>
          </w:p>
        </w:tc>
        <w:tc>
          <w:tcPr>
            <w:tcW w:w="2691"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年极端最高气温</w:t>
            </w:r>
          </w:p>
        </w:tc>
        <w:tc>
          <w:tcPr>
            <w:tcW w:w="1108"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w:t>
            </w:r>
          </w:p>
        </w:tc>
        <w:tc>
          <w:tcPr>
            <w:tcW w:w="1684"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41.8</w:t>
            </w:r>
          </w:p>
        </w:tc>
        <w:tc>
          <w:tcPr>
            <w:tcW w:w="2022"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jc w:val="center"/>
        </w:trPr>
        <w:tc>
          <w:tcPr>
            <w:tcW w:w="1014"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3</w:t>
            </w:r>
          </w:p>
        </w:tc>
        <w:tc>
          <w:tcPr>
            <w:tcW w:w="2691"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年极端最低气温</w:t>
            </w:r>
          </w:p>
        </w:tc>
        <w:tc>
          <w:tcPr>
            <w:tcW w:w="1108"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w:t>
            </w:r>
          </w:p>
        </w:tc>
        <w:tc>
          <w:tcPr>
            <w:tcW w:w="1684"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-23.4</w:t>
            </w:r>
          </w:p>
        </w:tc>
        <w:tc>
          <w:tcPr>
            <w:tcW w:w="2022"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-24.4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jc w:val="center"/>
        </w:trPr>
        <w:tc>
          <w:tcPr>
            <w:tcW w:w="1014"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4</w:t>
            </w:r>
          </w:p>
        </w:tc>
        <w:tc>
          <w:tcPr>
            <w:tcW w:w="2691"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最冷月平均气温</w:t>
            </w:r>
          </w:p>
        </w:tc>
        <w:tc>
          <w:tcPr>
            <w:tcW w:w="1108"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℃/月</w:t>
            </w:r>
          </w:p>
        </w:tc>
        <w:tc>
          <w:tcPr>
            <w:tcW w:w="1684"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-6.8/1</w:t>
            </w:r>
          </w:p>
        </w:tc>
        <w:tc>
          <w:tcPr>
            <w:tcW w:w="2022"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-6.5/1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jc w:val="center"/>
        </w:trPr>
        <w:tc>
          <w:tcPr>
            <w:tcW w:w="1014"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5</w:t>
            </w:r>
          </w:p>
        </w:tc>
        <w:tc>
          <w:tcPr>
            <w:tcW w:w="2691"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最热月平均气温</w:t>
            </w:r>
          </w:p>
        </w:tc>
        <w:tc>
          <w:tcPr>
            <w:tcW w:w="1108"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℃/月</w:t>
            </w:r>
          </w:p>
        </w:tc>
        <w:tc>
          <w:tcPr>
            <w:tcW w:w="1684"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26.3/7</w:t>
            </w:r>
          </w:p>
        </w:tc>
        <w:tc>
          <w:tcPr>
            <w:tcW w:w="2022"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25.8/7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jc w:val="center"/>
        </w:trPr>
        <w:tc>
          <w:tcPr>
            <w:tcW w:w="1014"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6</w:t>
            </w:r>
          </w:p>
        </w:tc>
        <w:tc>
          <w:tcPr>
            <w:tcW w:w="2691"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年平均降雨量</w:t>
            </w:r>
          </w:p>
        </w:tc>
        <w:tc>
          <w:tcPr>
            <w:tcW w:w="1108"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mm</w:t>
            </w:r>
          </w:p>
        </w:tc>
        <w:tc>
          <w:tcPr>
            <w:tcW w:w="1684"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52.5</w:t>
            </w:r>
          </w:p>
        </w:tc>
        <w:tc>
          <w:tcPr>
            <w:tcW w:w="2022"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65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jc w:val="center"/>
        </w:trPr>
        <w:tc>
          <w:tcPr>
            <w:tcW w:w="1014"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7</w:t>
            </w:r>
          </w:p>
        </w:tc>
        <w:tc>
          <w:tcPr>
            <w:tcW w:w="2691"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年平均蒸发量</w:t>
            </w:r>
          </w:p>
        </w:tc>
        <w:tc>
          <w:tcPr>
            <w:tcW w:w="1108"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mm</w:t>
            </w:r>
          </w:p>
        </w:tc>
        <w:tc>
          <w:tcPr>
            <w:tcW w:w="1684"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2584</w:t>
            </w:r>
          </w:p>
        </w:tc>
        <w:tc>
          <w:tcPr>
            <w:tcW w:w="2022"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2604.9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jc w:val="center"/>
        </w:trPr>
        <w:tc>
          <w:tcPr>
            <w:tcW w:w="1014"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8</w:t>
            </w:r>
          </w:p>
        </w:tc>
        <w:tc>
          <w:tcPr>
            <w:tcW w:w="2691"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年平均降雪量</w:t>
            </w:r>
          </w:p>
        </w:tc>
        <w:tc>
          <w:tcPr>
            <w:tcW w:w="1108"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mm</w:t>
            </w:r>
          </w:p>
        </w:tc>
        <w:tc>
          <w:tcPr>
            <w:tcW w:w="1684"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2.8</w:t>
            </w:r>
          </w:p>
        </w:tc>
        <w:tc>
          <w:tcPr>
            <w:tcW w:w="2022"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jc w:val="center"/>
        </w:trPr>
        <w:tc>
          <w:tcPr>
            <w:tcW w:w="1014"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9</w:t>
            </w:r>
          </w:p>
        </w:tc>
        <w:tc>
          <w:tcPr>
            <w:tcW w:w="2691"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最大积雪深度</w:t>
            </w:r>
          </w:p>
        </w:tc>
        <w:tc>
          <w:tcPr>
            <w:tcW w:w="1108"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m</w:t>
            </w:r>
          </w:p>
        </w:tc>
        <w:tc>
          <w:tcPr>
            <w:tcW w:w="1684"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0.28</w:t>
            </w:r>
          </w:p>
        </w:tc>
        <w:tc>
          <w:tcPr>
            <w:tcW w:w="2022"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0.46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jc w:val="center"/>
        </w:trPr>
        <w:tc>
          <w:tcPr>
            <w:tcW w:w="1014"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10</w:t>
            </w:r>
          </w:p>
        </w:tc>
        <w:tc>
          <w:tcPr>
            <w:tcW w:w="2691"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最大冻结深度</w:t>
            </w:r>
          </w:p>
        </w:tc>
        <w:tc>
          <w:tcPr>
            <w:tcW w:w="1108"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m</w:t>
            </w:r>
          </w:p>
        </w:tc>
        <w:tc>
          <w:tcPr>
            <w:tcW w:w="1684"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0.60</w:t>
            </w:r>
          </w:p>
        </w:tc>
        <w:tc>
          <w:tcPr>
            <w:tcW w:w="2022"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jc w:val="center"/>
        </w:trPr>
        <w:tc>
          <w:tcPr>
            <w:tcW w:w="1014"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11</w:t>
            </w:r>
          </w:p>
        </w:tc>
        <w:tc>
          <w:tcPr>
            <w:tcW w:w="2691"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年平均日照时数</w:t>
            </w:r>
          </w:p>
        </w:tc>
        <w:tc>
          <w:tcPr>
            <w:tcW w:w="1108"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h</w:t>
            </w:r>
          </w:p>
        </w:tc>
        <w:tc>
          <w:tcPr>
            <w:tcW w:w="1684"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2761.6</w:t>
            </w:r>
          </w:p>
        </w:tc>
        <w:tc>
          <w:tcPr>
            <w:tcW w:w="2022"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2822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85" w:hRule="atLeast"/>
          <w:jc w:val="center"/>
        </w:trPr>
        <w:tc>
          <w:tcPr>
            <w:tcW w:w="1014"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12</w:t>
            </w:r>
          </w:p>
        </w:tc>
        <w:tc>
          <w:tcPr>
            <w:tcW w:w="2691"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最大风速</w:t>
            </w:r>
          </w:p>
        </w:tc>
        <w:tc>
          <w:tcPr>
            <w:tcW w:w="1108"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m/s</w:t>
            </w:r>
          </w:p>
        </w:tc>
        <w:tc>
          <w:tcPr>
            <w:tcW w:w="1684"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25</w:t>
            </w:r>
          </w:p>
        </w:tc>
        <w:tc>
          <w:tcPr>
            <w:tcW w:w="2022"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00" w:hRule="atLeast"/>
          <w:jc w:val="center"/>
        </w:trPr>
        <w:tc>
          <w:tcPr>
            <w:tcW w:w="1014"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13</w:t>
            </w:r>
          </w:p>
        </w:tc>
        <w:tc>
          <w:tcPr>
            <w:tcW w:w="2691"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主要风向</w:t>
            </w:r>
          </w:p>
        </w:tc>
        <w:tc>
          <w:tcPr>
            <w:tcW w:w="1108"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p>
        </w:tc>
        <w:tc>
          <w:tcPr>
            <w:tcW w:w="1684"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西、东北</w:t>
            </w:r>
          </w:p>
        </w:tc>
        <w:tc>
          <w:tcPr>
            <w:tcW w:w="2022"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000000"/>
                <w:sz w:val="21"/>
                <w:szCs w:val="21"/>
                <w:highlight w:val="none"/>
                <w:lang w:val="en-US" w:eastAsia="zh-CN"/>
              </w:rPr>
            </w:pPr>
            <w:r>
              <w:rPr>
                <w:rFonts w:hint="eastAsia" w:ascii="Times New Roman" w:hAnsi="Times New Roman" w:cs="Times New Roman"/>
                <w:color w:val="000000"/>
                <w:sz w:val="21"/>
                <w:szCs w:val="21"/>
                <w:highlight w:val="none"/>
                <w:lang w:val="en-US" w:eastAsia="zh-CN"/>
              </w:rPr>
              <w:t>西南、东北</w:t>
            </w:r>
          </w:p>
        </w:tc>
      </w:tr>
    </w:tbl>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s="Times New Roman"/>
          <w:color w:val="auto"/>
          <w:highlight w:val="none"/>
          <w:lang w:val="en-US" w:eastAsia="zh-CN"/>
        </w:rPr>
      </w:pPr>
      <w:bookmarkStart w:id="60" w:name="_Toc15979"/>
      <w:r>
        <w:rPr>
          <w:rFonts w:hint="eastAsia" w:ascii="Times New Roman" w:hAnsi="Times New Roman" w:cs="Times New Roman"/>
          <w:color w:val="auto"/>
          <w:highlight w:val="none"/>
          <w:lang w:val="en-US" w:eastAsia="zh-CN"/>
        </w:rPr>
        <w:t>3.3</w:t>
      </w:r>
      <w:r>
        <w:rPr>
          <w:rFonts w:hint="eastAsia" w:cs="Times New Roman"/>
          <w:color w:val="auto"/>
          <w:highlight w:val="none"/>
          <w:lang w:val="en-US" w:eastAsia="zh-CN"/>
        </w:rPr>
        <w:t>水资源</w:t>
      </w:r>
      <w:bookmarkEnd w:id="60"/>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在自然环境中，地表水体的分布、地下水埋深及岩土含水性等对公路工程影响较大，本项目沿线灌溉渠均为盖孜河之引渠而至，项目区地下水位受该河流及灌溉渠的水的渗流影响较大。</w:t>
      </w:r>
    </w:p>
    <w:p>
      <w:pPr>
        <w:spacing w:line="360" w:lineRule="auto"/>
        <w:ind w:firstLine="482" w:firstLineChars="200"/>
        <w:rPr>
          <w:rFonts w:hint="eastAsia" w:ascii="Times New Roman" w:hAnsi="Times New Roman" w:eastAsia="仿宋" w:cs="Times New Roman"/>
          <w:b/>
          <w:bCs/>
          <w:color w:val="auto"/>
          <w:sz w:val="24"/>
          <w:szCs w:val="24"/>
          <w:highlight w:val="none"/>
          <w:lang w:val="en-US" w:eastAsia="zh-CN"/>
        </w:rPr>
      </w:pPr>
      <w:r>
        <w:rPr>
          <w:rFonts w:hint="eastAsia" w:ascii="Times New Roman" w:hAnsi="Times New Roman" w:eastAsia="仿宋" w:cs="Times New Roman"/>
          <w:b/>
          <w:bCs/>
          <w:color w:val="auto"/>
          <w:sz w:val="24"/>
          <w:szCs w:val="24"/>
          <w:highlight w:val="none"/>
          <w:lang w:val="en-US" w:eastAsia="zh-CN"/>
        </w:rPr>
        <w:t>1.地表水</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该项目沿线地表水主要来源于盖孜河，叶尔羌河，克孜勒河水系和库山河水系，由各水系引出的农田灌溉渠遍布喀什河冲积扇平原区。</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（1）盖孜河发源于帕米尔高原萨里阔勒岭北麓的慕士塔格峰、公格尔山、昆盖山等北坡，自西向东流，流经阿克陶、疏附、疏勒、伽师和岳普湖五县，最后散失于岳普湖县东部沙漠边缘。</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盖孜河以冰雪融水补给为主，大气降水和泉水补给为辅，盖孜河侧向径流量是岳普湖县地下水的主要补充来源。通过盖孜河上游水文站1958年至1996年38年的实测资料分析，盖孜河集水面积9753km</w:t>
      </w:r>
      <w:r>
        <w:rPr>
          <w:rFonts w:hint="eastAsia" w:ascii="Times New Roman" w:hAnsi="Times New Roman" w:eastAsia="仿宋" w:cs="Times New Roman"/>
          <w:color w:val="auto"/>
          <w:sz w:val="24"/>
          <w:szCs w:val="24"/>
          <w:highlight w:val="none"/>
          <w:vertAlign w:val="superscript"/>
          <w:lang w:val="en-US" w:eastAsia="zh-CN"/>
        </w:rPr>
        <w:t>2</w:t>
      </w:r>
      <w:r>
        <w:rPr>
          <w:rFonts w:hint="eastAsia" w:ascii="Times New Roman" w:hAnsi="Times New Roman" w:eastAsia="仿宋" w:cs="Times New Roman"/>
          <w:color w:val="auto"/>
          <w:sz w:val="24"/>
          <w:szCs w:val="24"/>
          <w:highlight w:val="none"/>
          <w:lang w:val="en-US" w:eastAsia="zh-CN"/>
        </w:rPr>
        <w:t>，多年平均径流量为11.86×108m</w:t>
      </w:r>
      <w:r>
        <w:rPr>
          <w:rFonts w:hint="eastAsia" w:ascii="Times New Roman" w:hAnsi="Times New Roman" w:eastAsia="仿宋" w:cs="Times New Roman"/>
          <w:color w:val="auto"/>
          <w:sz w:val="24"/>
          <w:szCs w:val="24"/>
          <w:highlight w:val="none"/>
          <w:vertAlign w:val="superscript"/>
          <w:lang w:val="en-US" w:eastAsia="zh-CN"/>
        </w:rPr>
        <w:t>3</w:t>
      </w:r>
      <w:r>
        <w:rPr>
          <w:rFonts w:hint="eastAsia" w:ascii="Times New Roman" w:hAnsi="Times New Roman" w:eastAsia="仿宋" w:cs="Times New Roman"/>
          <w:color w:val="auto"/>
          <w:sz w:val="24"/>
          <w:szCs w:val="24"/>
          <w:highlight w:val="none"/>
          <w:lang w:val="en-US" w:eastAsia="zh-CN"/>
        </w:rPr>
        <w:t>，最大年径流量为14.29亿m</w:t>
      </w:r>
      <w:r>
        <w:rPr>
          <w:rFonts w:hint="eastAsia" w:ascii="Times New Roman" w:hAnsi="Times New Roman" w:eastAsia="仿宋" w:cs="Times New Roman"/>
          <w:color w:val="auto"/>
          <w:sz w:val="24"/>
          <w:szCs w:val="24"/>
          <w:highlight w:val="none"/>
          <w:vertAlign w:val="superscript"/>
          <w:lang w:val="en-US" w:eastAsia="zh-CN"/>
        </w:rPr>
        <w:t>3</w:t>
      </w:r>
      <w:r>
        <w:rPr>
          <w:rFonts w:hint="eastAsia" w:ascii="Times New Roman" w:hAnsi="Times New Roman" w:eastAsia="仿宋" w:cs="Times New Roman"/>
          <w:color w:val="auto"/>
          <w:sz w:val="24"/>
          <w:szCs w:val="24"/>
          <w:highlight w:val="none"/>
          <w:lang w:val="en-US" w:eastAsia="zh-CN"/>
        </w:rPr>
        <w:t>，最小年径流量为6.53亿m</w:t>
      </w:r>
      <w:r>
        <w:rPr>
          <w:rFonts w:hint="eastAsia" w:ascii="Times New Roman" w:hAnsi="Times New Roman" w:eastAsia="仿宋" w:cs="Times New Roman"/>
          <w:color w:val="auto"/>
          <w:sz w:val="24"/>
          <w:szCs w:val="24"/>
          <w:highlight w:val="none"/>
          <w:vertAlign w:val="superscript"/>
          <w:lang w:val="en-US" w:eastAsia="zh-CN"/>
        </w:rPr>
        <w:t>3</w:t>
      </w:r>
      <w:r>
        <w:rPr>
          <w:rFonts w:hint="eastAsia" w:ascii="Times New Roman" w:hAnsi="Times New Roman" w:eastAsia="仿宋" w:cs="Times New Roman"/>
          <w:color w:val="auto"/>
          <w:sz w:val="24"/>
          <w:szCs w:val="24"/>
          <w:highlight w:val="none"/>
          <w:lang w:val="en-US" w:eastAsia="zh-CN"/>
        </w:rPr>
        <w:t>。径流量的年际变幅较大。</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该河流在K10+472处与线位正交，河流宽约30m，路线以桥梁形式跨越。该河流引出的铁力木干渠在线位K10+170处与线位正交，干渠宽约20m，水深约0.5m。</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（2）叶尔羌河源于昆仑山和喀喇昆仑山北坡，为高山冰雪融水型河流，卡群以上集水面积48100km</w:t>
      </w:r>
      <w:r>
        <w:rPr>
          <w:rFonts w:hint="eastAsia" w:ascii="Times New Roman" w:hAnsi="Times New Roman" w:eastAsia="仿宋" w:cs="Times New Roman"/>
          <w:color w:val="auto"/>
          <w:sz w:val="24"/>
          <w:szCs w:val="24"/>
          <w:highlight w:val="none"/>
          <w:vertAlign w:val="superscript"/>
          <w:lang w:val="en-US" w:eastAsia="zh-CN"/>
        </w:rPr>
        <w:t>2</w:t>
      </w:r>
      <w:r>
        <w:rPr>
          <w:rFonts w:hint="eastAsia" w:ascii="Times New Roman" w:hAnsi="Times New Roman" w:eastAsia="仿宋" w:cs="Times New Roman"/>
          <w:color w:val="auto"/>
          <w:sz w:val="24"/>
          <w:szCs w:val="24"/>
          <w:highlight w:val="none"/>
          <w:lang w:val="en-US" w:eastAsia="zh-CN"/>
        </w:rPr>
        <w:t>，全长1079km。据卡群水文站资料，多年平均径流量64.57亿m</w:t>
      </w:r>
      <w:r>
        <w:rPr>
          <w:rFonts w:hint="eastAsia" w:ascii="Times New Roman" w:hAnsi="Times New Roman" w:eastAsia="仿宋" w:cs="Times New Roman"/>
          <w:color w:val="auto"/>
          <w:sz w:val="24"/>
          <w:szCs w:val="24"/>
          <w:highlight w:val="none"/>
          <w:vertAlign w:val="superscript"/>
          <w:lang w:val="en-US" w:eastAsia="zh-CN"/>
        </w:rPr>
        <w:t>3</w:t>
      </w:r>
      <w:r>
        <w:rPr>
          <w:rFonts w:hint="eastAsia" w:ascii="Times New Roman" w:hAnsi="Times New Roman" w:eastAsia="仿宋" w:cs="Times New Roman"/>
          <w:color w:val="auto"/>
          <w:sz w:val="24"/>
          <w:szCs w:val="24"/>
          <w:highlight w:val="none"/>
          <w:lang w:val="en-US" w:eastAsia="zh-CN"/>
        </w:rPr>
        <w:t>/a，最大年径流量95.6亿m</w:t>
      </w:r>
      <w:r>
        <w:rPr>
          <w:rFonts w:hint="eastAsia" w:ascii="Times New Roman" w:hAnsi="Times New Roman" w:eastAsia="仿宋" w:cs="Times New Roman"/>
          <w:color w:val="auto"/>
          <w:sz w:val="24"/>
          <w:szCs w:val="24"/>
          <w:highlight w:val="none"/>
          <w:vertAlign w:val="superscript"/>
          <w:lang w:val="en-US" w:eastAsia="zh-CN"/>
        </w:rPr>
        <w:t>3</w:t>
      </w:r>
      <w:r>
        <w:rPr>
          <w:rFonts w:hint="eastAsia" w:ascii="Times New Roman" w:hAnsi="Times New Roman" w:eastAsia="仿宋" w:cs="Times New Roman"/>
          <w:color w:val="auto"/>
          <w:sz w:val="24"/>
          <w:szCs w:val="24"/>
          <w:highlight w:val="none"/>
          <w:lang w:val="en-US" w:eastAsia="zh-CN"/>
        </w:rPr>
        <w:t>/a，最小径流量44.67亿m</w:t>
      </w:r>
      <w:r>
        <w:rPr>
          <w:rFonts w:hint="eastAsia" w:ascii="Times New Roman" w:hAnsi="Times New Roman" w:eastAsia="仿宋" w:cs="Times New Roman"/>
          <w:color w:val="auto"/>
          <w:sz w:val="24"/>
          <w:szCs w:val="24"/>
          <w:highlight w:val="none"/>
          <w:vertAlign w:val="superscript"/>
          <w:lang w:val="en-US" w:eastAsia="zh-CN"/>
        </w:rPr>
        <w:t>3</w:t>
      </w:r>
      <w:r>
        <w:rPr>
          <w:rFonts w:hint="eastAsia" w:ascii="Times New Roman" w:hAnsi="Times New Roman" w:eastAsia="仿宋" w:cs="Times New Roman"/>
          <w:color w:val="auto"/>
          <w:sz w:val="24"/>
          <w:szCs w:val="24"/>
          <w:highlight w:val="none"/>
          <w:lang w:val="en-US" w:eastAsia="zh-CN"/>
        </w:rPr>
        <w:t>/a，最大洪峰流量627m</w:t>
      </w:r>
      <w:r>
        <w:rPr>
          <w:rFonts w:hint="eastAsia" w:ascii="Times New Roman" w:hAnsi="Times New Roman" w:eastAsia="仿宋" w:cs="Times New Roman"/>
          <w:color w:val="auto"/>
          <w:sz w:val="24"/>
          <w:szCs w:val="24"/>
          <w:highlight w:val="none"/>
          <w:vertAlign w:val="superscript"/>
          <w:lang w:val="en-US" w:eastAsia="zh-CN"/>
        </w:rPr>
        <w:t>3</w:t>
      </w:r>
      <w:r>
        <w:rPr>
          <w:rFonts w:hint="eastAsia" w:ascii="Times New Roman" w:hAnsi="Times New Roman" w:eastAsia="仿宋" w:cs="Times New Roman"/>
          <w:color w:val="auto"/>
          <w:sz w:val="24"/>
          <w:szCs w:val="24"/>
          <w:highlight w:val="none"/>
          <w:lang w:val="en-US" w:eastAsia="zh-CN"/>
        </w:rPr>
        <w:t>/s（1961年）。河水以渠系引水方式自南部进入岳普湖县。该河流与线位无交叉。</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（3）克孜勒河最大年径流量为23.3亿m</w:t>
      </w:r>
      <w:r>
        <w:rPr>
          <w:rFonts w:hint="eastAsia" w:ascii="Times New Roman" w:hAnsi="Times New Roman" w:eastAsia="仿宋" w:cs="Times New Roman"/>
          <w:color w:val="auto"/>
          <w:sz w:val="24"/>
          <w:szCs w:val="24"/>
          <w:highlight w:val="none"/>
          <w:vertAlign w:val="superscript"/>
          <w:lang w:val="en-US" w:eastAsia="zh-CN"/>
        </w:rPr>
        <w:t>3</w:t>
      </w:r>
      <w:r>
        <w:rPr>
          <w:rFonts w:hint="eastAsia" w:ascii="Times New Roman" w:hAnsi="Times New Roman" w:eastAsia="仿宋" w:cs="Times New Roman"/>
          <w:color w:val="auto"/>
          <w:sz w:val="24"/>
          <w:szCs w:val="24"/>
          <w:highlight w:val="none"/>
          <w:lang w:val="en-US" w:eastAsia="zh-CN"/>
        </w:rPr>
        <w:t>/a，最小为14.4亿m</w:t>
      </w:r>
      <w:r>
        <w:rPr>
          <w:rFonts w:hint="eastAsia" w:ascii="Times New Roman" w:hAnsi="Times New Roman" w:eastAsia="仿宋" w:cs="Times New Roman"/>
          <w:color w:val="auto"/>
          <w:sz w:val="24"/>
          <w:szCs w:val="24"/>
          <w:highlight w:val="none"/>
          <w:vertAlign w:val="superscript"/>
          <w:lang w:val="en-US" w:eastAsia="zh-CN"/>
        </w:rPr>
        <w:t>3</w:t>
      </w:r>
      <w:r>
        <w:rPr>
          <w:rFonts w:hint="eastAsia" w:ascii="Times New Roman" w:hAnsi="Times New Roman" w:eastAsia="仿宋" w:cs="Times New Roman"/>
          <w:color w:val="auto"/>
          <w:sz w:val="24"/>
          <w:szCs w:val="24"/>
          <w:highlight w:val="none"/>
          <w:lang w:val="en-US" w:eastAsia="zh-CN"/>
        </w:rPr>
        <w:t>/a，多年平均径流量为20.3亿m</w:t>
      </w:r>
      <w:r>
        <w:rPr>
          <w:rFonts w:hint="eastAsia" w:ascii="Times New Roman" w:hAnsi="Times New Roman" w:eastAsia="仿宋" w:cs="Times New Roman"/>
          <w:color w:val="auto"/>
          <w:sz w:val="24"/>
          <w:szCs w:val="24"/>
          <w:highlight w:val="none"/>
          <w:vertAlign w:val="superscript"/>
          <w:lang w:val="en-US" w:eastAsia="zh-CN"/>
        </w:rPr>
        <w:t>3</w:t>
      </w:r>
      <w:r>
        <w:rPr>
          <w:rFonts w:hint="eastAsia" w:ascii="Times New Roman" w:hAnsi="Times New Roman" w:eastAsia="仿宋" w:cs="Times New Roman"/>
          <w:color w:val="auto"/>
          <w:sz w:val="24"/>
          <w:szCs w:val="24"/>
          <w:highlight w:val="none"/>
          <w:lang w:val="en-US" w:eastAsia="zh-CN"/>
        </w:rPr>
        <w:t>，年内河水动态变化较大，丰水期一般为6、7、8三个月，枯水期为1、2月份，洪水期平均流量达400m</w:t>
      </w:r>
      <w:r>
        <w:rPr>
          <w:rFonts w:hint="eastAsia" w:ascii="Times New Roman" w:hAnsi="Times New Roman" w:eastAsia="仿宋" w:cs="Times New Roman"/>
          <w:color w:val="auto"/>
          <w:sz w:val="24"/>
          <w:szCs w:val="24"/>
          <w:highlight w:val="none"/>
          <w:vertAlign w:val="superscript"/>
          <w:lang w:val="en-US" w:eastAsia="zh-CN"/>
        </w:rPr>
        <w:t>3</w:t>
      </w:r>
      <w:r>
        <w:rPr>
          <w:rFonts w:hint="eastAsia" w:ascii="Times New Roman" w:hAnsi="Times New Roman" w:eastAsia="仿宋" w:cs="Times New Roman"/>
          <w:color w:val="auto"/>
          <w:sz w:val="24"/>
          <w:szCs w:val="24"/>
          <w:highlight w:val="none"/>
          <w:lang w:val="en-US" w:eastAsia="zh-CN"/>
        </w:rPr>
        <w:t>/s，枯水期25m</w:t>
      </w:r>
      <w:r>
        <w:rPr>
          <w:rFonts w:hint="eastAsia" w:ascii="Times New Roman" w:hAnsi="Times New Roman" w:eastAsia="仿宋" w:cs="Times New Roman"/>
          <w:color w:val="auto"/>
          <w:sz w:val="24"/>
          <w:szCs w:val="24"/>
          <w:highlight w:val="none"/>
          <w:vertAlign w:val="superscript"/>
          <w:lang w:val="en-US" w:eastAsia="zh-CN"/>
        </w:rPr>
        <w:t>3</w:t>
      </w:r>
      <w:r>
        <w:rPr>
          <w:rFonts w:hint="eastAsia" w:ascii="Times New Roman" w:hAnsi="Times New Roman" w:eastAsia="仿宋" w:cs="Times New Roman"/>
          <w:color w:val="auto"/>
          <w:sz w:val="24"/>
          <w:szCs w:val="24"/>
          <w:highlight w:val="none"/>
          <w:lang w:val="en-US" w:eastAsia="zh-CN"/>
        </w:rPr>
        <w:t>/s，出山口多年平均径流量21.52亿m</w:t>
      </w:r>
      <w:r>
        <w:rPr>
          <w:rFonts w:hint="eastAsia" w:ascii="Times New Roman" w:hAnsi="Times New Roman" w:eastAsia="仿宋" w:cs="Times New Roman"/>
          <w:color w:val="auto"/>
          <w:sz w:val="24"/>
          <w:szCs w:val="24"/>
          <w:highlight w:val="none"/>
          <w:vertAlign w:val="superscript"/>
          <w:lang w:val="en-US" w:eastAsia="zh-CN"/>
        </w:rPr>
        <w:t>3</w:t>
      </w:r>
      <w:r>
        <w:rPr>
          <w:rFonts w:hint="eastAsia" w:ascii="Times New Roman" w:hAnsi="Times New Roman" w:eastAsia="仿宋" w:cs="Times New Roman"/>
          <w:color w:val="auto"/>
          <w:sz w:val="24"/>
          <w:szCs w:val="24"/>
          <w:highlight w:val="none"/>
          <w:lang w:val="en-US" w:eastAsia="zh-CN"/>
        </w:rPr>
        <w:t>，进入疏勒县年径流量达11.6984亿m</w:t>
      </w:r>
      <w:r>
        <w:rPr>
          <w:rFonts w:hint="eastAsia" w:ascii="Times New Roman" w:hAnsi="Times New Roman" w:eastAsia="仿宋" w:cs="Times New Roman"/>
          <w:color w:val="auto"/>
          <w:sz w:val="24"/>
          <w:szCs w:val="24"/>
          <w:highlight w:val="none"/>
          <w:vertAlign w:val="superscript"/>
          <w:lang w:val="en-US" w:eastAsia="zh-CN"/>
        </w:rPr>
        <w:t>3</w:t>
      </w:r>
      <w:r>
        <w:rPr>
          <w:rFonts w:hint="eastAsia" w:ascii="Times New Roman" w:hAnsi="Times New Roman" w:eastAsia="仿宋" w:cs="Times New Roman"/>
          <w:color w:val="auto"/>
          <w:sz w:val="24"/>
          <w:szCs w:val="24"/>
          <w:highlight w:val="none"/>
          <w:lang w:val="en-US" w:eastAsia="zh-CN"/>
        </w:rPr>
        <w:t>。岳普湖县克孜勒河灌区灌溉面积为2.21万亩，引水量约占总引水量的3.4%，约0.2亿m</w:t>
      </w:r>
      <w:r>
        <w:rPr>
          <w:rFonts w:hint="eastAsia" w:ascii="Times New Roman" w:hAnsi="Times New Roman" w:eastAsia="仿宋" w:cs="Times New Roman"/>
          <w:color w:val="auto"/>
          <w:sz w:val="24"/>
          <w:szCs w:val="24"/>
          <w:highlight w:val="none"/>
          <w:vertAlign w:val="superscript"/>
          <w:lang w:val="en-US" w:eastAsia="zh-CN"/>
        </w:rPr>
        <w:t>3</w:t>
      </w:r>
      <w:r>
        <w:rPr>
          <w:rFonts w:hint="eastAsia" w:ascii="Times New Roman" w:hAnsi="Times New Roman" w:eastAsia="仿宋" w:cs="Times New Roman"/>
          <w:color w:val="auto"/>
          <w:sz w:val="24"/>
          <w:szCs w:val="24"/>
          <w:highlight w:val="none"/>
          <w:lang w:val="en-US" w:eastAsia="zh-CN"/>
        </w:rPr>
        <w:t>。该河流与线位无交叉。</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（4）库山河发源于帕米尔高原公格尔山和慕士塔格山北麓，上流由喀尔塔什河和且木干河汇合而成，集水面积2120km</w:t>
      </w:r>
      <w:r>
        <w:rPr>
          <w:rFonts w:hint="eastAsia" w:ascii="Times New Roman" w:hAnsi="Times New Roman" w:eastAsia="仿宋" w:cs="Times New Roman"/>
          <w:color w:val="auto"/>
          <w:sz w:val="24"/>
          <w:szCs w:val="24"/>
          <w:highlight w:val="none"/>
          <w:vertAlign w:val="superscript"/>
          <w:lang w:val="en-US" w:eastAsia="zh-CN"/>
        </w:rPr>
        <w:t>2</w:t>
      </w:r>
      <w:r>
        <w:rPr>
          <w:rFonts w:hint="eastAsia" w:ascii="Times New Roman" w:hAnsi="Times New Roman" w:eastAsia="仿宋" w:cs="Times New Roman"/>
          <w:color w:val="auto"/>
          <w:sz w:val="24"/>
          <w:szCs w:val="24"/>
          <w:highlight w:val="none"/>
          <w:lang w:val="en-US" w:eastAsia="zh-CN"/>
        </w:rPr>
        <w:t>，全长约224km，补给水源为冰川融水、雨雪混合水和地下水，据沙漫站实测资料（1984-2004年），多年平均径流量为6.358亿m</w:t>
      </w:r>
      <w:r>
        <w:rPr>
          <w:rFonts w:hint="eastAsia" w:ascii="Times New Roman" w:hAnsi="Times New Roman" w:eastAsia="仿宋" w:cs="Times New Roman"/>
          <w:color w:val="auto"/>
          <w:sz w:val="24"/>
          <w:szCs w:val="24"/>
          <w:highlight w:val="none"/>
          <w:vertAlign w:val="superscript"/>
          <w:lang w:val="en-US" w:eastAsia="zh-CN"/>
        </w:rPr>
        <w:t>3</w:t>
      </w:r>
      <w:r>
        <w:rPr>
          <w:rFonts w:hint="eastAsia" w:ascii="Times New Roman" w:hAnsi="Times New Roman" w:eastAsia="仿宋" w:cs="Times New Roman"/>
          <w:color w:val="auto"/>
          <w:sz w:val="24"/>
          <w:szCs w:val="24"/>
          <w:highlight w:val="none"/>
          <w:lang w:val="en-US" w:eastAsia="zh-CN"/>
        </w:rPr>
        <w:t>，河水，一条以渠系的形式流入英吉沙县艾古斯乡西部，引入英吉沙县的水量为3.162亿m</w:t>
      </w:r>
      <w:r>
        <w:rPr>
          <w:rFonts w:hint="eastAsia" w:ascii="Times New Roman" w:hAnsi="Times New Roman" w:eastAsia="仿宋" w:cs="Times New Roman"/>
          <w:color w:val="auto"/>
          <w:sz w:val="24"/>
          <w:szCs w:val="24"/>
          <w:highlight w:val="none"/>
          <w:vertAlign w:val="superscript"/>
          <w:lang w:val="en-US" w:eastAsia="zh-CN"/>
        </w:rPr>
        <w:t>3</w:t>
      </w:r>
      <w:r>
        <w:rPr>
          <w:rFonts w:hint="eastAsia" w:ascii="Times New Roman" w:hAnsi="Times New Roman" w:eastAsia="仿宋" w:cs="Times New Roman"/>
          <w:color w:val="auto"/>
          <w:sz w:val="24"/>
          <w:szCs w:val="24"/>
          <w:highlight w:val="none"/>
          <w:lang w:val="en-US" w:eastAsia="zh-CN"/>
        </w:rPr>
        <w:t>，最后散失于绿洲平原的下游地带。</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该河流下泄排洪渠与线路在K35+965处与线位以60°角相交，线位以桥梁形式跨越该排洪渠，渠宽约20m，勘察期间渠内无流水。</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（5）洪水</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区内河流洪水主要分为冰雪融水型、暴雨型及混合型三种。冰雪融水型洪水在区内较为常见，属连续性洪水，具有量大但峰不太高的特点，持续时间较长，与高空气温变化密切相关，日变化明显。如克孜勒河1966年6月中旬、叶尔羌河1973年7月的洪水是其典型代表。</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暴雨型洪水具有峰高量小的特点，由于地表裸露，植被稀少，一旦遇到较大暴雨，降水便急剧汇流，便可形成较大洪峰。尤其是局部性暴雨所形成的洪水多处于降水高值区，以克孜勒河出现机率较高，如克孜勒河1965年7月9日、叶尔羌河1987年7月的洪水便属此类型。</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混合型洪水主要为中型洪水，此型洪水亦发生在汛期。当高空积温增加，促使融雪水量增大，河水上涨后，恰遇局部暴雨形成洪水两者叠置而成，如克孜勒河1963年6月下旬、叶尔羌河1971年8月的洪水可划分在此类型。</w:t>
      </w:r>
    </w:p>
    <w:p>
      <w:pPr>
        <w:spacing w:line="360" w:lineRule="auto"/>
        <w:ind w:firstLine="482" w:firstLineChars="200"/>
        <w:rPr>
          <w:rFonts w:hint="eastAsia" w:ascii="Times New Roman" w:hAnsi="Times New Roman" w:eastAsia="仿宋" w:cs="Times New Roman"/>
          <w:b/>
          <w:bCs/>
          <w:color w:val="auto"/>
          <w:sz w:val="24"/>
          <w:szCs w:val="24"/>
          <w:highlight w:val="none"/>
          <w:lang w:val="en-US" w:eastAsia="zh-CN"/>
        </w:rPr>
      </w:pPr>
      <w:r>
        <w:rPr>
          <w:rFonts w:hint="eastAsia" w:ascii="Times New Roman" w:hAnsi="Times New Roman" w:eastAsia="仿宋" w:cs="Times New Roman"/>
          <w:b/>
          <w:bCs/>
          <w:color w:val="auto"/>
          <w:sz w:val="24"/>
          <w:szCs w:val="24"/>
          <w:highlight w:val="none"/>
          <w:lang w:val="en-US" w:eastAsia="zh-CN"/>
        </w:rPr>
        <w:t>2.地下水</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本项目位于线位位于冲积扇平原区，第四系松散层厚度较大，一般为200m，期间赋存有多个孔隙水含水层。按其埋藏深度大致划分为松散岩类孔隙潜水（浅层水）和孔隙承压水（深层水）。</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地下水主要受融雪水、山泉、河流、人工渠、农田灌溉水渗入补给，较为丰富，类型主要为第四系松散层孔隙水。测区地形西北高，东南低，地下水流向与地形坡度基本一致。表层潜水水质普遍较差，矿化度高，无法饮用和灌溉，深层潜水40m-50m以下水质普遍较好，矿化度低，为良好的饮用和工程用水。</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承压水：区域内有2-3层地下承压水分布，储藏丰富。第一层埋深10-38m，含水层岩性为砂砾石，矿化度主要为0.5-1.0克/升；第二层埋深90-120m，含水层岩性为亚砂及砂土，矿化度主要为0.4-0.8克/升；第三层埋深大于180m，含水层岩性为砂土及砾石土，矿化度小于1.0克/升。本区地下水类型主要为松散岩类孔隙水。拟建路线区域地下水丰富，主要受盖孜河、克孜勒河、叶尔羌河、岳普湖河及提孜那甫河流域地表径流的补给及大气降水补给，地下水位较浅，受当地农田灌溉影响，水位季节性变化较大，农田大量浇水期间，地下水位因抽水灌溉可下降7-10m。非灌溉期间，喀什冲积扇平原区地下水埋藏水位大于1.0m，一般埋藏深度在2.0-6.5m。</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color w:val="auto"/>
          <w:highlight w:val="none"/>
          <w:lang w:val="en-US" w:eastAsia="zh-CN"/>
        </w:rPr>
      </w:pPr>
      <w:bookmarkStart w:id="61" w:name="_Toc4096"/>
      <w:r>
        <w:rPr>
          <w:rFonts w:hint="default" w:ascii="Times New Roman" w:hAnsi="Times New Roman" w:cs="Times New Roman"/>
          <w:color w:val="auto"/>
          <w:highlight w:val="none"/>
          <w:lang w:val="en-US" w:eastAsia="zh-CN"/>
        </w:rPr>
        <w:t>3.</w:t>
      </w:r>
      <w:r>
        <w:rPr>
          <w:rFonts w:hint="eastAsia" w:cs="Times New Roman"/>
          <w:color w:val="auto"/>
          <w:highlight w:val="none"/>
          <w:lang w:val="en-US" w:eastAsia="zh-CN"/>
        </w:rPr>
        <w:t>4</w:t>
      </w:r>
      <w:r>
        <w:rPr>
          <w:rFonts w:hint="default" w:ascii="Times New Roman" w:hAnsi="Times New Roman" w:cs="Times New Roman"/>
          <w:color w:val="auto"/>
          <w:highlight w:val="none"/>
          <w:lang w:val="en-US" w:eastAsia="zh-CN"/>
        </w:rPr>
        <w:t>土壤</w:t>
      </w:r>
      <w:bookmarkEnd w:id="61"/>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根据土壤信息服务平台上1:400万土壤类型图资料显示项目区土壤类型为风沙土和绿洲土根据土壤信息服务平台上 1:400 万土壤类型图资料，项目区沿线土壤类型以绿洲土、棕漠土和风沙土为主，该区土层较厚、盐碱轻，肥力较高，但因沙质、团粒结构差，保水保肥能力弱；有机质含量低，普遍缺氮少磷多钾偏碱。结合实地调查情况，项目区周边土壤类型主要为风沙土，</w:t>
      </w:r>
      <w:r>
        <w:rPr>
          <w:rFonts w:hint="eastAsia" w:ascii="Times New Roman" w:hAnsi="Times New Roman" w:eastAsia="仿宋" w:cs="Times New Roman"/>
          <w:color w:val="auto"/>
          <w:sz w:val="24"/>
          <w:szCs w:val="24"/>
          <w:highlight w:val="none"/>
          <w:lang w:val="en-US" w:eastAsia="zh-CN"/>
        </w:rPr>
        <w:t>pH值</w:t>
      </w:r>
      <w:r>
        <w:rPr>
          <w:rFonts w:hint="default" w:ascii="Times New Roman" w:hAnsi="Times New Roman" w:eastAsia="仿宋" w:cs="Times New Roman"/>
          <w:color w:val="auto"/>
          <w:sz w:val="24"/>
          <w:szCs w:val="24"/>
          <w:highlight w:val="none"/>
          <w:lang w:val="en-US" w:eastAsia="zh-CN"/>
        </w:rPr>
        <w:t>为8.3-9.0，土壤容重1.56g/cm</w:t>
      </w:r>
      <w:r>
        <w:rPr>
          <w:rFonts w:hint="default" w:ascii="Times New Roman" w:hAnsi="Times New Roman" w:eastAsia="仿宋" w:cs="Times New Roman"/>
          <w:color w:val="auto"/>
          <w:sz w:val="24"/>
          <w:szCs w:val="24"/>
          <w:highlight w:val="none"/>
          <w:vertAlign w:val="superscript"/>
          <w:lang w:val="en-US" w:eastAsia="zh-CN"/>
        </w:rPr>
        <w:t>3</w:t>
      </w:r>
      <w:r>
        <w:rPr>
          <w:rFonts w:hint="default" w:ascii="Times New Roman" w:hAnsi="Times New Roman" w:eastAsia="仿宋" w:cs="Times New Roman"/>
          <w:color w:val="auto"/>
          <w:sz w:val="24"/>
          <w:szCs w:val="24"/>
          <w:highlight w:val="none"/>
          <w:lang w:val="en-US" w:eastAsia="zh-CN"/>
        </w:rPr>
        <w:t>，土壤肥力较低，表层土壤（0-30cm）有机质含量1.76g/kg，</w:t>
      </w:r>
      <w:r>
        <w:rPr>
          <w:rFonts w:hint="eastAsia" w:ascii="Times New Roman" w:hAnsi="Times New Roman" w:eastAsia="仿宋" w:cs="Times New Roman"/>
          <w:color w:val="auto"/>
          <w:sz w:val="24"/>
          <w:szCs w:val="24"/>
          <w:highlight w:val="none"/>
          <w:lang w:val="en-US" w:eastAsia="zh-CN"/>
        </w:rPr>
        <w:t>砂砾石含量≤5%。</w:t>
      </w:r>
    </w:p>
    <w:p>
      <w:pPr>
        <w:pStyle w:val="2"/>
        <w:jc w:val="center"/>
        <w:rPr>
          <w:rFonts w:hint="default"/>
          <w:lang w:val="en-US" w:eastAsia="zh-CN"/>
        </w:rPr>
      </w:pPr>
    </w:p>
    <w:p>
      <w:pPr>
        <w:adjustRightInd w:val="0"/>
        <w:snapToGrid w:val="0"/>
        <w:spacing w:after="0" w:line="240" w:lineRule="auto"/>
        <w:jc w:val="center"/>
        <w:rPr>
          <w:rFonts w:hint="eastAsia" w:ascii="Times New Roman" w:hAnsi="Times New Roman" w:eastAsia="黑体"/>
          <w:color w:val="000000" w:themeColor="text1"/>
          <w:sz w:val="21"/>
          <w:szCs w:val="21"/>
          <w:highlight w:val="none"/>
          <w:u w:color="000000" w:themeColor="text1"/>
          <w:lang w:eastAsia="zh-CN"/>
          <w14:textFill>
            <w14:solidFill>
              <w14:schemeClr w14:val="tx1"/>
            </w14:solidFill>
          </w14:textFill>
        </w:rPr>
      </w:pPr>
      <w:r>
        <w:rPr>
          <w:rFonts w:ascii="Times New Roman" w:hAnsi="Times New Roman" w:eastAsia="黑体"/>
          <w:color w:val="000000" w:themeColor="text1"/>
          <w:sz w:val="21"/>
          <w:szCs w:val="21"/>
          <w:highlight w:val="none"/>
          <w:u w:color="000000" w:themeColor="text1"/>
          <w:lang w:eastAsia="zh-CN"/>
          <w14:textFill>
            <w14:solidFill>
              <w14:schemeClr w14:val="tx1"/>
            </w14:solidFill>
          </w14:textFill>
        </w:rPr>
        <w:t>图3-</w:t>
      </w:r>
      <w:r>
        <w:rPr>
          <w:rFonts w:hint="eastAsia" w:ascii="Times New Roman" w:hAnsi="Times New Roman" w:eastAsia="黑体"/>
          <w:color w:val="000000" w:themeColor="text1"/>
          <w:sz w:val="21"/>
          <w:szCs w:val="21"/>
          <w:highlight w:val="none"/>
          <w:u w:color="000000" w:themeColor="text1"/>
          <w:lang w:val="en-US" w:eastAsia="zh-CN"/>
          <w14:textFill>
            <w14:solidFill>
              <w14:schemeClr w14:val="tx1"/>
            </w14:solidFill>
          </w14:textFill>
        </w:rPr>
        <w:t>1</w:t>
      </w:r>
      <w:r>
        <w:rPr>
          <w:rFonts w:ascii="Times New Roman" w:hAnsi="Times New Roman" w:eastAsia="黑体"/>
          <w:color w:val="000000" w:themeColor="text1"/>
          <w:sz w:val="21"/>
          <w:szCs w:val="21"/>
          <w:highlight w:val="none"/>
          <w:u w:color="000000" w:themeColor="text1"/>
          <w:lang w:eastAsia="zh-CN"/>
          <w14:textFill>
            <w14:solidFill>
              <w14:schemeClr w14:val="tx1"/>
            </w14:solidFill>
          </w14:textFill>
        </w:rPr>
        <w:t xml:space="preserve"> 项目区</w:t>
      </w:r>
      <w:r>
        <w:rPr>
          <w:rFonts w:hint="eastAsia" w:ascii="Times New Roman" w:hAnsi="Times New Roman" w:eastAsia="黑体"/>
          <w:color w:val="000000" w:themeColor="text1"/>
          <w:sz w:val="21"/>
          <w:szCs w:val="21"/>
          <w:highlight w:val="none"/>
          <w:u w:color="000000" w:themeColor="text1"/>
          <w:lang w:eastAsia="zh-CN"/>
          <w14:textFill>
            <w14:solidFill>
              <w14:schemeClr w14:val="tx1"/>
            </w14:solidFill>
          </w14:textFill>
        </w:rPr>
        <w:t>土壤类型分布图</w:t>
      </w:r>
    </w:p>
    <w:p>
      <w:pPr>
        <w:pStyle w:val="2"/>
        <w:rPr>
          <w:lang w:eastAsia="zh-CN"/>
        </w:rPr>
      </w:pPr>
      <w:r>
        <w:rPr>
          <w:rFonts w:hint="eastAsia"/>
          <w:lang w:val="en-US" w:eastAsia="zh-CN"/>
        </w:rPr>
        <w:t xml:space="preserve"> </w:t>
      </w:r>
    </w:p>
    <w:p>
      <w:pPr>
        <w:adjustRightInd w:val="0"/>
        <w:snapToGrid w:val="0"/>
        <w:spacing w:after="0" w:line="240" w:lineRule="auto"/>
        <w:jc w:val="center"/>
        <w:rPr>
          <w:rFonts w:hint="eastAsia" w:ascii="Times New Roman" w:hAnsi="Times New Roman" w:eastAsia="黑体"/>
          <w:color w:val="000000" w:themeColor="text1"/>
          <w:sz w:val="21"/>
          <w:szCs w:val="21"/>
          <w:highlight w:val="none"/>
          <w:u w:color="000000" w:themeColor="text1"/>
          <w:lang w:eastAsia="zh-CN"/>
          <w14:textFill>
            <w14:solidFill>
              <w14:schemeClr w14:val="tx1"/>
            </w14:solidFill>
          </w14:textFill>
        </w:rPr>
      </w:pPr>
      <w:r>
        <w:rPr>
          <w:rFonts w:ascii="Times New Roman" w:hAnsi="Times New Roman" w:eastAsia="黑体"/>
          <w:color w:val="000000" w:themeColor="text1"/>
          <w:sz w:val="21"/>
          <w:szCs w:val="21"/>
          <w:highlight w:val="none"/>
          <w:u w:color="000000" w:themeColor="text1"/>
          <w:lang w:eastAsia="zh-CN"/>
          <w14:textFill>
            <w14:solidFill>
              <w14:schemeClr w14:val="tx1"/>
            </w14:solidFill>
          </w14:textFill>
        </w:rPr>
        <w:t>图3-</w:t>
      </w:r>
      <w:r>
        <w:rPr>
          <w:rFonts w:hint="eastAsia" w:ascii="Times New Roman" w:hAnsi="Times New Roman" w:eastAsia="黑体"/>
          <w:color w:val="000000" w:themeColor="text1"/>
          <w:sz w:val="21"/>
          <w:szCs w:val="21"/>
          <w:highlight w:val="none"/>
          <w:u w:color="000000" w:themeColor="text1"/>
          <w:lang w:val="en-US" w:eastAsia="zh-CN"/>
          <w14:textFill>
            <w14:solidFill>
              <w14:schemeClr w14:val="tx1"/>
            </w14:solidFill>
          </w14:textFill>
        </w:rPr>
        <w:t>2</w:t>
      </w:r>
      <w:r>
        <w:rPr>
          <w:rFonts w:ascii="Times New Roman" w:hAnsi="Times New Roman" w:eastAsia="黑体"/>
          <w:color w:val="000000" w:themeColor="text1"/>
          <w:sz w:val="21"/>
          <w:szCs w:val="21"/>
          <w:highlight w:val="none"/>
          <w:u w:color="000000" w:themeColor="text1"/>
          <w:lang w:eastAsia="zh-CN"/>
          <w14:textFill>
            <w14:solidFill>
              <w14:schemeClr w14:val="tx1"/>
            </w14:solidFill>
          </w14:textFill>
        </w:rPr>
        <w:t xml:space="preserve"> 项目区</w:t>
      </w:r>
      <w:r>
        <w:rPr>
          <w:rFonts w:hint="eastAsia" w:ascii="Times New Roman" w:hAnsi="Times New Roman" w:eastAsia="黑体"/>
          <w:color w:val="000000" w:themeColor="text1"/>
          <w:sz w:val="21"/>
          <w:szCs w:val="21"/>
          <w:highlight w:val="none"/>
          <w:u w:color="000000" w:themeColor="text1"/>
          <w:lang w:eastAsia="zh-CN"/>
          <w14:textFill>
            <w14:solidFill>
              <w14:schemeClr w14:val="tx1"/>
            </w14:solidFill>
          </w14:textFill>
        </w:rPr>
        <w:t>土壤</w:t>
      </w:r>
      <w:r>
        <w:rPr>
          <w:rFonts w:hint="eastAsia" w:ascii="Times New Roman" w:hAnsi="Times New Roman" w:eastAsia="黑体"/>
          <w:color w:val="000000" w:themeColor="text1"/>
          <w:sz w:val="21"/>
          <w:szCs w:val="21"/>
          <w:highlight w:val="none"/>
          <w:u w:color="000000" w:themeColor="text1"/>
          <w:lang w:val="en-US" w:eastAsia="zh-CN"/>
          <w14:textFill>
            <w14:solidFill>
              <w14:schemeClr w14:val="tx1"/>
            </w14:solidFill>
          </w14:textFill>
        </w:rPr>
        <w:t>植被现状</w:t>
      </w:r>
      <w:r>
        <w:rPr>
          <w:rFonts w:hint="eastAsia" w:ascii="Times New Roman" w:hAnsi="Times New Roman" w:eastAsia="黑体"/>
          <w:color w:val="000000" w:themeColor="text1"/>
          <w:sz w:val="21"/>
          <w:szCs w:val="21"/>
          <w:highlight w:val="none"/>
          <w:u w:color="000000" w:themeColor="text1"/>
          <w:lang w:eastAsia="zh-CN"/>
          <w14:textFill>
            <w14:solidFill>
              <w14:schemeClr w14:val="tx1"/>
            </w14:solidFill>
          </w14:textFill>
        </w:rPr>
        <w:t>图</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color w:val="auto"/>
          <w:highlight w:val="none"/>
          <w:lang w:val="en-US" w:eastAsia="zh-CN"/>
        </w:rPr>
      </w:pPr>
      <w:bookmarkStart w:id="62" w:name="_Toc26067"/>
      <w:r>
        <w:rPr>
          <w:rFonts w:hint="default" w:ascii="Times New Roman" w:hAnsi="Times New Roman" w:cs="Times New Roman"/>
          <w:color w:val="auto"/>
          <w:highlight w:val="none"/>
          <w:lang w:val="en-US" w:eastAsia="zh-CN"/>
        </w:rPr>
        <w:t>3.</w:t>
      </w:r>
      <w:r>
        <w:rPr>
          <w:rFonts w:hint="eastAsia" w:cs="Times New Roman"/>
          <w:color w:val="auto"/>
          <w:highlight w:val="none"/>
          <w:lang w:val="en-US" w:eastAsia="zh-CN"/>
        </w:rPr>
        <w:t>5</w:t>
      </w:r>
      <w:r>
        <w:rPr>
          <w:rFonts w:hint="default" w:ascii="Times New Roman" w:hAnsi="Times New Roman" w:cs="Times New Roman"/>
          <w:color w:val="auto"/>
          <w:highlight w:val="none"/>
          <w:lang w:val="en-US" w:eastAsia="zh-CN"/>
        </w:rPr>
        <w:t>植被</w:t>
      </w:r>
      <w:bookmarkEnd w:id="62"/>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项目</w:t>
      </w:r>
      <w:r>
        <w:rPr>
          <w:rFonts w:hint="eastAsia" w:ascii="Times New Roman" w:hAnsi="Times New Roman" w:eastAsia="仿宋" w:cs="Times New Roman"/>
          <w:color w:val="auto"/>
          <w:sz w:val="24"/>
          <w:szCs w:val="24"/>
          <w:highlight w:val="none"/>
          <w:lang w:val="en-US" w:eastAsia="zh-CN"/>
        </w:rPr>
        <w:t>临时用地区</w:t>
      </w:r>
      <w:r>
        <w:rPr>
          <w:rFonts w:hint="default" w:ascii="Times New Roman" w:hAnsi="Times New Roman" w:eastAsia="仿宋" w:cs="Times New Roman"/>
          <w:color w:val="auto"/>
          <w:sz w:val="24"/>
          <w:szCs w:val="24"/>
          <w:highlight w:val="none"/>
          <w:lang w:val="en-US" w:eastAsia="zh-CN"/>
        </w:rPr>
        <w:t>地处沙漠边缘，是世界上生态环境最为恶劣的地区之一，绿洲多处于沙漠包围之中，生态环境脆弱，大部分是沙漠和芦苇戈壁，天然植被发育一般，</w:t>
      </w:r>
      <w:r>
        <w:rPr>
          <w:rFonts w:hint="eastAsia" w:ascii="Times New Roman" w:hAnsi="Times New Roman" w:eastAsia="仿宋" w:cs="Times New Roman"/>
          <w:color w:val="auto"/>
          <w:sz w:val="24"/>
          <w:szCs w:val="24"/>
          <w:highlight w:val="none"/>
          <w:lang w:val="en-US" w:eastAsia="zh-CN"/>
        </w:rPr>
        <w:t>临时用地区域全部为沙地</w:t>
      </w:r>
      <w:r>
        <w:rPr>
          <w:rFonts w:hint="default" w:ascii="Times New Roman" w:hAnsi="Times New Roman" w:eastAsia="仿宋" w:cs="Times New Roman"/>
          <w:color w:val="auto"/>
          <w:sz w:val="24"/>
          <w:szCs w:val="24"/>
          <w:highlight w:val="none"/>
          <w:lang w:val="en-US" w:eastAsia="zh-CN"/>
        </w:rPr>
        <w:t>，植被覆盖率低于5%。</w:t>
      </w:r>
    </w:p>
    <w:p>
      <w:pPr>
        <w:pStyle w:val="2"/>
        <w:keepNext w:val="0"/>
        <w:keepLines w:val="0"/>
        <w:pageBreakBefore w:val="0"/>
        <w:widowControl w:val="0"/>
        <w:kinsoku/>
        <w:wordWrap/>
        <w:overflowPunct/>
        <w:topLinePunct w:val="0"/>
        <w:autoSpaceDE w:val="0"/>
        <w:autoSpaceDN w:val="0"/>
        <w:bidi w:val="0"/>
        <w:adjustRightInd/>
        <w:snapToGrid/>
        <w:spacing w:before="0"/>
        <w:ind w:left="0"/>
        <w:jc w:val="center"/>
        <w:textAlignment w:val="auto"/>
        <w:rPr>
          <w:rFonts w:hint="default"/>
          <w:lang w:val="en-US" w:eastAsia="zh-CN"/>
        </w:rPr>
      </w:pPr>
    </w:p>
    <w:p>
      <w:pPr>
        <w:pStyle w:val="78"/>
        <w:tabs>
          <w:tab w:val="left" w:pos="1418"/>
        </w:tabs>
        <w:adjustRightInd w:val="0"/>
        <w:spacing w:line="240" w:lineRule="auto"/>
        <w:ind w:firstLine="0" w:firstLineChars="0"/>
        <w:jc w:val="center"/>
        <w:rPr>
          <w:rFonts w:eastAsia="黑体" w:cs="Times New Roman"/>
          <w:color w:val="000000" w:themeColor="text1"/>
          <w:sz w:val="21"/>
          <w:highlight w:val="none"/>
          <w:u w:color="000000" w:themeColor="text1"/>
          <w14:textFill>
            <w14:solidFill>
              <w14:schemeClr w14:val="tx1"/>
            </w14:solidFill>
          </w14:textFill>
        </w:rPr>
      </w:pPr>
      <w:r>
        <w:rPr>
          <w:rFonts w:hint="eastAsia" w:eastAsia="黑体" w:cs="Times New Roman"/>
          <w:color w:val="000000" w:themeColor="text1"/>
          <w:sz w:val="21"/>
          <w:highlight w:val="none"/>
          <w:u w:color="000000" w:themeColor="text1"/>
          <w14:textFill>
            <w14:solidFill>
              <w14:schemeClr w14:val="tx1"/>
            </w14:solidFill>
          </w14:textFill>
        </w:rPr>
        <w:t>图3-</w:t>
      </w:r>
      <w:r>
        <w:rPr>
          <w:rFonts w:hint="eastAsia" w:eastAsia="黑体" w:cs="Times New Roman"/>
          <w:color w:val="000000" w:themeColor="text1"/>
          <w:sz w:val="21"/>
          <w:highlight w:val="none"/>
          <w:u w:color="000000" w:themeColor="text1"/>
          <w:lang w:val="en-US" w:eastAsia="zh-CN"/>
          <w14:textFill>
            <w14:solidFill>
              <w14:schemeClr w14:val="tx1"/>
            </w14:solidFill>
          </w14:textFill>
        </w:rPr>
        <w:t>3</w:t>
      </w:r>
      <w:r>
        <w:rPr>
          <w:rFonts w:hint="eastAsia" w:eastAsia="黑体" w:cs="Times New Roman"/>
          <w:color w:val="000000" w:themeColor="text1"/>
          <w:sz w:val="21"/>
          <w:highlight w:val="none"/>
          <w:u w:color="000000" w:themeColor="text1"/>
          <w14:textFill>
            <w14:solidFill>
              <w14:schemeClr w14:val="tx1"/>
            </w14:solidFill>
          </w14:textFill>
        </w:rPr>
        <w:t xml:space="preserve"> 项目区植被分布图</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color w:val="auto"/>
          <w:highlight w:val="none"/>
          <w:lang w:val="en-US" w:eastAsia="zh-CN"/>
        </w:rPr>
      </w:pPr>
      <w:bookmarkStart w:id="63" w:name="_Toc19605"/>
      <w:r>
        <w:rPr>
          <w:rFonts w:hint="default" w:ascii="Times New Roman" w:hAnsi="Times New Roman" w:cs="Times New Roman"/>
          <w:color w:val="auto"/>
          <w:highlight w:val="none"/>
          <w:lang w:val="en-US" w:eastAsia="zh-CN"/>
        </w:rPr>
        <w:t>3.</w:t>
      </w:r>
      <w:r>
        <w:rPr>
          <w:rFonts w:hint="eastAsia" w:cs="Times New Roman"/>
          <w:color w:val="auto"/>
          <w:highlight w:val="none"/>
          <w:lang w:val="en-US" w:eastAsia="zh-CN"/>
        </w:rPr>
        <w:t>6</w:t>
      </w:r>
      <w:r>
        <w:rPr>
          <w:rFonts w:hint="default" w:ascii="Times New Roman" w:hAnsi="Times New Roman" w:cs="Times New Roman"/>
          <w:color w:val="auto"/>
          <w:highlight w:val="none"/>
          <w:lang w:val="en-US" w:eastAsia="zh-CN"/>
        </w:rPr>
        <w:t>工程地质</w:t>
      </w:r>
      <w:bookmarkEnd w:id="63"/>
    </w:p>
    <w:p>
      <w:pPr>
        <w:spacing w:line="360" w:lineRule="auto"/>
        <w:ind w:firstLine="482" w:firstLineChars="200"/>
        <w:rPr>
          <w:rFonts w:hint="default" w:ascii="Times New Roman" w:hAnsi="Times New Roman" w:eastAsia="仿宋" w:cs="Times New Roman"/>
          <w:b/>
          <w:bCs/>
          <w:color w:val="auto"/>
          <w:sz w:val="24"/>
          <w:szCs w:val="24"/>
          <w:highlight w:val="none"/>
          <w:lang w:val="en-US" w:eastAsia="zh-CN"/>
        </w:rPr>
      </w:pPr>
      <w:r>
        <w:rPr>
          <w:rFonts w:hint="eastAsia" w:ascii="Times New Roman" w:hAnsi="Times New Roman" w:eastAsia="仿宋" w:cs="Times New Roman"/>
          <w:b/>
          <w:bCs/>
          <w:color w:val="auto"/>
          <w:sz w:val="24"/>
          <w:szCs w:val="24"/>
          <w:highlight w:val="none"/>
          <w:lang w:val="en-US" w:eastAsia="zh-CN"/>
        </w:rPr>
        <w:t>1.地质条件</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该依据《新疆维吾尔自治区区域地质志》，该项目所在区域，地质构造单元从一级至四级依次为：塔里木地台（Ⅸ）-塔里木台坳（Ⅸ5）-西南坳陷-（Ⅸ54）-喀什凹陷（Ⅸ54-2）。</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一级构造单元—塔里木地台：位于天山、准噶尔-北天山和昆仑褶皱系之间，其北以库尔勒、乌恰、阿其克库都克深断裂为界、其南以阿尔金、柯岗断裂为界，基地埋深5-15Km。地台由一系列断隆和坳陷组成并具三重结构，即由前震旦纪变质基地，震旦系和古生界盖层及中新生界后地台盖层组成。</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二级构造单元—塔里木台坳（Ⅸ5）：位于塔里木地台的坳陷区，其边缘和中央有前古生界和古生界出露，分布零星，表面坳陷是在前期槽、台基础上发展起来的中新生代坳陷。坳陷内以中新生界为主，古生界次之。</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三级构造单元—西南坳陷（Ⅸ54）：坳陷内基地曲线西南陡、东北缓，其新生代沉积可达万米，是新生坳陷。坳陷内地层为台型盖层，有志留系、泥盆系、石炭系、二叠系和中、新生代后地台盖层的侏罗系、白垩系、第三系及第四系。</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四级构造单元—喀什凹陷（Ⅸ54-2）：主要以第四系沉积物为主，土质主要以冲洪，积粉质粘土、黏土、砂土及砾石土为主，表层局部范围分布第四系全新统风积沙。本项目区地处南天山冒地槽和塔里木地台两个构造单元的接触区，其深部存在地槽和地台接触带上的深大断裂—乌恰断裂，地壳结构不稳定，导致地震频发。</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项目区地震基本烈度位于Ⅷ度，地震分组为第三组。道路沿线属于平原区，地下水位埋深较浅，水位以下存在可液化土层，属抗震不利地段，建议对桥梁等构造物进行防震处理。</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项目区域内地质构造较简单，未发现发震断裂，但抗震设防烈度大于等于Ⅷ度，须考虑发震断裂错动对桥梁等构筑物的影响。道路沿线及其附近不存在对工程安全有影响的诸如岩溶、滑坡、塌陷、采空区、地裂等不良地质作用。</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综合判定该场地为相对稳定性场地，地基稳定，基本适宜本项目的建设。</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项目不涉及基本农田，不涉及林地、不涉及各类保护区和生态红线，不挖损重要矿产资源，不涉及军事设施等敏感区域，拟建场区均属国有用地。</w:t>
      </w:r>
    </w:p>
    <w:p>
      <w:pPr>
        <w:spacing w:line="360" w:lineRule="auto"/>
        <w:ind w:firstLine="482" w:firstLineChars="200"/>
        <w:rPr>
          <w:rFonts w:hint="eastAsia" w:ascii="Times New Roman" w:hAnsi="Times New Roman" w:eastAsia="仿宋" w:cs="Times New Roman"/>
          <w:b/>
          <w:bCs/>
          <w:color w:val="auto"/>
          <w:sz w:val="24"/>
          <w:szCs w:val="24"/>
          <w:highlight w:val="none"/>
          <w:lang w:val="en-US" w:eastAsia="zh-CN"/>
        </w:rPr>
      </w:pPr>
      <w:r>
        <w:rPr>
          <w:rFonts w:hint="eastAsia" w:ascii="Times New Roman" w:hAnsi="Times New Roman" w:eastAsia="仿宋" w:cs="Times New Roman"/>
          <w:b/>
          <w:bCs/>
          <w:color w:val="auto"/>
          <w:sz w:val="24"/>
          <w:szCs w:val="24"/>
          <w:highlight w:val="none"/>
          <w:lang w:val="en-US" w:eastAsia="zh-CN"/>
        </w:rPr>
        <w:t>2.地震</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本项目区地处南天山冒地槽和塔里木地台两个构造单元的接触区，其深部存在地槽和地台接触带上的深大断裂</w:t>
      </w:r>
      <w:r>
        <w:rPr>
          <w:rFonts w:hint="eastAsia" w:ascii="Times New Roman" w:hAnsi="Times New Roman" w:eastAsia="仿宋" w:cs="Times New Roman"/>
          <w:color w:val="auto"/>
          <w:sz w:val="24"/>
          <w:szCs w:val="24"/>
          <w:highlight w:val="none"/>
          <w:lang w:val="en-US" w:eastAsia="zh-CN"/>
        </w:rPr>
        <w:t>-</w:t>
      </w:r>
      <w:r>
        <w:rPr>
          <w:rFonts w:hint="default" w:ascii="Times New Roman" w:hAnsi="Times New Roman" w:eastAsia="仿宋" w:cs="Times New Roman"/>
          <w:color w:val="auto"/>
          <w:sz w:val="24"/>
          <w:szCs w:val="24"/>
          <w:highlight w:val="none"/>
          <w:lang w:val="en-US" w:eastAsia="zh-CN"/>
        </w:rPr>
        <w:t>乌恰断裂，地壳结构不稳定，导致地震频发，表现为地震活动频繁、震级高、烈度大</w:t>
      </w:r>
      <w:r>
        <w:rPr>
          <w:rFonts w:hint="eastAsia" w:ascii="Times New Roman" w:hAnsi="Times New Roman" w:eastAsia="仿宋" w:cs="Times New Roman"/>
          <w:color w:val="auto"/>
          <w:sz w:val="24"/>
          <w:szCs w:val="24"/>
          <w:highlight w:val="none"/>
          <w:lang w:val="en-US" w:eastAsia="zh-CN"/>
        </w:rPr>
        <w:t>。根据《中国地震动参数区划图》，本项目区域内地震动峰值加速度系数为0.20～0.30，其中，沿线大部分区域为0.20，靠近英吉沙县城路段为0.30，地震动反应谱特征周期Tg为0.45s。本项目区域内地震活动较频繁，结构物设计应进行抗震设计。地震动峰值加速度区划见图。</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pPr>
      <w:r>
        <w:drawing>
          <wp:inline distT="0" distB="0" distL="114300" distR="114300">
            <wp:extent cx="5266055" cy="2933700"/>
            <wp:effectExtent l="0" t="0" r="10795" b="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7"/>
                    <a:stretch>
                      <a:fillRect/>
                    </a:stretch>
                  </pic:blipFill>
                  <pic:spPr>
                    <a:xfrm>
                      <a:off x="0" y="0"/>
                      <a:ext cx="5266055" cy="2933700"/>
                    </a:xfrm>
                    <a:prstGeom prst="rect">
                      <a:avLst/>
                    </a:prstGeom>
                    <a:noFill/>
                    <a:ln>
                      <a:noFill/>
                    </a:ln>
                  </pic:spPr>
                </pic:pic>
              </a:graphicData>
            </a:graphic>
          </wp:inline>
        </w:drawing>
      </w:r>
    </w:p>
    <w:p>
      <w:pPr>
        <w:pStyle w:val="43"/>
        <w:shd w:val="clear"/>
        <w:ind w:firstLine="420"/>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图3-2 地震动峰值加速度系数区划图 </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cs="Times New Roman"/>
          <w:color w:val="auto"/>
          <w:highlight w:val="none"/>
          <w:lang w:val="en-US" w:eastAsia="zh-CN"/>
        </w:rPr>
      </w:pPr>
      <w:bookmarkStart w:id="64" w:name="_Toc18378"/>
      <w:r>
        <w:rPr>
          <w:rFonts w:hint="eastAsia" w:cs="Times New Roman"/>
          <w:color w:val="auto"/>
          <w:highlight w:val="none"/>
          <w:lang w:val="en-US" w:eastAsia="zh-CN"/>
        </w:rPr>
        <w:t>3.7</w:t>
      </w:r>
      <w:r>
        <w:rPr>
          <w:rFonts w:hint="eastAsia" w:ascii="Times New Roman" w:hAnsi="Times New Roman" w:cs="Times New Roman"/>
          <w:color w:val="auto"/>
          <w:highlight w:val="none"/>
          <w:lang w:val="en-US" w:eastAsia="zh-CN"/>
        </w:rPr>
        <w:t>沿线环境敏感区(点)重要设施的分布情况</w:t>
      </w:r>
      <w:bookmarkEnd w:id="64"/>
    </w:p>
    <w:p>
      <w:pPr>
        <w:spacing w:line="360" w:lineRule="auto"/>
        <w:ind w:firstLine="482" w:firstLineChars="200"/>
        <w:rPr>
          <w:rFonts w:hint="eastAsia" w:ascii="Times New Roman" w:hAnsi="Times New Roman" w:eastAsia="仿宋" w:cs="Times New Roman"/>
          <w:b/>
          <w:bCs/>
          <w:color w:val="auto"/>
          <w:sz w:val="24"/>
          <w:szCs w:val="24"/>
          <w:highlight w:val="none"/>
          <w:lang w:val="en-US" w:eastAsia="zh-CN"/>
        </w:rPr>
      </w:pPr>
      <w:r>
        <w:rPr>
          <w:rFonts w:hint="eastAsia" w:ascii="Times New Roman" w:hAnsi="Times New Roman" w:eastAsia="仿宋" w:cs="Times New Roman"/>
          <w:b/>
          <w:bCs/>
          <w:color w:val="auto"/>
          <w:sz w:val="24"/>
          <w:szCs w:val="24"/>
          <w:highlight w:val="none"/>
          <w:lang w:val="en-US" w:eastAsia="zh-CN"/>
        </w:rPr>
        <w:t>1.自然生态</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1）区域生态功能区划</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根据《新疆生态环境功能区划》，本项目公路所在区属塔里木盆地暖温极干旱沙漠、戈壁及绿洲农业生态区。塔里木盆地西部和北部荒漠、绿洲农业生态亚区。喀什三角洲荒漠-绿洲农业、盐渍化敏感与改水防病生态功能区。</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2）沿线主要生态保护区</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根据路线走廊带内永久基本农田、防风固沙保护区、沙化土地封禁保护区、国家公益林的分布情况，受路线基本走向和沿线永久基本农田、国家公益林的影响，不可避免的穿越防风固沙保护区、沙化土地封禁保护区。</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（1）喀什噶尔河-叶尔羌河流域防风固沙生态保护红线区</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本项目走廊带范围为在岳普湖县、疏勒县、英吉沙县境内穿越多处生态保护红线（喀什噶尔河-叶尔羌河流域防风固沙生态保护红线区）范围。</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项目在设计时各项要素指标要求非常严格，公路路线方案的功能必须满足相应公路等级的要求，路线宜直顺，减少平面交叉干扰；同时要考虑沿线经济群体出行的便捷性，为沿线经济发展提供良好的服务。因此，路线总体设计必须以沿线生产单位为控制点，结合实际，力求与城镇的发展规划相配合，但仍不可避免占用拟定生态保护红线。</w:t>
      </w:r>
    </w:p>
    <w:p>
      <w:pPr>
        <w:pStyle w:val="43"/>
        <w:keepNext w:val="0"/>
        <w:keepLines w:val="0"/>
        <w:pageBreakBefore w:val="0"/>
        <w:widowControl w:val="0"/>
        <w:shd w:val="clear"/>
        <w:kinsoku/>
        <w:wordWrap/>
        <w:overflowPunct/>
        <w:topLinePunct w:val="0"/>
        <w:autoSpaceDE/>
        <w:autoSpaceDN/>
        <w:bidi w:val="0"/>
        <w:adjustRightInd/>
        <w:snapToGrid/>
        <w:ind w:firstLine="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drawing>
          <wp:inline distT="0" distB="0" distL="114300" distR="114300">
            <wp:extent cx="5655945" cy="4647565"/>
            <wp:effectExtent l="0" t="0" r="1905" b="635"/>
            <wp:docPr id="21" name="图片 21" descr="1706690438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706690438833"/>
                    <pic:cNvPicPr>
                      <a:picLocks noChangeAspect="1"/>
                    </pic:cNvPicPr>
                  </pic:nvPicPr>
                  <pic:blipFill>
                    <a:blip r:embed="rId18"/>
                    <a:stretch>
                      <a:fillRect/>
                    </a:stretch>
                  </pic:blipFill>
                  <pic:spPr>
                    <a:xfrm>
                      <a:off x="0" y="0"/>
                      <a:ext cx="5655945" cy="4647565"/>
                    </a:xfrm>
                    <a:prstGeom prst="rect">
                      <a:avLst/>
                    </a:prstGeom>
                  </pic:spPr>
                </pic:pic>
              </a:graphicData>
            </a:graphic>
          </wp:inline>
        </w:drawing>
      </w:r>
    </w:p>
    <w:p>
      <w:pPr>
        <w:pStyle w:val="43"/>
        <w:shd w:val="clear"/>
        <w:ind w:firstLine="420"/>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图3-3 本项目与生态安全控制线关系图 </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（2）新疆维吾尔自治区英吉沙县布谷拉木国家沙化土地封禁保护区</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新疆维吾尔自治区英吉沙县布谷拉木国家沙化土地封禁保护区位于英吉沙县英也尔乡和萨罕乡绿洲外围，项目区四至坐标为：624705，4319267；619246，4316845；619221，4315787；624143，4311646；626264，4306012；629508，4303546；634563，4309429；635093，4313809。封禁面积为11383.44公顷。</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本项目走廊带范围在英吉沙县境内经过新疆维吾尔自治区英吉沙县布谷拉木国家沙化土地封禁保护区，路线穿越沙化土地封禁保护区范围，如下图所示。</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项目临时用地区域占生态红线1.4777公顷，为喀什噶尔河-叶尔羌河流域防风固沙生态保护红线区，位于环评批复临时用地范围内。</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仿宋" w:cs="Times New Roman"/>
          <w:color w:val="auto"/>
          <w:sz w:val="24"/>
          <w:szCs w:val="24"/>
          <w:highlight w:val="none"/>
          <w:lang w:val="en-US" w:eastAsia="zh-CN"/>
        </w:rPr>
      </w:pPr>
    </w:p>
    <w:p>
      <w:pPr>
        <w:pStyle w:val="43"/>
        <w:shd w:val="clear"/>
        <w:ind w:firstLine="420"/>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 xml:space="preserve">图3-4 本项目与沙化土地封禁保护区关系图 </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仿宋" w:cs="Times New Roman"/>
          <w:color w:val="auto"/>
          <w:sz w:val="24"/>
          <w:szCs w:val="24"/>
          <w:highlight w:val="none"/>
          <w:lang w:val="en-US" w:eastAsia="zh-CN"/>
        </w:rPr>
      </w:pP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p>
    <w:p>
      <w:pPr>
        <w:rPr>
          <w:rFonts w:hint="default" w:ascii="Times New Roman" w:hAnsi="Times New Roman" w:cs="Times New Roman"/>
          <w:color w:val="auto"/>
          <w:highlight w:val="none"/>
          <w:lang w:val="en-US" w:eastAsia="zh-CN"/>
        </w:rPr>
      </w:pPr>
      <w:bookmarkStart w:id="65" w:name="_Toc17247"/>
      <w:r>
        <w:rPr>
          <w:rFonts w:hint="default" w:ascii="Times New Roman" w:hAnsi="Times New Roman" w:cs="Times New Roman"/>
          <w:color w:val="auto"/>
          <w:highlight w:val="none"/>
          <w:lang w:val="en-US" w:eastAsia="zh-CN"/>
        </w:rPr>
        <w:br w:type="page"/>
      </w:r>
    </w:p>
    <w:p>
      <w:pPr>
        <w:pStyle w:val="3"/>
        <w:rPr>
          <w:rFonts w:hint="default" w:ascii="Times New Roman" w:hAnsi="Times New Roman" w:cs="Times New Roman"/>
          <w:color w:val="auto"/>
          <w:highlight w:val="none"/>
          <w:lang w:val="en-US" w:eastAsia="zh-CN"/>
        </w:rPr>
      </w:pPr>
      <w:bookmarkStart w:id="66" w:name="_Toc20266"/>
      <w:r>
        <w:rPr>
          <w:rFonts w:hint="default" w:ascii="Times New Roman" w:hAnsi="Times New Roman" w:cs="Times New Roman"/>
          <w:color w:val="auto"/>
          <w:highlight w:val="none"/>
          <w:lang w:val="en-US" w:eastAsia="zh-CN"/>
        </w:rPr>
        <w:t>4土地复垦方向及可行性分析</w:t>
      </w:r>
      <w:bookmarkEnd w:id="65"/>
      <w:bookmarkEnd w:id="66"/>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color w:val="auto"/>
          <w:highlight w:val="none"/>
          <w:lang w:val="en-US" w:eastAsia="zh-CN"/>
        </w:rPr>
      </w:pPr>
      <w:bookmarkStart w:id="67" w:name="_Toc31856"/>
      <w:bookmarkStart w:id="68" w:name="_Toc30655"/>
      <w:r>
        <w:rPr>
          <w:rFonts w:hint="default" w:ascii="Times New Roman" w:hAnsi="Times New Roman" w:cs="Times New Roman"/>
          <w:color w:val="auto"/>
          <w:highlight w:val="none"/>
          <w:lang w:val="en-US" w:eastAsia="zh-CN"/>
        </w:rPr>
        <w:t>4.1土地损毁分析与预测</w:t>
      </w:r>
      <w:bookmarkEnd w:id="67"/>
      <w:bookmarkEnd w:id="68"/>
    </w:p>
    <w:p>
      <w:pPr>
        <w:adjustRightInd w:val="0"/>
        <w:snapToGrid w:val="0"/>
        <w:spacing w:after="0" w:line="360" w:lineRule="auto"/>
        <w:ind w:firstLine="480" w:firstLineChars="200"/>
        <w:jc w:val="both"/>
        <w:rPr>
          <w:rFonts w:ascii="Times New Roman" w:hAnsi="Times New Roman" w:eastAsia="仿宋"/>
          <w:color w:val="000000" w:themeColor="text1"/>
          <w:sz w:val="24"/>
          <w:szCs w:val="24"/>
          <w:highlight w:val="none"/>
          <w:u w:color="000000" w:themeColor="text1"/>
          <w:lang w:eastAsia="zh-CN"/>
          <w14:textFill>
            <w14:solidFill>
              <w14:schemeClr w14:val="tx1"/>
            </w14:solidFill>
          </w14:textFill>
        </w:rPr>
      </w:pPr>
      <w:r>
        <w:rPr>
          <w:rFonts w:ascii="Times New Roman" w:hAnsi="Times New Roman" w:eastAsia="仿宋"/>
          <w:color w:val="000000" w:themeColor="text1"/>
          <w:sz w:val="24"/>
          <w:szCs w:val="24"/>
          <w:highlight w:val="none"/>
          <w:u w:color="000000" w:themeColor="text1"/>
          <w:lang w:eastAsia="zh-CN"/>
          <w14:textFill>
            <w14:solidFill>
              <w14:schemeClr w14:val="tx1"/>
            </w14:solidFill>
          </w14:textFill>
        </w:rPr>
        <w:t>在土地损毁分析过程中，项目的施工工艺及流程是分析和明确土地损毁环节和形式的主要依据。本方案在土地损毁环节与时序分析过程中，对项目主要施工工艺及流程进行具体说明。</w:t>
      </w:r>
    </w:p>
    <w:p>
      <w:pPr>
        <w:pStyle w:val="5"/>
        <w:keepNext w:val="0"/>
        <w:keepLines w:val="0"/>
        <w:tabs>
          <w:tab w:val="left" w:pos="426"/>
        </w:tabs>
        <w:adjustRightInd w:val="0"/>
        <w:snapToGrid w:val="0"/>
        <w:spacing w:before="0" w:after="0" w:line="360" w:lineRule="auto"/>
        <w:ind w:firstLine="482" w:firstLineChars="200"/>
        <w:textAlignment w:val="baseline"/>
        <w:rPr>
          <w:rFonts w:hint="default" w:ascii="Times New Roman" w:hAnsi="Times New Roman" w:cs="Times New Roman"/>
          <w:b/>
          <w:bCs w:val="0"/>
          <w:kern w:val="0"/>
          <w:szCs w:val="28"/>
          <w:highlight w:val="none"/>
          <w:lang w:val="en-US" w:eastAsia="zh-CN"/>
        </w:rPr>
      </w:pPr>
      <w:bookmarkStart w:id="69" w:name="_Toc22743"/>
      <w:bookmarkStart w:id="70" w:name="_Toc1237"/>
      <w:r>
        <w:rPr>
          <w:rFonts w:hint="default" w:ascii="Times New Roman" w:hAnsi="Times New Roman" w:cs="Times New Roman"/>
          <w:b/>
          <w:bCs w:val="0"/>
          <w:kern w:val="0"/>
          <w:szCs w:val="28"/>
          <w:highlight w:val="none"/>
          <w:lang w:val="en-US" w:eastAsia="zh-CN"/>
        </w:rPr>
        <w:t>4.1.1主体工程施工工艺</w:t>
      </w:r>
      <w:bookmarkEnd w:id="69"/>
      <w:bookmarkEnd w:id="70"/>
    </w:p>
    <w:p>
      <w:pPr>
        <w:adjustRightInd w:val="0"/>
        <w:snapToGrid w:val="0"/>
        <w:spacing w:line="360" w:lineRule="auto"/>
        <w:ind w:firstLine="482" w:firstLineChars="200"/>
        <w:rPr>
          <w:rFonts w:hint="default" w:ascii="Times New Roman" w:hAnsi="Times New Roman" w:eastAsia="仿宋_GB2312" w:cs="Times New Roman"/>
          <w:b/>
          <w:bCs/>
          <w:kern w:val="0"/>
          <w:sz w:val="24"/>
          <w:szCs w:val="24"/>
          <w:highlight w:val="none"/>
          <w:lang w:val="en-US" w:eastAsia="zh-CN"/>
        </w:rPr>
      </w:pPr>
      <w:r>
        <w:rPr>
          <w:rFonts w:hint="default" w:ascii="Times New Roman" w:hAnsi="Times New Roman" w:eastAsia="仿宋_GB2312" w:cs="Times New Roman"/>
          <w:b/>
          <w:bCs/>
          <w:kern w:val="0"/>
          <w:sz w:val="24"/>
          <w:szCs w:val="24"/>
          <w:highlight w:val="none"/>
          <w:lang w:val="en-US" w:eastAsia="zh-CN"/>
        </w:rPr>
        <w:t>a）路基工程</w:t>
      </w:r>
    </w:p>
    <w:p>
      <w:pPr>
        <w:adjustRightInd w:val="0"/>
        <w:snapToGrid w:val="0"/>
        <w:spacing w:after="0" w:line="360" w:lineRule="auto"/>
        <w:ind w:firstLine="480" w:firstLineChars="200"/>
        <w:jc w:val="both"/>
        <w:rPr>
          <w:rFonts w:hint="eastAsia"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pPr>
      <w:r>
        <w:rPr>
          <w:rFonts w:hint="eastAsia"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t>路基施工包括路基挖方和路基填筑，主要由机械完成，路基施工应采取分段、分片的方式进行，土石方的挖、装、运、摊、平、压全部采用机械流水作业，施工过程中，需加强对风沙路段病害处理，根据土方填挖工程最的大小、砂砾石材料的需求，合理布设临时备料场地。项目建设工期安排及路基质量要求，配备足量精良的施工机械，精心组织，精心管理，严格按照路基施工规范进行机械化施工，禁止野蛮施工。</w:t>
      </w:r>
    </w:p>
    <w:p>
      <w:pPr>
        <w:adjustRightInd w:val="0"/>
        <w:snapToGrid w:val="0"/>
        <w:spacing w:after="0" w:line="360" w:lineRule="auto"/>
        <w:ind w:firstLine="480" w:firstLineChars="200"/>
        <w:jc w:val="both"/>
        <w:rPr>
          <w:rFonts w:ascii="Times New Roman" w:hAnsi="Times New Roman" w:eastAsia="仿宋"/>
          <w:color w:val="000000" w:themeColor="text1"/>
          <w:sz w:val="24"/>
          <w:szCs w:val="24"/>
          <w:highlight w:val="none"/>
          <w:u w:color="000000" w:themeColor="text1"/>
          <w:lang w:eastAsia="zh-CN"/>
          <w14:textFill>
            <w14:solidFill>
              <w14:schemeClr w14:val="tx1"/>
            </w14:solidFill>
          </w14:textFill>
        </w:rPr>
      </w:pPr>
      <w:r>
        <w:rPr>
          <w:rFonts w:hint="eastAsia"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t>（1）土石方工程</w:t>
      </w:r>
    </w:p>
    <w:p>
      <w:pPr>
        <w:adjustRightInd w:val="0"/>
        <w:snapToGrid w:val="0"/>
        <w:spacing w:after="0" w:line="360" w:lineRule="auto"/>
        <w:ind w:firstLine="480" w:firstLineChars="200"/>
        <w:jc w:val="both"/>
        <w:rPr>
          <w:rFonts w:ascii="Times New Roman" w:hAnsi="Times New Roman" w:eastAsia="仿宋"/>
          <w:color w:val="000000" w:themeColor="text1"/>
          <w:sz w:val="24"/>
          <w:szCs w:val="24"/>
          <w:highlight w:val="none"/>
          <w:u w:color="000000" w:themeColor="text1"/>
          <w:lang w:eastAsia="zh-CN"/>
          <w14:textFill>
            <w14:solidFill>
              <w14:schemeClr w14:val="tx1"/>
            </w14:solidFill>
          </w14:textFill>
        </w:rPr>
      </w:pPr>
      <w:r>
        <w:rPr>
          <w:rFonts w:hint="eastAsia"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t>本项目前段位于平原微丘区，地势相对平缓，无路基高填、挖路段，施工难度一般。后段位于微丘陵地区，地形起伏较大，路基填挖偏大。为确保施工质量和进度，必须严格按照路基施工规范进行，并采用机械化施工。要确保填方路基的压实度，加强分层检验。施工过程中，应保证特殊路基治理工程与路基施工紧密衔接。</w:t>
      </w:r>
    </w:p>
    <w:p>
      <w:pPr>
        <w:adjustRightInd w:val="0"/>
        <w:snapToGrid w:val="0"/>
        <w:spacing w:after="0" w:line="360" w:lineRule="auto"/>
        <w:ind w:firstLine="480" w:firstLineChars="200"/>
        <w:jc w:val="both"/>
        <w:rPr>
          <w:rFonts w:ascii="Times New Roman" w:hAnsi="Times New Roman" w:eastAsia="仿宋"/>
          <w:color w:val="000000" w:themeColor="text1"/>
          <w:sz w:val="24"/>
          <w:szCs w:val="24"/>
          <w:highlight w:val="none"/>
          <w:u w:color="000000" w:themeColor="text1"/>
          <w:lang w:eastAsia="zh-CN"/>
          <w14:textFill>
            <w14:solidFill>
              <w14:schemeClr w14:val="tx1"/>
            </w14:solidFill>
          </w14:textFill>
        </w:rPr>
      </w:pPr>
      <w:r>
        <w:rPr>
          <w:rFonts w:hint="eastAsia"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t>（2）防护工程</w:t>
      </w:r>
    </w:p>
    <w:p>
      <w:pPr>
        <w:adjustRightInd w:val="0"/>
        <w:snapToGrid w:val="0"/>
        <w:spacing w:after="0" w:line="360" w:lineRule="auto"/>
        <w:ind w:firstLine="480" w:firstLineChars="200"/>
        <w:jc w:val="both"/>
        <w:rPr>
          <w:rFonts w:ascii="Times New Roman" w:hAnsi="Times New Roman" w:eastAsia="仿宋"/>
          <w:color w:val="000000" w:themeColor="text1"/>
          <w:sz w:val="24"/>
          <w:szCs w:val="24"/>
          <w:highlight w:val="none"/>
          <w:u w:color="000000" w:themeColor="text1"/>
          <w:lang w:eastAsia="zh-CN"/>
          <w14:textFill>
            <w14:solidFill>
              <w14:schemeClr w14:val="tx1"/>
            </w14:solidFill>
          </w14:textFill>
        </w:rPr>
      </w:pPr>
      <w:r>
        <w:rPr>
          <w:rFonts w:hint="eastAsia"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t>路基防护工程与路基土石方工程结合起来安排，并穿插在土石方工程中进行施工，施工时注意填方边坡的防护工程。</w:t>
      </w:r>
    </w:p>
    <w:p>
      <w:pPr>
        <w:adjustRightInd w:val="0"/>
        <w:snapToGrid w:val="0"/>
        <w:spacing w:after="0" w:line="360" w:lineRule="auto"/>
        <w:ind w:firstLine="480" w:firstLineChars="200"/>
        <w:jc w:val="both"/>
        <w:rPr>
          <w:rFonts w:ascii="Times New Roman" w:hAnsi="Times New Roman" w:eastAsia="仿宋"/>
          <w:color w:val="000000" w:themeColor="text1"/>
          <w:sz w:val="24"/>
          <w:szCs w:val="24"/>
          <w:highlight w:val="none"/>
          <w:u w:color="000000" w:themeColor="text1"/>
          <w:lang w:eastAsia="zh-CN"/>
          <w14:textFill>
            <w14:solidFill>
              <w14:schemeClr w14:val="tx1"/>
            </w14:solidFill>
          </w14:textFill>
        </w:rPr>
      </w:pPr>
      <w:r>
        <w:rPr>
          <w:rFonts w:hint="eastAsia"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t>（3）排水工程</w:t>
      </w:r>
    </w:p>
    <w:p>
      <w:pPr>
        <w:adjustRightInd w:val="0"/>
        <w:snapToGrid w:val="0"/>
        <w:spacing w:after="0" w:line="360" w:lineRule="auto"/>
        <w:ind w:firstLine="480" w:firstLineChars="200"/>
        <w:jc w:val="both"/>
        <w:rPr>
          <w:rFonts w:ascii="Times New Roman" w:hAnsi="Times New Roman" w:eastAsia="仿宋"/>
          <w:color w:val="000000" w:themeColor="text1"/>
          <w:sz w:val="24"/>
          <w:szCs w:val="24"/>
          <w:highlight w:val="none"/>
          <w:u w:color="000000" w:themeColor="text1"/>
          <w:lang w:eastAsia="zh-CN"/>
          <w14:textFill>
            <w14:solidFill>
              <w14:schemeClr w14:val="tx1"/>
            </w14:solidFill>
          </w14:textFill>
        </w:rPr>
      </w:pPr>
      <w:r>
        <w:rPr>
          <w:rFonts w:hint="eastAsia"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t>路基排水主要是排水边沟。排水边沟的开挖及整修，同路基土石方工程一并进行，并注意与涵洞等构造物的衔接，尽量抢在雨季前完成排水系统，以减少雨水对已建路基的浸泡和冲刷。</w:t>
      </w:r>
    </w:p>
    <w:p>
      <w:pPr>
        <w:adjustRightInd w:val="0"/>
        <w:snapToGrid w:val="0"/>
        <w:spacing w:line="360" w:lineRule="auto"/>
        <w:ind w:firstLine="482" w:firstLineChars="200"/>
        <w:rPr>
          <w:rFonts w:hint="default" w:ascii="Times New Roman" w:hAnsi="Times New Roman" w:eastAsia="仿宋_GB2312" w:cs="Times New Roman"/>
          <w:b/>
          <w:bCs/>
          <w:kern w:val="0"/>
          <w:sz w:val="24"/>
          <w:szCs w:val="24"/>
          <w:highlight w:val="none"/>
          <w:lang w:val="en-US" w:eastAsia="zh-CN"/>
        </w:rPr>
      </w:pPr>
      <w:r>
        <w:rPr>
          <w:rFonts w:hint="eastAsia" w:ascii="Times New Roman" w:hAnsi="Times New Roman" w:eastAsia="仿宋_GB2312" w:cs="Times New Roman"/>
          <w:b/>
          <w:bCs/>
          <w:kern w:val="0"/>
          <w:sz w:val="24"/>
          <w:szCs w:val="24"/>
          <w:highlight w:val="none"/>
          <w:lang w:val="en-US" w:eastAsia="zh-CN"/>
        </w:rPr>
        <w:t>b</w:t>
      </w:r>
      <w:r>
        <w:rPr>
          <w:rFonts w:hint="default" w:ascii="Times New Roman" w:hAnsi="Times New Roman" w:eastAsia="仿宋_GB2312" w:cs="Times New Roman"/>
          <w:b/>
          <w:bCs/>
          <w:kern w:val="0"/>
          <w:sz w:val="24"/>
          <w:szCs w:val="24"/>
          <w:highlight w:val="none"/>
          <w:lang w:val="en-US" w:eastAsia="zh-CN"/>
        </w:rPr>
        <w:t>）路面工程</w:t>
      </w:r>
    </w:p>
    <w:p>
      <w:pPr>
        <w:adjustRightInd w:val="0"/>
        <w:snapToGrid w:val="0"/>
        <w:spacing w:after="0" w:line="360" w:lineRule="auto"/>
        <w:ind w:firstLine="480" w:firstLineChars="200"/>
        <w:jc w:val="both"/>
        <w:rPr>
          <w:rFonts w:hint="default"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pPr>
      <w:r>
        <w:rPr>
          <w:rFonts w:hint="default"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t>路面工程施工工艺采用专门的路面机械施工，要选择有丰富经验、有先进设备的施工专业队伍。施工应优先采用全机械化施工方案，实现全集中拌和与机械化摊铺施工，严格控制材料用量和材料组成，所有基层水泥稳定砂砾和底基层天然级配砂砾均采用机械施工，保证摊铺厚度和平整度。实行严格的工序管理，做好现场监理和工序检测，正式施工前，应先进行试铺，确保施工质量。主要施工顺序为：路床整平→天然砂砾→水泥稳定砂砾基层→沥青碎石→中粒式沥青砼面层。沥青面层施工有很强的季节性，低温不安排施工，雨天暂停施工，在施工安排上争取主动，施工期间应控制好工序、作业时间和温度，工序衔接紧凑，部分施工准备工作提前与路基并行操作，设备安装调试及材料进场提前进行。拌和站附近的路基先完成交工，为路面施工创造条件。采用流水线施工法统一部署，路面施工前先做试验段，以确定的机械配置，松铺系数，碾压遍数等，试验成功后，按审批的步骤逐步施工。</w:t>
      </w:r>
    </w:p>
    <w:p>
      <w:pPr>
        <w:adjustRightInd w:val="0"/>
        <w:snapToGrid w:val="0"/>
        <w:spacing w:after="0" w:line="360" w:lineRule="auto"/>
        <w:ind w:firstLine="480" w:firstLineChars="200"/>
        <w:jc w:val="both"/>
        <w:rPr>
          <w:rFonts w:hint="default"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pPr>
      <w:r>
        <w:rPr>
          <w:rFonts w:hint="default"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t>路面工程开工前，要检查路基工程质量，合格后才能进行路面施工。路基竣工后，开始铺筑路面，路面施工过程中要严格按路面施工技术规范进行，保证路面底基层、基层材料拌和、摊铺、碾压质量。并控制对周围环境的污染。</w:t>
      </w:r>
    </w:p>
    <w:p>
      <w:pPr>
        <w:adjustRightInd w:val="0"/>
        <w:snapToGrid w:val="0"/>
        <w:spacing w:line="360" w:lineRule="auto"/>
        <w:ind w:firstLine="482" w:firstLineChars="200"/>
        <w:rPr>
          <w:rFonts w:hint="default" w:ascii="Times New Roman" w:hAnsi="Times New Roman" w:eastAsia="仿宋_GB2312" w:cs="Times New Roman"/>
          <w:b/>
          <w:bCs/>
          <w:kern w:val="0"/>
          <w:sz w:val="24"/>
          <w:szCs w:val="24"/>
          <w:highlight w:val="none"/>
          <w:lang w:val="en-US" w:eastAsia="zh-CN"/>
        </w:rPr>
      </w:pPr>
      <w:r>
        <w:rPr>
          <w:rFonts w:hint="eastAsia" w:ascii="Times New Roman" w:hAnsi="Times New Roman" w:eastAsia="仿宋_GB2312" w:cs="Times New Roman"/>
          <w:b/>
          <w:bCs/>
          <w:kern w:val="0"/>
          <w:sz w:val="24"/>
          <w:szCs w:val="24"/>
          <w:highlight w:val="none"/>
          <w:lang w:val="en-US" w:eastAsia="zh-CN"/>
        </w:rPr>
        <w:t>c</w:t>
      </w:r>
      <w:r>
        <w:rPr>
          <w:rFonts w:hint="default" w:ascii="Times New Roman" w:hAnsi="Times New Roman" w:eastAsia="仿宋_GB2312" w:cs="Times New Roman"/>
          <w:b/>
          <w:bCs/>
          <w:kern w:val="0"/>
          <w:sz w:val="24"/>
          <w:szCs w:val="24"/>
          <w:highlight w:val="none"/>
          <w:lang w:val="en-US" w:eastAsia="zh-CN"/>
        </w:rPr>
        <w:t>）桥梁及涵洞</w:t>
      </w:r>
    </w:p>
    <w:p>
      <w:pPr>
        <w:adjustRightInd w:val="0"/>
        <w:snapToGrid w:val="0"/>
        <w:spacing w:after="0" w:line="360" w:lineRule="auto"/>
        <w:ind w:firstLine="480" w:firstLineChars="200"/>
        <w:jc w:val="both"/>
        <w:rPr>
          <w:rFonts w:hint="default"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pPr>
      <w:r>
        <w:rPr>
          <w:rFonts w:hint="eastAsia"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t>桥位选择一般服从路线总体走向，在有条件的情况下进行了桥位比较。桥梁进行了控制点坐标和高程测量，并按规范及规程要求进行了桥轴线测量、洪痕调查及测量。涵洞除现场进行位置、断面尺寸、水文方面的调查勘测外，还考虑了桥涵与农田水利设施及规划的配合，外业期间征求了有关规划、交通、水利等部门的意见，收集了相关资料，尽可能保持原有河道、排灌系统及道路等设施的完整性，并充分考虑了地方交通现有规划和长远发展的可能。</w:t>
      </w:r>
    </w:p>
    <w:p>
      <w:pPr>
        <w:adjustRightInd w:val="0"/>
        <w:snapToGrid w:val="0"/>
        <w:spacing w:line="360" w:lineRule="auto"/>
        <w:ind w:firstLine="482" w:firstLineChars="200"/>
        <w:rPr>
          <w:rFonts w:hint="default" w:ascii="Times New Roman" w:hAnsi="Times New Roman" w:eastAsia="仿宋_GB2312" w:cs="Times New Roman"/>
          <w:b/>
          <w:bCs/>
          <w:kern w:val="0"/>
          <w:sz w:val="24"/>
          <w:szCs w:val="24"/>
          <w:highlight w:val="none"/>
          <w:lang w:val="en-US" w:eastAsia="zh-CN"/>
        </w:rPr>
      </w:pPr>
      <w:r>
        <w:rPr>
          <w:rFonts w:hint="eastAsia" w:ascii="Times New Roman" w:hAnsi="Times New Roman" w:eastAsia="仿宋_GB2312" w:cs="Times New Roman"/>
          <w:b/>
          <w:bCs/>
          <w:kern w:val="0"/>
          <w:sz w:val="24"/>
          <w:szCs w:val="24"/>
          <w:highlight w:val="none"/>
          <w:lang w:val="en-US" w:eastAsia="zh-CN"/>
        </w:rPr>
        <w:t>d</w:t>
      </w:r>
      <w:r>
        <w:rPr>
          <w:rFonts w:hint="default" w:ascii="Times New Roman" w:hAnsi="Times New Roman" w:eastAsia="仿宋_GB2312" w:cs="Times New Roman"/>
          <w:b/>
          <w:bCs/>
          <w:kern w:val="0"/>
          <w:sz w:val="24"/>
          <w:szCs w:val="24"/>
          <w:highlight w:val="none"/>
          <w:lang w:val="en-US" w:eastAsia="zh-CN"/>
        </w:rPr>
        <w:t>）路线交叉</w:t>
      </w:r>
    </w:p>
    <w:p>
      <w:pPr>
        <w:adjustRightInd w:val="0"/>
        <w:snapToGrid w:val="0"/>
        <w:spacing w:after="0" w:line="360" w:lineRule="auto"/>
        <w:ind w:firstLine="480" w:firstLineChars="200"/>
        <w:jc w:val="both"/>
        <w:rPr>
          <w:rFonts w:hint="eastAsia"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pPr>
      <w:r>
        <w:rPr>
          <w:rFonts w:hint="eastAsia"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t>根据本工程在当地的功能定位合理设置平交形式，结合被交路等级及规模，为降低工程实施难度和规模，节省投资，本项目与沿线公路及市政道路交叉均采用平面交叉方式。再者，采用平交方式也符合当地同类项目的传统做法，可提高拟建项目与周边路网的衔接。</w:t>
      </w:r>
    </w:p>
    <w:p>
      <w:pPr>
        <w:adjustRightInd w:val="0"/>
        <w:snapToGrid w:val="0"/>
        <w:spacing w:after="0" w:line="360" w:lineRule="auto"/>
        <w:ind w:firstLine="480" w:firstLineChars="200"/>
        <w:jc w:val="both"/>
        <w:rPr>
          <w:rFonts w:hint="eastAsia"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pPr>
      <w:r>
        <w:rPr>
          <w:rFonts w:hint="eastAsia"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t>主线全线平面交叉20处，其中与干线公路平面交叉2处分别为：S310、G315；与主要县、乡道路交叉有4处，县道X573、X470、X478等。与村村通及机耕道等其他道路交叉共14处。</w:t>
      </w:r>
    </w:p>
    <w:p>
      <w:pPr>
        <w:adjustRightInd w:val="0"/>
        <w:snapToGrid w:val="0"/>
        <w:spacing w:after="0" w:line="360" w:lineRule="auto"/>
        <w:ind w:firstLine="480" w:firstLineChars="200"/>
        <w:jc w:val="both"/>
        <w:rPr>
          <w:rFonts w:hint="eastAsia"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pPr>
      <w:r>
        <w:rPr>
          <w:rFonts w:hint="eastAsia"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t>对根据被交道路等级及道路宽度，合理组织交叉口交通组织，对重要交叉口设置信号灯控制车辆通行，对一般交叉口设置停车让行或减速让行标志，保障交叉口交通安全。</w:t>
      </w:r>
    </w:p>
    <w:p>
      <w:pPr>
        <w:adjustRightInd w:val="0"/>
        <w:snapToGrid w:val="0"/>
        <w:spacing w:line="360" w:lineRule="auto"/>
        <w:ind w:firstLine="482" w:firstLineChars="200"/>
        <w:rPr>
          <w:rFonts w:hint="default" w:ascii="Times New Roman" w:hAnsi="Times New Roman" w:eastAsia="仿宋_GB2312" w:cs="Times New Roman"/>
          <w:b/>
          <w:bCs/>
          <w:kern w:val="0"/>
          <w:sz w:val="24"/>
          <w:szCs w:val="24"/>
          <w:highlight w:val="none"/>
          <w:lang w:val="en-US" w:eastAsia="zh-CN"/>
        </w:rPr>
      </w:pPr>
      <w:r>
        <w:rPr>
          <w:rFonts w:hint="eastAsia" w:ascii="Times New Roman" w:hAnsi="Times New Roman" w:eastAsia="仿宋_GB2312" w:cs="Times New Roman"/>
          <w:b/>
          <w:bCs/>
          <w:kern w:val="0"/>
          <w:sz w:val="24"/>
          <w:szCs w:val="24"/>
          <w:highlight w:val="none"/>
          <w:lang w:val="en-US" w:eastAsia="zh-CN"/>
        </w:rPr>
        <w:t>e）</w:t>
      </w:r>
      <w:r>
        <w:rPr>
          <w:rFonts w:hint="default" w:ascii="Times New Roman" w:hAnsi="Times New Roman" w:eastAsia="仿宋_GB2312" w:cs="Times New Roman"/>
          <w:b/>
          <w:bCs/>
          <w:kern w:val="0"/>
          <w:sz w:val="24"/>
          <w:szCs w:val="24"/>
          <w:highlight w:val="none"/>
          <w:lang w:val="en-US" w:eastAsia="zh-CN"/>
        </w:rPr>
        <w:t>交通工程及沿线设施</w:t>
      </w:r>
    </w:p>
    <w:p>
      <w:pPr>
        <w:adjustRightInd w:val="0"/>
        <w:snapToGrid w:val="0"/>
        <w:spacing w:after="0" w:line="360" w:lineRule="auto"/>
        <w:ind w:firstLine="480" w:firstLineChars="200"/>
        <w:jc w:val="both"/>
        <w:rPr>
          <w:rFonts w:hint="default"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pPr>
      <w:r>
        <w:rPr>
          <w:rFonts w:hint="eastAsia"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t>（1）</w:t>
      </w:r>
      <w:r>
        <w:rPr>
          <w:rFonts w:hint="default"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t>服务设施</w:t>
      </w:r>
    </w:p>
    <w:p>
      <w:pPr>
        <w:adjustRightInd w:val="0"/>
        <w:snapToGrid w:val="0"/>
        <w:spacing w:after="0" w:line="360" w:lineRule="auto"/>
        <w:ind w:firstLine="480" w:firstLineChars="200"/>
        <w:jc w:val="both"/>
        <w:rPr>
          <w:rFonts w:hint="default"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pPr>
      <w:r>
        <w:rPr>
          <w:rFonts w:hint="default"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t>服务设施是为连续行驶的用路者提供解除疲劳、紧张，满足生理要求的场所，或为汽车提供加油、车辆检查、维修等服务的场所。根据项目服务设施等级，考虑交通量、交通组成、自然环境、用地条件等因素，结合路网情况、立交设置等选择服务设施的位置及规模。</w:t>
      </w:r>
    </w:p>
    <w:p>
      <w:pPr>
        <w:adjustRightInd w:val="0"/>
        <w:snapToGrid w:val="0"/>
        <w:spacing w:after="0" w:line="360" w:lineRule="auto"/>
        <w:ind w:firstLine="480" w:firstLineChars="200"/>
        <w:jc w:val="both"/>
        <w:rPr>
          <w:rFonts w:hint="default"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pPr>
      <w:r>
        <w:rPr>
          <w:rFonts w:hint="default"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t>本项目设置5处港湾式停靠站，分别位于K6+700、K15+900、K37+100、K51+200及K59+460处，港湾式停靠站为两侧设置。</w:t>
      </w:r>
    </w:p>
    <w:p>
      <w:pPr>
        <w:adjustRightInd w:val="0"/>
        <w:snapToGrid w:val="0"/>
        <w:spacing w:after="0" w:line="360" w:lineRule="auto"/>
        <w:ind w:firstLine="480" w:firstLineChars="200"/>
        <w:jc w:val="both"/>
        <w:rPr>
          <w:rFonts w:hint="default"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pPr>
      <w:r>
        <w:rPr>
          <w:rFonts w:hint="eastAsia"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t>（2）</w:t>
      </w:r>
      <w:r>
        <w:rPr>
          <w:rFonts w:hint="default"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t>管理设施</w:t>
      </w:r>
    </w:p>
    <w:p>
      <w:pPr>
        <w:adjustRightInd w:val="0"/>
        <w:snapToGrid w:val="0"/>
        <w:spacing w:after="0" w:line="360" w:lineRule="auto"/>
        <w:ind w:firstLine="480" w:firstLineChars="200"/>
        <w:jc w:val="both"/>
        <w:rPr>
          <w:rFonts w:hint="eastAsia"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pPr>
      <w:r>
        <w:rPr>
          <w:rFonts w:hint="eastAsia"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t>本项目路线全长67.323km，拟设置1处开放式主线收费站，本项目沿既有G219线以东5-10公里布设，且距沿线乡镇较远，为阿拉甫收费站，位于K22+435处，新建4进4出收费站，建设规模为14970平方米。</w:t>
      </w:r>
    </w:p>
    <w:p>
      <w:pPr>
        <w:pStyle w:val="5"/>
        <w:keepNext w:val="0"/>
        <w:keepLines w:val="0"/>
        <w:tabs>
          <w:tab w:val="left" w:pos="426"/>
        </w:tabs>
        <w:adjustRightInd w:val="0"/>
        <w:snapToGrid w:val="0"/>
        <w:spacing w:before="0" w:after="0" w:line="360" w:lineRule="auto"/>
        <w:ind w:firstLine="482" w:firstLineChars="200"/>
        <w:textAlignment w:val="baseline"/>
        <w:rPr>
          <w:rFonts w:hint="default" w:ascii="Times New Roman" w:hAnsi="Times New Roman" w:cs="Times New Roman"/>
          <w:b/>
          <w:bCs w:val="0"/>
          <w:kern w:val="0"/>
          <w:szCs w:val="28"/>
          <w:highlight w:val="none"/>
          <w:lang w:val="en-US" w:eastAsia="zh-CN"/>
        </w:rPr>
      </w:pPr>
      <w:bookmarkStart w:id="71" w:name="_Toc15697"/>
      <w:bookmarkStart w:id="72" w:name="_Toc16455"/>
      <w:r>
        <w:rPr>
          <w:rFonts w:hint="default" w:ascii="Times New Roman" w:hAnsi="Times New Roman" w:cs="Times New Roman"/>
          <w:b/>
          <w:bCs w:val="0"/>
          <w:kern w:val="0"/>
          <w:szCs w:val="28"/>
          <w:highlight w:val="none"/>
          <w:lang w:val="en-US" w:eastAsia="zh-CN"/>
        </w:rPr>
        <w:t>4.1.</w:t>
      </w:r>
      <w:r>
        <w:rPr>
          <w:rFonts w:hint="eastAsia" w:cs="Times New Roman"/>
          <w:b/>
          <w:bCs w:val="0"/>
          <w:kern w:val="0"/>
          <w:szCs w:val="28"/>
          <w:highlight w:val="none"/>
          <w:lang w:val="en-US" w:eastAsia="zh-CN"/>
        </w:rPr>
        <w:t>2临时用地</w:t>
      </w:r>
      <w:r>
        <w:rPr>
          <w:rFonts w:hint="default" w:ascii="Times New Roman" w:hAnsi="Times New Roman" w:cs="Times New Roman"/>
          <w:b/>
          <w:bCs w:val="0"/>
          <w:kern w:val="0"/>
          <w:szCs w:val="28"/>
          <w:highlight w:val="none"/>
          <w:lang w:val="en-US" w:eastAsia="zh-CN"/>
        </w:rPr>
        <w:t>施工工艺</w:t>
      </w:r>
      <w:bookmarkEnd w:id="71"/>
      <w:bookmarkEnd w:id="72"/>
    </w:p>
    <w:p>
      <w:pPr>
        <w:adjustRightInd w:val="0"/>
        <w:snapToGrid w:val="0"/>
        <w:spacing w:after="0" w:line="360" w:lineRule="auto"/>
        <w:ind w:firstLine="480" w:firstLineChars="200"/>
        <w:jc w:val="both"/>
        <w:rPr>
          <w:rFonts w:hint="default"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pPr>
      <w:r>
        <w:rPr>
          <w:rFonts w:hint="default"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t>根据项目实施方案等基础资料的统计和分析，结合实地调查情况，本项目</w:t>
      </w:r>
      <w:r>
        <w:rPr>
          <w:rFonts w:hint="eastAsia"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t>疏勒县</w:t>
      </w:r>
      <w:r>
        <w:rPr>
          <w:rFonts w:hint="default"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t>临时工程为</w:t>
      </w:r>
      <w:r>
        <w:rPr>
          <w:rFonts w:hint="eastAsia"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t>施工便道压占</w:t>
      </w:r>
      <w:r>
        <w:rPr>
          <w:rFonts w:hint="default"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t>造成的土地损毁</w:t>
      </w:r>
      <w:r>
        <w:rPr>
          <w:rFonts w:hint="eastAsia"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t>，</w:t>
      </w:r>
      <w:r>
        <w:rPr>
          <w:rFonts w:hint="default"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t>项目区设置</w:t>
      </w:r>
      <w:r>
        <w:rPr>
          <w:rFonts w:hint="eastAsia"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t>施工便道</w:t>
      </w:r>
      <w:r>
        <w:rPr>
          <w:rFonts w:hint="default"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t>总面积</w:t>
      </w:r>
      <w:r>
        <w:rPr>
          <w:rFonts w:hint="eastAsia"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t>2.4296</w:t>
      </w:r>
      <w:r>
        <w:rPr>
          <w:rFonts w:hint="default"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t>公顷</w:t>
      </w:r>
      <w:r>
        <w:rPr>
          <w:rFonts w:hint="eastAsia"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t>，全部为沙地</w:t>
      </w:r>
      <w:r>
        <w:rPr>
          <w:rFonts w:hint="default"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t>。对</w:t>
      </w:r>
      <w:r>
        <w:rPr>
          <w:rFonts w:hint="eastAsia"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t>施工便道</w:t>
      </w:r>
      <w:r>
        <w:rPr>
          <w:rFonts w:hint="default"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t>使用</w:t>
      </w:r>
      <w:r>
        <w:rPr>
          <w:rFonts w:hint="eastAsia"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t>15厘米</w:t>
      </w:r>
      <w:r>
        <w:rPr>
          <w:rFonts w:hint="default"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t>戈壁料进行场地硬化，待项目主体工程施工结束后拆除机械设施、拆除硬化，并对场地进行清理、平整。</w:t>
      </w:r>
    </w:p>
    <w:p>
      <w:pPr>
        <w:adjustRightInd w:val="0"/>
        <w:snapToGrid w:val="0"/>
        <w:spacing w:after="0" w:line="360" w:lineRule="auto"/>
        <w:ind w:firstLine="480" w:firstLineChars="200"/>
        <w:jc w:val="both"/>
        <w:rPr>
          <w:rFonts w:hint="default"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pPr>
      <w:r>
        <w:rPr>
          <w:rFonts w:hint="default" w:ascii="Times New Roman" w:hAnsi="Times New Roman" w:eastAsia="仿宋"/>
          <w:color w:val="000000" w:themeColor="text1"/>
          <w:sz w:val="24"/>
          <w:szCs w:val="24"/>
          <w:highlight w:val="none"/>
          <w:u w:color="000000" w:themeColor="text1"/>
          <w:lang w:val="zh-CN" w:eastAsia="zh-CN"/>
          <w14:textFill>
            <w14:solidFill>
              <w14:schemeClr w14:val="tx1"/>
            </w14:solidFill>
          </w14:textFill>
        </w:rPr>
        <w:t>根据工程施工工艺及施工进度安排分析，该工程对土地的损毁</w:t>
      </w:r>
      <w:r>
        <w:rPr>
          <w:rFonts w:hint="default"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t>形式为压占。</w:t>
      </w:r>
      <w:r>
        <w:rPr>
          <w:rFonts w:hint="default" w:ascii="Times New Roman" w:hAnsi="Times New Roman" w:eastAsia="仿宋"/>
          <w:color w:val="000000" w:themeColor="text1"/>
          <w:sz w:val="24"/>
          <w:szCs w:val="24"/>
          <w:highlight w:val="none"/>
          <w:u w:color="000000" w:themeColor="text1"/>
          <w:lang w:val="zh-CN" w:eastAsia="zh-CN"/>
          <w14:textFill>
            <w14:solidFill>
              <w14:schemeClr w14:val="tx1"/>
            </w14:solidFill>
          </w14:textFill>
        </w:rPr>
        <w:t>压占指施工便道等临时施工场地对土地造成压占。压占土地因人员与机械活动强烈，人员机械和临时地表构建筑物碾压地表，改变了土壤结构，提高了土壤压实度，土壤孔隙度减小，破坏了地表植被，将会对土地造成严重的损毁。</w:t>
      </w:r>
      <w:r>
        <w:rPr>
          <w:rFonts w:hint="default"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t>本项目压占土地主要为</w:t>
      </w:r>
      <w:r>
        <w:rPr>
          <w:rFonts w:hint="eastAsia"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t>施工便道</w:t>
      </w:r>
      <w:r>
        <w:rPr>
          <w:rFonts w:hint="default"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t>压占土地。</w:t>
      </w:r>
    </w:p>
    <w:p>
      <w:pPr>
        <w:pStyle w:val="43"/>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表4-1  拟建工程土地损毁形式及时序表</w:t>
      </w:r>
    </w:p>
    <w:tbl>
      <w:tblPr>
        <w:tblStyle w:val="22"/>
        <w:tblW w:w="878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075"/>
        <w:gridCol w:w="2618"/>
        <w:gridCol w:w="1595"/>
        <w:gridCol w:w="149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3075" w:type="dxa"/>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highlight w:val="none"/>
                <w:lang w:val="en-US" w:eastAsia="zh-CN"/>
              </w:rPr>
            </w:pPr>
            <w:bookmarkStart w:id="73" w:name="OLE_LINK8"/>
            <w:bookmarkStart w:id="74" w:name="OLE_LINK9"/>
            <w:r>
              <w:rPr>
                <w:rFonts w:hint="default" w:ascii="Times New Roman" w:hAnsi="Times New Roman" w:cs="Times New Roman"/>
                <w:color w:val="000000"/>
                <w:sz w:val="21"/>
                <w:szCs w:val="21"/>
                <w:highlight w:val="none"/>
                <w:lang w:val="en-US" w:eastAsia="zh-CN"/>
              </w:rPr>
              <w:t>损毁单元</w:t>
            </w:r>
          </w:p>
        </w:tc>
        <w:tc>
          <w:tcPr>
            <w:tcW w:w="2618" w:type="dxa"/>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面积/hm</w:t>
            </w:r>
            <w:r>
              <w:rPr>
                <w:rFonts w:hint="default" w:ascii="Times New Roman" w:hAnsi="Times New Roman" w:cs="Times New Roman"/>
                <w:color w:val="000000"/>
                <w:sz w:val="21"/>
                <w:szCs w:val="21"/>
                <w:highlight w:val="none"/>
                <w:vertAlign w:val="superscript"/>
                <w:lang w:val="en-US" w:eastAsia="zh-CN"/>
              </w:rPr>
              <w:t>2</w:t>
            </w:r>
          </w:p>
        </w:tc>
        <w:tc>
          <w:tcPr>
            <w:tcW w:w="1595" w:type="dxa"/>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损毁方式</w:t>
            </w:r>
          </w:p>
        </w:tc>
        <w:tc>
          <w:tcPr>
            <w:tcW w:w="1493" w:type="dxa"/>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损毁时间</w:t>
            </w:r>
          </w:p>
        </w:tc>
      </w:tr>
      <w:bookmarkEnd w:id="73"/>
      <w:bookmarkEnd w:id="74"/>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3075" w:type="dxa"/>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施工</w:t>
            </w:r>
            <w:r>
              <w:rPr>
                <w:rFonts w:hint="eastAsia" w:ascii="Times New Roman" w:hAnsi="Times New Roman" w:cs="Times New Roman"/>
                <w:color w:val="000000"/>
                <w:sz w:val="21"/>
                <w:szCs w:val="21"/>
                <w:highlight w:val="none"/>
                <w:lang w:val="en-US" w:eastAsia="zh-CN"/>
              </w:rPr>
              <w:t>便道</w:t>
            </w:r>
          </w:p>
        </w:tc>
        <w:tc>
          <w:tcPr>
            <w:tcW w:w="2618" w:type="dxa"/>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eastAsia" w:ascii="Times New Roman" w:hAnsi="Times New Roman" w:eastAsia="仿宋_GB2312" w:cs="Times New Roman"/>
                <w:i w:val="0"/>
                <w:iCs w:val="0"/>
                <w:color w:val="auto"/>
                <w:kern w:val="0"/>
                <w:sz w:val="21"/>
                <w:szCs w:val="21"/>
                <w:highlight w:val="none"/>
                <w:u w:val="none"/>
                <w:lang w:val="en-US" w:eastAsia="zh-CN" w:bidi="ar"/>
              </w:rPr>
              <w:t>2.4296</w:t>
            </w:r>
          </w:p>
        </w:tc>
        <w:tc>
          <w:tcPr>
            <w:tcW w:w="1595" w:type="dxa"/>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压占</w:t>
            </w:r>
          </w:p>
        </w:tc>
        <w:tc>
          <w:tcPr>
            <w:tcW w:w="1493" w:type="dxa"/>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施工准备期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3075" w:type="dxa"/>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合计</w:t>
            </w:r>
          </w:p>
        </w:tc>
        <w:tc>
          <w:tcPr>
            <w:tcW w:w="2618" w:type="dxa"/>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highlight w:val="none"/>
                <w:lang w:val="en-US" w:eastAsia="en-US"/>
              </w:rPr>
            </w:pPr>
            <w:r>
              <w:rPr>
                <w:rFonts w:hint="eastAsia" w:ascii="Times New Roman" w:hAnsi="Times New Roman" w:eastAsia="仿宋_GB2312" w:cs="Times New Roman"/>
                <w:i w:val="0"/>
                <w:iCs w:val="0"/>
                <w:color w:val="auto"/>
                <w:kern w:val="0"/>
                <w:sz w:val="21"/>
                <w:szCs w:val="21"/>
                <w:highlight w:val="none"/>
                <w:u w:val="none"/>
                <w:lang w:val="en-US" w:eastAsia="zh-CN" w:bidi="ar"/>
              </w:rPr>
              <w:t>2.4296</w:t>
            </w:r>
          </w:p>
        </w:tc>
        <w:tc>
          <w:tcPr>
            <w:tcW w:w="1595" w:type="dxa"/>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w:t>
            </w:r>
          </w:p>
        </w:tc>
        <w:tc>
          <w:tcPr>
            <w:tcW w:w="1493" w:type="dxa"/>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w:t>
            </w:r>
          </w:p>
        </w:tc>
      </w:tr>
    </w:tbl>
    <w:p>
      <w:pPr>
        <w:pStyle w:val="5"/>
        <w:keepNext w:val="0"/>
        <w:keepLines w:val="0"/>
        <w:tabs>
          <w:tab w:val="left" w:pos="426"/>
        </w:tabs>
        <w:adjustRightInd w:val="0"/>
        <w:snapToGrid w:val="0"/>
        <w:spacing w:before="0" w:after="0" w:line="360" w:lineRule="auto"/>
        <w:ind w:firstLine="482" w:firstLineChars="200"/>
        <w:textAlignment w:val="baseline"/>
        <w:rPr>
          <w:rFonts w:hint="default" w:ascii="Times New Roman" w:hAnsi="Times New Roman" w:cs="Times New Roman"/>
          <w:b/>
          <w:bCs w:val="0"/>
          <w:kern w:val="0"/>
          <w:szCs w:val="28"/>
          <w:highlight w:val="none"/>
          <w:lang w:val="en-US" w:eastAsia="zh-CN"/>
        </w:rPr>
      </w:pPr>
      <w:bookmarkStart w:id="75" w:name="_Toc16454"/>
      <w:bookmarkStart w:id="76" w:name="_Toc30408"/>
      <w:r>
        <w:rPr>
          <w:rFonts w:hint="default" w:ascii="Times New Roman" w:hAnsi="Times New Roman" w:cs="Times New Roman"/>
          <w:b/>
          <w:bCs w:val="0"/>
          <w:kern w:val="0"/>
          <w:szCs w:val="28"/>
          <w:highlight w:val="none"/>
          <w:lang w:val="en-US" w:eastAsia="zh-CN"/>
        </w:rPr>
        <w:t>4.1.</w:t>
      </w:r>
      <w:r>
        <w:rPr>
          <w:rFonts w:hint="eastAsia" w:cs="Times New Roman"/>
          <w:b/>
          <w:bCs w:val="0"/>
          <w:kern w:val="0"/>
          <w:szCs w:val="28"/>
          <w:highlight w:val="none"/>
          <w:lang w:val="en-US" w:eastAsia="zh-CN"/>
        </w:rPr>
        <w:t>3</w:t>
      </w:r>
      <w:r>
        <w:rPr>
          <w:rFonts w:hint="default" w:ascii="Times New Roman" w:hAnsi="Times New Roman" w:cs="Times New Roman"/>
          <w:b/>
          <w:bCs w:val="0"/>
          <w:kern w:val="0"/>
          <w:szCs w:val="28"/>
          <w:highlight w:val="none"/>
          <w:lang w:val="en-US" w:eastAsia="zh-CN"/>
        </w:rPr>
        <w:t>拟损毁土地预测</w:t>
      </w:r>
      <w:bookmarkEnd w:id="75"/>
      <w:bookmarkEnd w:id="76"/>
    </w:p>
    <w:p>
      <w:pPr>
        <w:adjustRightInd w:val="0"/>
        <w:snapToGrid w:val="0"/>
        <w:spacing w:after="0" w:line="360" w:lineRule="auto"/>
        <w:ind w:firstLine="480" w:firstLineChars="200"/>
        <w:jc w:val="both"/>
        <w:rPr>
          <w:rFonts w:hint="default"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pPr>
      <w:r>
        <w:rPr>
          <w:rFonts w:hint="default" w:ascii="Times New Roman" w:hAnsi="Times New Roman" w:eastAsia="仿宋"/>
          <w:color w:val="000000" w:themeColor="text1"/>
          <w:sz w:val="24"/>
          <w:szCs w:val="24"/>
          <w:highlight w:val="none"/>
          <w:u w:color="000000" w:themeColor="text1"/>
          <w:lang w:val="zh-CN" w:eastAsia="zh-CN"/>
          <w14:textFill>
            <w14:solidFill>
              <w14:schemeClr w14:val="tx1"/>
            </w14:solidFill>
          </w14:textFill>
        </w:rPr>
        <w:t>在生产过程中，破坏土地的形式将不尽相同，对土地损毁的预测只能根据项目区所在地特定的自然、地理、地质及项目施工工艺等影响因素进行具体的分析和推断。根G219线岳普湖-英吉沙公路建设项目疏勒段特点，临时占地对土地的损毁主要表现在</w:t>
      </w:r>
      <w:r>
        <w:rPr>
          <w:rFonts w:hint="eastAsia"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t>施工便道对土地的压占</w:t>
      </w:r>
      <w:r>
        <w:rPr>
          <w:rFonts w:hint="default" w:ascii="Times New Roman" w:hAnsi="Times New Roman" w:eastAsia="仿宋"/>
          <w:color w:val="000000" w:themeColor="text1"/>
          <w:sz w:val="24"/>
          <w:szCs w:val="24"/>
          <w:highlight w:val="none"/>
          <w:u w:color="000000" w:themeColor="text1"/>
          <w:lang w:val="zh-CN" w:eastAsia="zh-CN"/>
          <w14:textFill>
            <w14:solidFill>
              <w14:schemeClr w14:val="tx1"/>
            </w14:solidFill>
          </w14:textFill>
        </w:rPr>
        <w:t>。</w:t>
      </w:r>
    </w:p>
    <w:p>
      <w:pPr>
        <w:adjustRightInd w:val="0"/>
        <w:snapToGrid w:val="0"/>
        <w:spacing w:after="0" w:line="360" w:lineRule="auto"/>
        <w:ind w:firstLine="480" w:firstLineChars="200"/>
        <w:jc w:val="both"/>
        <w:rPr>
          <w:rFonts w:hint="default" w:ascii="Times New Roman" w:hAnsi="Times New Roman" w:eastAsia="仿宋"/>
          <w:color w:val="000000" w:themeColor="text1"/>
          <w:sz w:val="24"/>
          <w:szCs w:val="24"/>
          <w:highlight w:val="none"/>
          <w:u w:color="000000" w:themeColor="text1"/>
          <w:lang w:val="zh-CN" w:eastAsia="zh-CN"/>
          <w14:textFill>
            <w14:solidFill>
              <w14:schemeClr w14:val="tx1"/>
            </w14:solidFill>
          </w14:textFill>
        </w:rPr>
      </w:pPr>
      <w:r>
        <w:rPr>
          <w:rFonts w:hint="default" w:ascii="Times New Roman" w:hAnsi="Times New Roman" w:eastAsia="仿宋"/>
          <w:color w:val="000000" w:themeColor="text1"/>
          <w:sz w:val="24"/>
          <w:szCs w:val="24"/>
          <w:highlight w:val="none"/>
          <w:u w:color="000000" w:themeColor="text1"/>
          <w:lang w:val="zh-CN" w:eastAsia="zh-CN"/>
          <w14:textFill>
            <w14:solidFill>
              <w14:schemeClr w14:val="tx1"/>
            </w14:solidFill>
          </w14:textFill>
        </w:rPr>
        <w:t>a）土地损毁预测时段与范围</w:t>
      </w:r>
    </w:p>
    <w:p>
      <w:pPr>
        <w:adjustRightInd w:val="0"/>
        <w:snapToGrid w:val="0"/>
        <w:spacing w:after="0" w:line="360" w:lineRule="auto"/>
        <w:ind w:firstLine="480" w:firstLineChars="200"/>
        <w:jc w:val="both"/>
        <w:rPr>
          <w:rFonts w:hint="default" w:ascii="Times New Roman" w:hAnsi="Times New Roman" w:eastAsia="仿宋"/>
          <w:color w:val="000000" w:themeColor="text1"/>
          <w:sz w:val="24"/>
          <w:szCs w:val="24"/>
          <w:highlight w:val="none"/>
          <w:u w:color="000000" w:themeColor="text1"/>
          <w:lang w:val="zh-CN" w:eastAsia="zh-CN"/>
          <w14:textFill>
            <w14:solidFill>
              <w14:schemeClr w14:val="tx1"/>
            </w14:solidFill>
          </w14:textFill>
        </w:rPr>
      </w:pPr>
      <w:r>
        <w:rPr>
          <w:rFonts w:hint="default" w:ascii="Times New Roman" w:hAnsi="Times New Roman" w:eastAsia="仿宋"/>
          <w:color w:val="000000" w:themeColor="text1"/>
          <w:sz w:val="24"/>
          <w:szCs w:val="24"/>
          <w:highlight w:val="none"/>
          <w:u w:color="000000" w:themeColor="text1"/>
          <w:lang w:val="zh-CN" w:eastAsia="zh-CN"/>
          <w14:textFill>
            <w14:solidFill>
              <w14:schemeClr w14:val="tx1"/>
            </w14:solidFill>
          </w14:textFill>
        </w:rPr>
        <w:t>土地损毁预测时段为</w:t>
      </w:r>
      <w:r>
        <w:rPr>
          <w:rFonts w:hint="eastAsia"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t>公路</w:t>
      </w:r>
      <w:r>
        <w:rPr>
          <w:rFonts w:hint="default" w:ascii="Times New Roman" w:hAnsi="Times New Roman" w:eastAsia="仿宋"/>
          <w:color w:val="000000" w:themeColor="text1"/>
          <w:sz w:val="24"/>
          <w:szCs w:val="24"/>
          <w:highlight w:val="none"/>
          <w:u w:color="000000" w:themeColor="text1"/>
          <w:lang w:val="zh-CN" w:eastAsia="zh-CN"/>
          <w14:textFill>
            <w14:solidFill>
              <w14:schemeClr w14:val="tx1"/>
            </w14:solidFill>
          </w14:textFill>
        </w:rPr>
        <w:t>建设期间，预测范围则为损毁预测时段内使用活动造成的土地损毁范围。</w:t>
      </w:r>
    </w:p>
    <w:p>
      <w:pPr>
        <w:adjustRightInd w:val="0"/>
        <w:snapToGrid w:val="0"/>
        <w:spacing w:after="0" w:line="360" w:lineRule="auto"/>
        <w:ind w:firstLine="480" w:firstLineChars="200"/>
        <w:jc w:val="both"/>
        <w:rPr>
          <w:rFonts w:hint="default" w:ascii="Times New Roman" w:hAnsi="Times New Roman" w:eastAsia="仿宋"/>
          <w:color w:val="000000" w:themeColor="text1"/>
          <w:sz w:val="24"/>
          <w:szCs w:val="24"/>
          <w:highlight w:val="none"/>
          <w:u w:color="000000" w:themeColor="text1"/>
          <w:lang w:val="zh-CN" w:eastAsia="zh-CN"/>
          <w14:textFill>
            <w14:solidFill>
              <w14:schemeClr w14:val="tx1"/>
            </w14:solidFill>
          </w14:textFill>
        </w:rPr>
      </w:pPr>
      <w:r>
        <w:rPr>
          <w:rFonts w:hint="default" w:ascii="Times New Roman" w:hAnsi="Times New Roman" w:eastAsia="仿宋"/>
          <w:color w:val="000000" w:themeColor="text1"/>
          <w:sz w:val="24"/>
          <w:szCs w:val="24"/>
          <w:highlight w:val="none"/>
          <w:u w:color="000000" w:themeColor="text1"/>
          <w:lang w:val="zh-CN" w:eastAsia="zh-CN"/>
          <w14:textFill>
            <w14:solidFill>
              <w14:schemeClr w14:val="tx1"/>
            </w14:solidFill>
          </w14:textFill>
        </w:rPr>
        <w:t>b）拟损毁土地地类确定方法</w:t>
      </w:r>
    </w:p>
    <w:p>
      <w:pPr>
        <w:adjustRightInd w:val="0"/>
        <w:snapToGrid w:val="0"/>
        <w:spacing w:after="0" w:line="360" w:lineRule="auto"/>
        <w:ind w:firstLine="480" w:firstLineChars="200"/>
        <w:jc w:val="both"/>
        <w:rPr>
          <w:rFonts w:hint="default" w:ascii="Times New Roman" w:hAnsi="Times New Roman" w:eastAsia="仿宋"/>
          <w:color w:val="000000" w:themeColor="text1"/>
          <w:sz w:val="24"/>
          <w:szCs w:val="24"/>
          <w:highlight w:val="none"/>
          <w:u w:color="000000" w:themeColor="text1"/>
          <w:lang w:val="zh-CN" w:eastAsia="zh-CN"/>
          <w14:textFill>
            <w14:solidFill>
              <w14:schemeClr w14:val="tx1"/>
            </w14:solidFill>
          </w14:textFill>
        </w:rPr>
      </w:pPr>
      <w:r>
        <w:rPr>
          <w:rFonts w:hint="default" w:ascii="Times New Roman" w:hAnsi="Times New Roman" w:eastAsia="仿宋"/>
          <w:color w:val="000000" w:themeColor="text1"/>
          <w:sz w:val="24"/>
          <w:szCs w:val="24"/>
          <w:highlight w:val="none"/>
          <w:u w:color="000000" w:themeColor="text1"/>
          <w:lang w:val="zh-CN" w:eastAsia="zh-CN"/>
          <w14:textFill>
            <w14:solidFill>
              <w14:schemeClr w14:val="tx1"/>
            </w14:solidFill>
          </w14:textFill>
        </w:rPr>
        <w:t>项目临时占地依照</w:t>
      </w:r>
      <w:r>
        <w:rPr>
          <w:rFonts w:hint="eastAsia"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t>疏勒县</w:t>
      </w:r>
      <w:r>
        <w:rPr>
          <w:rFonts w:hint="eastAsia" w:ascii="Times New Roman" w:hAnsi="Times New Roman" w:eastAsia="仿宋"/>
          <w:color w:val="000000" w:themeColor="text1"/>
          <w:sz w:val="24"/>
          <w:szCs w:val="24"/>
          <w:highlight w:val="none"/>
          <w:u w:color="000000" w:themeColor="text1"/>
          <w:lang w:val="zh-CN" w:eastAsia="zh-CN"/>
          <w14:textFill>
            <w14:solidFill>
              <w14:schemeClr w14:val="tx1"/>
            </w14:solidFill>
          </w14:textFill>
        </w:rPr>
        <w:t>自然资源局</w:t>
      </w:r>
      <w:r>
        <w:rPr>
          <w:rFonts w:hint="default" w:ascii="Times New Roman" w:hAnsi="Times New Roman" w:eastAsia="仿宋"/>
          <w:color w:val="000000" w:themeColor="text1"/>
          <w:sz w:val="24"/>
          <w:szCs w:val="24"/>
          <w:highlight w:val="none"/>
          <w:u w:color="000000" w:themeColor="text1"/>
          <w:lang w:val="zh-CN" w:eastAsia="zh-CN"/>
          <w14:textFill>
            <w14:solidFill>
              <w14:schemeClr w14:val="tx1"/>
            </w14:solidFill>
          </w14:textFill>
        </w:rPr>
        <w:t>提供202</w:t>
      </w:r>
      <w:r>
        <w:rPr>
          <w:rFonts w:hint="eastAsia" w:ascii="Times New Roman" w:hAnsi="Times New Roman" w:eastAsia="仿宋"/>
          <w:color w:val="000000" w:themeColor="text1"/>
          <w:sz w:val="24"/>
          <w:szCs w:val="24"/>
          <w:highlight w:val="none"/>
          <w:u w:color="000000" w:themeColor="text1"/>
          <w:lang w:val="en-US" w:eastAsia="zh-CN"/>
          <w14:textFill>
            <w14:solidFill>
              <w14:schemeClr w14:val="tx1"/>
            </w14:solidFill>
          </w14:textFill>
        </w:rPr>
        <w:t>2</w:t>
      </w:r>
      <w:r>
        <w:rPr>
          <w:rFonts w:hint="default" w:ascii="Times New Roman" w:hAnsi="Times New Roman" w:eastAsia="仿宋"/>
          <w:color w:val="000000" w:themeColor="text1"/>
          <w:sz w:val="24"/>
          <w:szCs w:val="24"/>
          <w:highlight w:val="none"/>
          <w:u w:color="000000" w:themeColor="text1"/>
          <w:lang w:val="zh-CN" w:eastAsia="zh-CN"/>
          <w14:textFill>
            <w14:solidFill>
              <w14:schemeClr w14:val="tx1"/>
            </w14:solidFill>
          </w14:textFill>
        </w:rPr>
        <w:t>年度土地变更调查数据核定。</w:t>
      </w:r>
    </w:p>
    <w:p>
      <w:pPr>
        <w:adjustRightInd w:val="0"/>
        <w:snapToGrid w:val="0"/>
        <w:spacing w:after="0" w:line="360" w:lineRule="auto"/>
        <w:ind w:firstLine="480" w:firstLineChars="200"/>
        <w:jc w:val="both"/>
        <w:rPr>
          <w:rFonts w:hint="default" w:ascii="Times New Roman" w:hAnsi="Times New Roman" w:eastAsia="仿宋"/>
          <w:color w:val="000000" w:themeColor="text1"/>
          <w:sz w:val="24"/>
          <w:szCs w:val="24"/>
          <w:highlight w:val="none"/>
          <w:u w:color="000000" w:themeColor="text1"/>
          <w:lang w:val="zh-CN" w:eastAsia="zh-CN"/>
          <w14:textFill>
            <w14:solidFill>
              <w14:schemeClr w14:val="tx1"/>
            </w14:solidFill>
          </w14:textFill>
        </w:rPr>
      </w:pPr>
      <w:r>
        <w:rPr>
          <w:rFonts w:hint="default" w:ascii="Times New Roman" w:hAnsi="Times New Roman" w:eastAsia="仿宋"/>
          <w:color w:val="000000" w:themeColor="text1"/>
          <w:sz w:val="24"/>
          <w:szCs w:val="24"/>
          <w:highlight w:val="none"/>
          <w:u w:color="000000" w:themeColor="text1"/>
          <w:lang w:val="zh-CN" w:eastAsia="zh-CN"/>
          <w14:textFill>
            <w14:solidFill>
              <w14:schemeClr w14:val="tx1"/>
            </w14:solidFill>
          </w14:textFill>
        </w:rPr>
        <w:t>c）土地损毁程度分级</w:t>
      </w:r>
    </w:p>
    <w:p>
      <w:pPr>
        <w:adjustRightInd w:val="0"/>
        <w:snapToGrid w:val="0"/>
        <w:spacing w:after="0" w:line="360" w:lineRule="auto"/>
        <w:ind w:firstLine="480" w:firstLineChars="200"/>
        <w:jc w:val="both"/>
        <w:rPr>
          <w:rFonts w:hint="default" w:ascii="Times New Roman" w:hAnsi="Times New Roman" w:eastAsia="仿宋"/>
          <w:color w:val="000000" w:themeColor="text1"/>
          <w:sz w:val="24"/>
          <w:szCs w:val="24"/>
          <w:highlight w:val="none"/>
          <w:u w:color="000000" w:themeColor="text1"/>
          <w:lang w:val="zh-CN" w:eastAsia="zh-CN"/>
          <w14:textFill>
            <w14:solidFill>
              <w14:schemeClr w14:val="tx1"/>
            </w14:solidFill>
          </w14:textFill>
        </w:rPr>
      </w:pPr>
      <w:r>
        <w:rPr>
          <w:rFonts w:hint="default" w:ascii="Times New Roman" w:hAnsi="Times New Roman" w:eastAsia="仿宋"/>
          <w:color w:val="000000" w:themeColor="text1"/>
          <w:sz w:val="24"/>
          <w:szCs w:val="24"/>
          <w:highlight w:val="none"/>
          <w:u w:color="000000" w:themeColor="text1"/>
          <w:lang w:val="zh-CN" w:eastAsia="zh-CN"/>
          <w14:textFill>
            <w14:solidFill>
              <w14:schemeClr w14:val="tx1"/>
            </w14:solidFill>
          </w14:textFill>
        </w:rPr>
        <w:t>根据《中华人民共和国土地管理法》和国务院颁布的《土地复垦条例》把土地损毁程度预测等级确定为3级标准。分别定为：一级（轻度损毁）、二级（中度损毁）、三级（重度损毁）。</w:t>
      </w:r>
    </w:p>
    <w:p>
      <w:pPr>
        <w:adjustRightInd w:val="0"/>
        <w:snapToGrid w:val="0"/>
        <w:spacing w:after="0" w:line="360" w:lineRule="auto"/>
        <w:ind w:firstLine="480" w:firstLineChars="200"/>
        <w:jc w:val="both"/>
        <w:rPr>
          <w:rFonts w:hint="default" w:ascii="Times New Roman" w:hAnsi="Times New Roman" w:eastAsia="仿宋"/>
          <w:color w:val="000000" w:themeColor="text1"/>
          <w:sz w:val="24"/>
          <w:szCs w:val="24"/>
          <w:highlight w:val="none"/>
          <w:u w:color="000000" w:themeColor="text1"/>
          <w:lang w:val="zh-CN" w:eastAsia="zh-CN"/>
          <w14:textFill>
            <w14:solidFill>
              <w14:schemeClr w14:val="tx1"/>
            </w14:solidFill>
          </w14:textFill>
        </w:rPr>
      </w:pPr>
      <w:r>
        <w:rPr>
          <w:rFonts w:hint="default" w:ascii="Times New Roman" w:hAnsi="Times New Roman" w:eastAsia="仿宋"/>
          <w:color w:val="000000" w:themeColor="text1"/>
          <w:sz w:val="24"/>
          <w:szCs w:val="24"/>
          <w:highlight w:val="none"/>
          <w:u w:color="000000" w:themeColor="text1"/>
          <w:lang w:val="zh-CN" w:eastAsia="zh-CN"/>
          <w14:textFill>
            <w14:solidFill>
              <w14:schemeClr w14:val="tx1"/>
            </w14:solidFill>
          </w14:textFill>
        </w:rPr>
        <w:t>1）轻度损毁：土地损毁轻微，基本不影响土地功能；</w:t>
      </w:r>
    </w:p>
    <w:p>
      <w:pPr>
        <w:adjustRightInd w:val="0"/>
        <w:snapToGrid w:val="0"/>
        <w:spacing w:after="0" w:line="360" w:lineRule="auto"/>
        <w:ind w:firstLine="480" w:firstLineChars="200"/>
        <w:jc w:val="both"/>
        <w:rPr>
          <w:rFonts w:hint="default" w:ascii="Times New Roman" w:hAnsi="Times New Roman" w:eastAsia="仿宋"/>
          <w:color w:val="000000" w:themeColor="text1"/>
          <w:sz w:val="24"/>
          <w:szCs w:val="24"/>
          <w:highlight w:val="none"/>
          <w:u w:color="000000" w:themeColor="text1"/>
          <w:lang w:val="zh-CN" w:eastAsia="zh-CN"/>
          <w14:textFill>
            <w14:solidFill>
              <w14:schemeClr w14:val="tx1"/>
            </w14:solidFill>
          </w14:textFill>
        </w:rPr>
      </w:pPr>
      <w:r>
        <w:rPr>
          <w:rFonts w:hint="default" w:ascii="Times New Roman" w:hAnsi="Times New Roman" w:eastAsia="仿宋"/>
          <w:color w:val="000000" w:themeColor="text1"/>
          <w:sz w:val="24"/>
          <w:szCs w:val="24"/>
          <w:highlight w:val="none"/>
          <w:u w:color="000000" w:themeColor="text1"/>
          <w:lang w:val="zh-CN" w:eastAsia="zh-CN"/>
          <w14:textFill>
            <w14:solidFill>
              <w14:schemeClr w14:val="tx1"/>
            </w14:solidFill>
          </w14:textFill>
        </w:rPr>
        <w:t>2）中度损毁：土地损毁比较严重，影响土地功能；</w:t>
      </w:r>
    </w:p>
    <w:p>
      <w:pPr>
        <w:adjustRightInd w:val="0"/>
        <w:snapToGrid w:val="0"/>
        <w:spacing w:after="0" w:line="360" w:lineRule="auto"/>
        <w:ind w:firstLine="480" w:firstLineChars="200"/>
        <w:jc w:val="both"/>
        <w:rPr>
          <w:rFonts w:hint="default" w:ascii="Times New Roman" w:hAnsi="Times New Roman" w:eastAsia="仿宋"/>
          <w:color w:val="000000" w:themeColor="text1"/>
          <w:sz w:val="24"/>
          <w:szCs w:val="24"/>
          <w:highlight w:val="none"/>
          <w:u w:color="000000" w:themeColor="text1"/>
          <w:lang w:val="zh-CN" w:eastAsia="zh-CN"/>
          <w14:textFill>
            <w14:solidFill>
              <w14:schemeClr w14:val="tx1"/>
            </w14:solidFill>
          </w14:textFill>
        </w:rPr>
      </w:pPr>
      <w:r>
        <w:rPr>
          <w:rFonts w:hint="default" w:ascii="Times New Roman" w:hAnsi="Times New Roman" w:eastAsia="仿宋"/>
          <w:color w:val="000000" w:themeColor="text1"/>
          <w:sz w:val="24"/>
          <w:szCs w:val="24"/>
          <w:highlight w:val="none"/>
          <w:u w:color="000000" w:themeColor="text1"/>
          <w:lang w:val="zh-CN" w:eastAsia="zh-CN"/>
          <w14:textFill>
            <w14:solidFill>
              <w14:schemeClr w14:val="tx1"/>
            </w14:solidFill>
          </w14:textFill>
        </w:rPr>
        <w:t>3）重度损毁：土地严重损毁，丧失原有功能。</w:t>
      </w:r>
    </w:p>
    <w:p>
      <w:pPr>
        <w:adjustRightInd w:val="0"/>
        <w:snapToGrid w:val="0"/>
        <w:spacing w:after="0" w:line="360" w:lineRule="auto"/>
        <w:ind w:firstLine="480" w:firstLineChars="200"/>
        <w:jc w:val="both"/>
        <w:rPr>
          <w:rFonts w:hint="default" w:ascii="Times New Roman" w:hAnsi="Times New Roman" w:eastAsia="仿宋"/>
          <w:color w:val="000000" w:themeColor="text1"/>
          <w:sz w:val="24"/>
          <w:szCs w:val="24"/>
          <w:highlight w:val="none"/>
          <w:u w:color="000000" w:themeColor="text1"/>
          <w:lang w:val="zh-CN" w:eastAsia="zh-CN"/>
          <w14:textFill>
            <w14:solidFill>
              <w14:schemeClr w14:val="tx1"/>
            </w14:solidFill>
          </w14:textFill>
        </w:rPr>
      </w:pPr>
      <w:r>
        <w:rPr>
          <w:rFonts w:hint="default" w:ascii="Times New Roman" w:hAnsi="Times New Roman" w:eastAsia="仿宋"/>
          <w:color w:val="000000" w:themeColor="text1"/>
          <w:sz w:val="24"/>
          <w:szCs w:val="24"/>
          <w:highlight w:val="none"/>
          <w:u w:color="000000" w:themeColor="text1"/>
          <w:lang w:val="zh-CN" w:eastAsia="zh-CN"/>
          <w14:textFill>
            <w14:solidFill>
              <w14:schemeClr w14:val="tx1"/>
            </w14:solidFill>
          </w14:textFill>
        </w:rPr>
        <w:t>d）拟损毁土地损毁形式及程度分析</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根据项目建设施工工艺、损毁区域自然条件并结合实地调查来确定土地的损毁程度。参考《土地复垦方案编制规程》</w:t>
      </w:r>
      <w:r>
        <w:rPr>
          <w:rFonts w:hint="eastAsia" w:ascii="Times New Roman" w:hAnsi="Times New Roman" w:eastAsia="仿宋" w:cs="Times New Roman"/>
          <w:color w:val="auto"/>
          <w:sz w:val="24"/>
          <w:szCs w:val="24"/>
          <w:highlight w:val="none"/>
          <w:lang w:val="en-US" w:eastAsia="zh-CN"/>
        </w:rPr>
        <w:t>、</w:t>
      </w:r>
      <w:r>
        <w:rPr>
          <w:rFonts w:hint="default" w:ascii="Times New Roman" w:hAnsi="Times New Roman" w:eastAsia="仿宋" w:cs="Times New Roman"/>
          <w:color w:val="auto"/>
          <w:sz w:val="24"/>
          <w:szCs w:val="24"/>
          <w:highlight w:val="none"/>
          <w:lang w:val="en-US" w:eastAsia="zh-CN"/>
        </w:rPr>
        <w:t>《土地复垦质量控制标准》</w:t>
      </w:r>
      <w:r>
        <w:rPr>
          <w:rFonts w:hint="eastAsia" w:ascii="Times New Roman" w:hAnsi="Times New Roman" w:eastAsia="仿宋" w:cs="Times New Roman"/>
          <w:color w:val="auto"/>
          <w:sz w:val="24"/>
          <w:szCs w:val="24"/>
          <w:highlight w:val="none"/>
          <w:lang w:val="en-US" w:eastAsia="zh-CN"/>
        </w:rPr>
        <w:t>和《耕地损毁程度鉴定技术规范》</w:t>
      </w:r>
      <w:r>
        <w:rPr>
          <w:rFonts w:hint="default" w:ascii="Times New Roman" w:hAnsi="Times New Roman" w:eastAsia="仿宋" w:cs="Times New Roman"/>
          <w:color w:val="auto"/>
          <w:sz w:val="24"/>
          <w:szCs w:val="24"/>
          <w:highlight w:val="none"/>
          <w:lang w:val="en-US" w:eastAsia="zh-CN"/>
        </w:rPr>
        <w:t>的复垦要求，将该项目土地损毁程度划分为三级标准，分别为轻度损毁、中度损毁和重度损毁。</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本方案根据《土地复垦方案编制规程》</w:t>
      </w:r>
      <w:r>
        <w:rPr>
          <w:rFonts w:hint="eastAsia" w:ascii="Times New Roman" w:hAnsi="Times New Roman" w:eastAsia="仿宋" w:cs="Times New Roman"/>
          <w:color w:val="auto"/>
          <w:sz w:val="24"/>
          <w:szCs w:val="24"/>
          <w:highlight w:val="none"/>
          <w:lang w:val="en-US" w:eastAsia="zh-CN"/>
        </w:rPr>
        <w:t>，参考《耕地损毁程度鉴定技术规范》</w:t>
      </w:r>
      <w:r>
        <w:rPr>
          <w:rFonts w:hint="default" w:ascii="Times New Roman" w:hAnsi="Times New Roman" w:eastAsia="仿宋" w:cs="Times New Roman"/>
          <w:color w:val="auto"/>
          <w:sz w:val="24"/>
          <w:szCs w:val="24"/>
          <w:highlight w:val="none"/>
          <w:lang w:val="en-US" w:eastAsia="zh-CN"/>
        </w:rPr>
        <w:t>中的相关条文说明，结合以往类似建设项目的土地损毁因素调查分析经验及损毁区域实地踏勘，</w:t>
      </w:r>
      <w:r>
        <w:rPr>
          <w:rFonts w:hint="eastAsia" w:ascii="Times New Roman" w:hAnsi="Times New Roman" w:eastAsia="仿宋" w:cs="Times New Roman"/>
          <w:color w:val="auto"/>
          <w:sz w:val="24"/>
          <w:szCs w:val="24"/>
          <w:highlight w:val="none"/>
          <w:lang w:val="en-US" w:eastAsia="zh-CN"/>
        </w:rPr>
        <w:t>选择评价因子进行等级评价</w:t>
      </w:r>
      <w:r>
        <w:rPr>
          <w:rFonts w:hint="default" w:ascii="Times New Roman" w:hAnsi="Times New Roman" w:eastAsia="仿宋"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黑体" w:cs="Times New Roman"/>
          <w:color w:val="auto"/>
          <w:sz w:val="21"/>
          <w:szCs w:val="24"/>
          <w:highlight w:val="none"/>
          <w:lang w:val="en-US" w:eastAsia="zh-CN" w:bidi="ar-SA"/>
        </w:rPr>
      </w:pPr>
      <w:r>
        <w:rPr>
          <w:rFonts w:hint="eastAsia" w:ascii="Times New Roman" w:hAnsi="Times New Roman" w:eastAsia="黑体" w:cs="Times New Roman"/>
          <w:color w:val="auto"/>
          <w:sz w:val="21"/>
          <w:szCs w:val="24"/>
          <w:highlight w:val="none"/>
          <w:lang w:val="en-US" w:eastAsia="zh-CN" w:bidi="ar-SA"/>
        </w:rPr>
        <w:t>表 4-2 损毁程度评价因素及等级标准表</w:t>
      </w:r>
    </w:p>
    <w:tbl>
      <w:tblPr>
        <w:tblStyle w:val="74"/>
        <w:tblW w:w="8945"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506"/>
        <w:gridCol w:w="1956"/>
        <w:gridCol w:w="2515"/>
        <w:gridCol w:w="196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296" w:hRule="atLeast"/>
          <w:jc w:val="center"/>
        </w:trPr>
        <w:tc>
          <w:tcPr>
            <w:tcW w:w="2506" w:type="dxa"/>
            <w:vMerge w:val="restart"/>
            <w:tcBorders>
              <w:tl2br w:val="nil"/>
              <w:tr2bl w:val="nil"/>
            </w:tcBorders>
            <w:noWrap w:val="0"/>
            <w:vAlign w:val="center"/>
          </w:tcPr>
          <w:p>
            <w:pPr>
              <w:pStyle w:val="40"/>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评价因子</w:t>
            </w:r>
          </w:p>
        </w:tc>
        <w:tc>
          <w:tcPr>
            <w:tcW w:w="6439" w:type="dxa"/>
            <w:gridSpan w:val="3"/>
            <w:tcBorders>
              <w:tl2br w:val="nil"/>
              <w:tr2bl w:val="nil"/>
            </w:tcBorders>
            <w:noWrap w:val="0"/>
            <w:vAlign w:val="center"/>
          </w:tcPr>
          <w:p>
            <w:pPr>
              <w:pStyle w:val="40"/>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评价等级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61" w:hRule="atLeast"/>
          <w:jc w:val="center"/>
        </w:trPr>
        <w:tc>
          <w:tcPr>
            <w:tcW w:w="2506" w:type="dxa"/>
            <w:vMerge w:val="continue"/>
            <w:tcBorders>
              <w:tl2br w:val="nil"/>
              <w:tr2bl w:val="nil"/>
            </w:tcBorders>
            <w:noWrap w:val="0"/>
            <w:vAlign w:val="center"/>
          </w:tcPr>
          <w:p>
            <w:pPr>
              <w:pStyle w:val="40"/>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highlight w:val="none"/>
                <w:lang w:val="en-US" w:eastAsia="zh-CN"/>
              </w:rPr>
            </w:pPr>
          </w:p>
        </w:tc>
        <w:tc>
          <w:tcPr>
            <w:tcW w:w="1956" w:type="dxa"/>
            <w:tcBorders>
              <w:tl2br w:val="nil"/>
              <w:tr2bl w:val="nil"/>
            </w:tcBorders>
            <w:noWrap w:val="0"/>
            <w:vAlign w:val="center"/>
          </w:tcPr>
          <w:p>
            <w:pPr>
              <w:pStyle w:val="40"/>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轻度</w:t>
            </w:r>
          </w:p>
        </w:tc>
        <w:tc>
          <w:tcPr>
            <w:tcW w:w="2515" w:type="dxa"/>
            <w:tcBorders>
              <w:tl2br w:val="nil"/>
              <w:tr2bl w:val="nil"/>
            </w:tcBorders>
            <w:noWrap w:val="0"/>
            <w:vAlign w:val="center"/>
          </w:tcPr>
          <w:p>
            <w:pPr>
              <w:pStyle w:val="40"/>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中度</w:t>
            </w:r>
          </w:p>
        </w:tc>
        <w:tc>
          <w:tcPr>
            <w:tcW w:w="1968" w:type="dxa"/>
            <w:tcBorders>
              <w:tl2br w:val="nil"/>
              <w:tr2bl w:val="nil"/>
            </w:tcBorders>
            <w:noWrap w:val="0"/>
            <w:vAlign w:val="center"/>
          </w:tcPr>
          <w:p>
            <w:pPr>
              <w:pStyle w:val="40"/>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重度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61" w:hRule="atLeast"/>
          <w:jc w:val="center"/>
        </w:trPr>
        <w:tc>
          <w:tcPr>
            <w:tcW w:w="2506" w:type="dxa"/>
            <w:tcBorders>
              <w:tl2br w:val="nil"/>
              <w:tr2bl w:val="nil"/>
            </w:tcBorders>
            <w:noWrap w:val="0"/>
            <w:vAlign w:val="center"/>
          </w:tcPr>
          <w:p>
            <w:pPr>
              <w:pStyle w:val="40"/>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压占面积</w:t>
            </w:r>
          </w:p>
        </w:tc>
        <w:tc>
          <w:tcPr>
            <w:tcW w:w="1956" w:type="dxa"/>
            <w:tcBorders>
              <w:tl2br w:val="nil"/>
              <w:tr2bl w:val="nil"/>
            </w:tcBorders>
            <w:noWrap w:val="0"/>
            <w:vAlign w:val="center"/>
          </w:tcPr>
          <w:p>
            <w:pPr>
              <w:pStyle w:val="40"/>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＜2.0 hm</w:t>
            </w:r>
            <w:r>
              <w:rPr>
                <w:rFonts w:hint="default" w:ascii="Times New Roman" w:hAnsi="Times New Roman" w:cs="Times New Roman"/>
                <w:color w:val="auto"/>
                <w:highlight w:val="none"/>
                <w:vertAlign w:val="superscript"/>
                <w:lang w:val="en-US" w:eastAsia="zh-CN"/>
              </w:rPr>
              <w:t>2</w:t>
            </w:r>
          </w:p>
        </w:tc>
        <w:tc>
          <w:tcPr>
            <w:tcW w:w="2515" w:type="dxa"/>
            <w:tcBorders>
              <w:tl2br w:val="nil"/>
              <w:tr2bl w:val="nil"/>
            </w:tcBorders>
            <w:noWrap w:val="0"/>
            <w:vAlign w:val="center"/>
          </w:tcPr>
          <w:p>
            <w:pPr>
              <w:pStyle w:val="40"/>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2.0 ~ 5.0 hm</w:t>
            </w:r>
            <w:r>
              <w:rPr>
                <w:rFonts w:hint="default" w:ascii="Times New Roman" w:hAnsi="Times New Roman" w:cs="Times New Roman"/>
                <w:color w:val="auto"/>
                <w:highlight w:val="none"/>
                <w:vertAlign w:val="superscript"/>
                <w:lang w:val="en-US" w:eastAsia="zh-CN"/>
              </w:rPr>
              <w:t>2</w:t>
            </w:r>
          </w:p>
        </w:tc>
        <w:tc>
          <w:tcPr>
            <w:tcW w:w="1968" w:type="dxa"/>
            <w:tcBorders>
              <w:tl2br w:val="nil"/>
              <w:tr2bl w:val="nil"/>
            </w:tcBorders>
            <w:noWrap w:val="0"/>
            <w:vAlign w:val="center"/>
          </w:tcPr>
          <w:p>
            <w:pPr>
              <w:pStyle w:val="40"/>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5.0hm</w:t>
            </w:r>
            <w:r>
              <w:rPr>
                <w:rFonts w:hint="default" w:ascii="Times New Roman" w:hAnsi="Times New Roman" w:cs="Times New Roman"/>
                <w:color w:val="auto"/>
                <w:highlight w:val="none"/>
                <w:vertAlign w:val="superscript"/>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2506" w:type="dxa"/>
            <w:tcBorders>
              <w:tl2br w:val="nil"/>
              <w:tr2bl w:val="nil"/>
            </w:tcBorders>
            <w:noWrap w:val="0"/>
            <w:vAlign w:val="center"/>
          </w:tcPr>
          <w:p>
            <w:pPr>
              <w:pStyle w:val="40"/>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边坡坡度</w:t>
            </w:r>
          </w:p>
        </w:tc>
        <w:tc>
          <w:tcPr>
            <w:tcW w:w="1956" w:type="dxa"/>
            <w:tcBorders>
              <w:tl2br w:val="nil"/>
              <w:tr2bl w:val="nil"/>
            </w:tcBorders>
            <w:noWrap w:val="0"/>
            <w:vAlign w:val="center"/>
          </w:tcPr>
          <w:p>
            <w:pPr>
              <w:pStyle w:val="40"/>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＜25°</w:t>
            </w:r>
          </w:p>
        </w:tc>
        <w:tc>
          <w:tcPr>
            <w:tcW w:w="2515" w:type="dxa"/>
            <w:tcBorders>
              <w:tl2br w:val="nil"/>
              <w:tr2bl w:val="nil"/>
            </w:tcBorders>
            <w:noWrap w:val="0"/>
            <w:vAlign w:val="center"/>
          </w:tcPr>
          <w:p>
            <w:pPr>
              <w:pStyle w:val="40"/>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25° ~ 35°</w:t>
            </w:r>
          </w:p>
        </w:tc>
        <w:tc>
          <w:tcPr>
            <w:tcW w:w="1968" w:type="dxa"/>
            <w:tcBorders>
              <w:tl2br w:val="nil"/>
              <w:tr2bl w:val="nil"/>
            </w:tcBorders>
            <w:noWrap w:val="0"/>
            <w:vAlign w:val="center"/>
          </w:tcPr>
          <w:p>
            <w:pPr>
              <w:pStyle w:val="40"/>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61" w:hRule="atLeast"/>
          <w:jc w:val="center"/>
        </w:trPr>
        <w:tc>
          <w:tcPr>
            <w:tcW w:w="2506" w:type="dxa"/>
            <w:tcBorders>
              <w:tl2br w:val="nil"/>
              <w:tr2bl w:val="nil"/>
            </w:tcBorders>
            <w:noWrap w:val="0"/>
            <w:vAlign w:val="center"/>
          </w:tcPr>
          <w:p>
            <w:pPr>
              <w:pStyle w:val="40"/>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硬化厚度</w:t>
            </w:r>
          </w:p>
        </w:tc>
        <w:tc>
          <w:tcPr>
            <w:tcW w:w="1956" w:type="dxa"/>
            <w:tcBorders>
              <w:tl2br w:val="nil"/>
              <w:tr2bl w:val="nil"/>
            </w:tcBorders>
            <w:noWrap w:val="0"/>
            <w:vAlign w:val="center"/>
          </w:tcPr>
          <w:p>
            <w:pPr>
              <w:pStyle w:val="40"/>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＜5cm</w:t>
            </w:r>
          </w:p>
        </w:tc>
        <w:tc>
          <w:tcPr>
            <w:tcW w:w="2515" w:type="dxa"/>
            <w:tcBorders>
              <w:tl2br w:val="nil"/>
              <w:tr2bl w:val="nil"/>
            </w:tcBorders>
            <w:noWrap w:val="0"/>
            <w:vAlign w:val="center"/>
          </w:tcPr>
          <w:p>
            <w:pPr>
              <w:pStyle w:val="40"/>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5cm ~ 10cm</w:t>
            </w:r>
          </w:p>
        </w:tc>
        <w:tc>
          <w:tcPr>
            <w:tcW w:w="1968" w:type="dxa"/>
            <w:tcBorders>
              <w:tl2br w:val="nil"/>
              <w:tr2bl w:val="nil"/>
            </w:tcBorders>
            <w:noWrap w:val="0"/>
            <w:vAlign w:val="center"/>
          </w:tcPr>
          <w:p>
            <w:pPr>
              <w:pStyle w:val="40"/>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 10 cm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66" w:hRule="atLeast"/>
          <w:jc w:val="center"/>
        </w:trPr>
        <w:tc>
          <w:tcPr>
            <w:tcW w:w="2506" w:type="dxa"/>
            <w:tcBorders>
              <w:tl2br w:val="nil"/>
              <w:tr2bl w:val="nil"/>
            </w:tcBorders>
            <w:noWrap w:val="0"/>
            <w:vAlign w:val="center"/>
          </w:tcPr>
          <w:p>
            <w:pPr>
              <w:pStyle w:val="40"/>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边坡稳定性</w:t>
            </w:r>
          </w:p>
        </w:tc>
        <w:tc>
          <w:tcPr>
            <w:tcW w:w="1956" w:type="dxa"/>
            <w:tcBorders>
              <w:tl2br w:val="nil"/>
              <w:tr2bl w:val="nil"/>
            </w:tcBorders>
            <w:noWrap w:val="0"/>
            <w:vAlign w:val="center"/>
          </w:tcPr>
          <w:p>
            <w:pPr>
              <w:pStyle w:val="40"/>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稳定</w:t>
            </w:r>
          </w:p>
        </w:tc>
        <w:tc>
          <w:tcPr>
            <w:tcW w:w="2515" w:type="dxa"/>
            <w:tcBorders>
              <w:tl2br w:val="nil"/>
              <w:tr2bl w:val="nil"/>
            </w:tcBorders>
            <w:noWrap w:val="0"/>
            <w:vAlign w:val="center"/>
          </w:tcPr>
          <w:p>
            <w:pPr>
              <w:pStyle w:val="40"/>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较稳定</w:t>
            </w:r>
          </w:p>
        </w:tc>
        <w:tc>
          <w:tcPr>
            <w:tcW w:w="1968" w:type="dxa"/>
            <w:tcBorders>
              <w:tl2br w:val="nil"/>
              <w:tr2bl w:val="nil"/>
            </w:tcBorders>
            <w:noWrap w:val="0"/>
            <w:vAlign w:val="center"/>
          </w:tcPr>
          <w:p>
            <w:pPr>
              <w:pStyle w:val="40"/>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不稳定</w:t>
            </w:r>
          </w:p>
        </w:tc>
      </w:tr>
    </w:tbl>
    <w:p>
      <w:pPr>
        <w:spacing w:line="360" w:lineRule="auto"/>
        <w:ind w:firstLine="480" w:firstLineChars="200"/>
        <w:rPr>
          <w:rFonts w:hint="default" w:ascii="Times New Roman" w:hAnsi="Times New Roman" w:eastAsia="仿宋" w:cs="Times New Roman"/>
          <w:color w:val="auto"/>
          <w:sz w:val="24"/>
          <w:szCs w:val="24"/>
          <w:highlight w:val="none"/>
          <w:lang w:val="zh-CN" w:eastAsia="zh-CN"/>
        </w:rPr>
      </w:pPr>
      <w:r>
        <w:rPr>
          <w:rFonts w:hint="default" w:ascii="Times New Roman" w:hAnsi="Times New Roman" w:eastAsia="仿宋" w:cs="Times New Roman"/>
          <w:color w:val="auto"/>
          <w:sz w:val="24"/>
          <w:szCs w:val="24"/>
          <w:highlight w:val="none"/>
          <w:lang w:val="zh-CN" w:eastAsia="zh-CN"/>
        </w:rPr>
        <w:t>根据工程施工工艺及施工进度安排分析，该工程对土地的损毁环节主要是工程建设过程中设置的</w:t>
      </w:r>
      <w:r>
        <w:rPr>
          <w:rFonts w:hint="eastAsia" w:ascii="Times New Roman" w:hAnsi="Times New Roman" w:eastAsia="仿宋" w:cs="Times New Roman"/>
          <w:color w:val="auto"/>
          <w:sz w:val="24"/>
          <w:szCs w:val="24"/>
          <w:highlight w:val="none"/>
          <w:lang w:val="zh-CN" w:eastAsia="zh-CN"/>
        </w:rPr>
        <w:t>施工便道</w:t>
      </w:r>
      <w:r>
        <w:rPr>
          <w:rFonts w:hint="default" w:ascii="Times New Roman" w:hAnsi="Times New Roman" w:eastAsia="仿宋" w:cs="Times New Roman"/>
          <w:color w:val="auto"/>
          <w:sz w:val="24"/>
          <w:szCs w:val="24"/>
          <w:highlight w:val="none"/>
          <w:lang w:val="zh-CN" w:eastAsia="zh-CN"/>
        </w:rPr>
        <w:t>临时用地对土地造成的损毁，</w:t>
      </w:r>
      <w:r>
        <w:rPr>
          <w:rFonts w:hint="default" w:ascii="Times New Roman" w:hAnsi="Times New Roman" w:eastAsia="仿宋" w:cs="Times New Roman"/>
          <w:color w:val="auto"/>
          <w:sz w:val="24"/>
          <w:szCs w:val="24"/>
          <w:highlight w:val="none"/>
          <w:lang w:val="en-US" w:eastAsia="zh-CN"/>
        </w:rPr>
        <w:t>在施工期损毁，损毁形式为</w:t>
      </w:r>
      <w:r>
        <w:rPr>
          <w:rFonts w:hint="eastAsia" w:ascii="Times New Roman" w:hAnsi="Times New Roman" w:eastAsia="仿宋" w:cs="Times New Roman"/>
          <w:color w:val="auto"/>
          <w:sz w:val="24"/>
          <w:szCs w:val="24"/>
          <w:highlight w:val="none"/>
          <w:lang w:val="en-US" w:eastAsia="zh-CN"/>
        </w:rPr>
        <w:t>压占</w:t>
      </w:r>
      <w:r>
        <w:rPr>
          <w:rFonts w:hint="default" w:ascii="Times New Roman" w:hAnsi="Times New Roman" w:eastAsia="仿宋" w:cs="Times New Roman"/>
          <w:color w:val="auto"/>
          <w:sz w:val="24"/>
          <w:szCs w:val="24"/>
          <w:highlight w:val="none"/>
          <w:lang w:val="en-US" w:eastAsia="zh-CN"/>
        </w:rPr>
        <w:t>，损毁土地</w:t>
      </w:r>
      <w:r>
        <w:rPr>
          <w:rFonts w:hint="default" w:ascii="Times New Roman" w:hAnsi="Times New Roman" w:eastAsia="仿宋" w:cs="Times New Roman"/>
          <w:color w:val="auto"/>
          <w:sz w:val="24"/>
          <w:szCs w:val="24"/>
          <w:highlight w:val="none"/>
          <w:lang w:val="zh-CN" w:eastAsia="zh-CN"/>
        </w:rPr>
        <w:t>面积</w:t>
      </w:r>
      <w:r>
        <w:rPr>
          <w:rFonts w:hint="eastAsia" w:ascii="Times New Roman" w:hAnsi="Times New Roman" w:eastAsia="仿宋" w:cs="Times New Roman"/>
          <w:color w:val="auto"/>
          <w:sz w:val="24"/>
          <w:szCs w:val="24"/>
          <w:highlight w:val="none"/>
          <w:lang w:val="en-US" w:eastAsia="zh-CN"/>
        </w:rPr>
        <w:t>2.4296</w:t>
      </w:r>
      <w:r>
        <w:rPr>
          <w:rFonts w:hint="default" w:ascii="Times New Roman" w:hAnsi="Times New Roman" w:eastAsia="仿宋" w:cs="Times New Roman"/>
          <w:color w:val="auto"/>
          <w:sz w:val="24"/>
          <w:szCs w:val="24"/>
          <w:highlight w:val="none"/>
          <w:lang w:val="zh-CN" w:eastAsia="zh-CN"/>
        </w:rPr>
        <w:t>公顷，损毁地类为</w:t>
      </w:r>
      <w:r>
        <w:rPr>
          <w:rFonts w:hint="eastAsia" w:ascii="Times New Roman" w:hAnsi="Times New Roman" w:eastAsia="仿宋" w:cs="Times New Roman"/>
          <w:color w:val="auto"/>
          <w:sz w:val="24"/>
          <w:szCs w:val="24"/>
          <w:highlight w:val="none"/>
          <w:lang w:val="en-US" w:eastAsia="zh-CN"/>
        </w:rPr>
        <w:t>沙地</w:t>
      </w:r>
      <w:r>
        <w:rPr>
          <w:rFonts w:hint="default" w:ascii="Times New Roman" w:hAnsi="Times New Roman" w:eastAsia="仿宋" w:cs="Times New Roman"/>
          <w:color w:val="auto"/>
          <w:sz w:val="24"/>
          <w:szCs w:val="24"/>
          <w:highlight w:val="none"/>
          <w:lang w:val="zh-CN" w:eastAsia="zh-CN"/>
        </w:rPr>
        <w:t>，</w:t>
      </w:r>
      <w:r>
        <w:rPr>
          <w:rFonts w:hint="eastAsia" w:ascii="Times New Roman" w:hAnsi="Times New Roman" w:eastAsia="仿宋" w:cs="Times New Roman"/>
          <w:color w:val="auto"/>
          <w:sz w:val="24"/>
          <w:szCs w:val="24"/>
          <w:highlight w:val="none"/>
          <w:lang w:val="zh-CN" w:eastAsia="zh-CN"/>
        </w:rPr>
        <w:t>压占</w:t>
      </w:r>
      <w:r>
        <w:rPr>
          <w:rFonts w:hint="default" w:ascii="Times New Roman" w:hAnsi="Times New Roman" w:eastAsia="仿宋" w:cs="Times New Roman"/>
          <w:color w:val="auto"/>
          <w:sz w:val="24"/>
          <w:szCs w:val="24"/>
          <w:highlight w:val="none"/>
          <w:lang w:val="zh-CN" w:eastAsia="zh-CN"/>
        </w:rPr>
        <w:t>后破坏了地表植被及土壤结构，增加了水土流失及养分流失的机会，如不及时采取相应的复垦措施，将会与原始地貌产生较大差异，加快土壤侵蚀和水土流失的速度，同时对土地利用产生较大影响，因此，判定</w:t>
      </w:r>
      <w:r>
        <w:rPr>
          <w:rFonts w:hint="eastAsia" w:ascii="Times New Roman" w:hAnsi="Times New Roman" w:eastAsia="仿宋" w:cs="Times New Roman"/>
          <w:color w:val="auto"/>
          <w:sz w:val="24"/>
          <w:szCs w:val="24"/>
          <w:highlight w:val="none"/>
          <w:lang w:val="zh-CN" w:eastAsia="zh-CN"/>
        </w:rPr>
        <w:t>施工便道</w:t>
      </w:r>
      <w:r>
        <w:rPr>
          <w:rFonts w:hint="default" w:ascii="Times New Roman" w:hAnsi="Times New Roman" w:eastAsia="仿宋" w:cs="Times New Roman"/>
          <w:color w:val="auto"/>
          <w:sz w:val="24"/>
          <w:szCs w:val="24"/>
          <w:highlight w:val="none"/>
          <w:lang w:val="zh-CN" w:eastAsia="zh-CN"/>
        </w:rPr>
        <w:t>土地损毁程度为</w:t>
      </w:r>
      <w:r>
        <w:rPr>
          <w:rFonts w:hint="eastAsia" w:ascii="Times New Roman" w:hAnsi="Times New Roman" w:eastAsia="仿宋" w:cs="Times New Roman"/>
          <w:color w:val="auto"/>
          <w:sz w:val="24"/>
          <w:szCs w:val="24"/>
          <w:highlight w:val="none"/>
          <w:lang w:val="zh-CN" w:eastAsia="zh-CN"/>
        </w:rPr>
        <w:t>中度</w:t>
      </w:r>
      <w:r>
        <w:rPr>
          <w:rFonts w:hint="default" w:ascii="Times New Roman" w:hAnsi="Times New Roman" w:eastAsia="仿宋" w:cs="Times New Roman"/>
          <w:color w:val="auto"/>
          <w:sz w:val="24"/>
          <w:szCs w:val="24"/>
          <w:highlight w:val="none"/>
          <w:lang w:val="zh-CN" w:eastAsia="zh-CN"/>
        </w:rPr>
        <w:t>。</w:t>
      </w:r>
    </w:p>
    <w:p>
      <w:pPr>
        <w:pStyle w:val="5"/>
        <w:keepNext w:val="0"/>
        <w:keepLines w:val="0"/>
        <w:tabs>
          <w:tab w:val="left" w:pos="426"/>
        </w:tabs>
        <w:adjustRightInd w:val="0"/>
        <w:snapToGrid w:val="0"/>
        <w:spacing w:before="0" w:after="0" w:line="360" w:lineRule="auto"/>
        <w:ind w:firstLine="482" w:firstLineChars="200"/>
        <w:textAlignment w:val="baseline"/>
        <w:rPr>
          <w:rFonts w:hint="default" w:ascii="Times New Roman" w:hAnsi="Times New Roman" w:cs="Times New Roman"/>
          <w:b/>
          <w:bCs w:val="0"/>
          <w:kern w:val="0"/>
          <w:szCs w:val="28"/>
          <w:highlight w:val="none"/>
          <w:lang w:val="zh-CN" w:eastAsia="zh-CN"/>
        </w:rPr>
      </w:pPr>
      <w:bookmarkStart w:id="77" w:name="_Toc23035"/>
      <w:bookmarkStart w:id="78" w:name="_Toc8997"/>
      <w:r>
        <w:rPr>
          <w:rFonts w:hint="default" w:ascii="Times New Roman" w:hAnsi="Times New Roman" w:cs="Times New Roman"/>
          <w:b/>
          <w:bCs w:val="0"/>
          <w:kern w:val="0"/>
          <w:szCs w:val="28"/>
          <w:highlight w:val="none"/>
          <w:lang w:val="zh-CN" w:eastAsia="zh-CN"/>
        </w:rPr>
        <w:t>4.1.</w:t>
      </w:r>
      <w:r>
        <w:rPr>
          <w:rFonts w:hint="eastAsia" w:cs="Times New Roman"/>
          <w:b/>
          <w:bCs w:val="0"/>
          <w:kern w:val="0"/>
          <w:szCs w:val="28"/>
          <w:highlight w:val="none"/>
          <w:lang w:val="en-US" w:eastAsia="zh-CN"/>
        </w:rPr>
        <w:t>4</w:t>
      </w:r>
      <w:r>
        <w:rPr>
          <w:rFonts w:hint="default" w:ascii="Times New Roman" w:hAnsi="Times New Roman" w:cs="Times New Roman"/>
          <w:b/>
          <w:bCs w:val="0"/>
          <w:kern w:val="0"/>
          <w:szCs w:val="28"/>
          <w:highlight w:val="none"/>
          <w:lang w:val="zh-CN" w:eastAsia="zh-CN"/>
        </w:rPr>
        <w:t>复垦责任范围确定</w:t>
      </w:r>
      <w:bookmarkEnd w:id="77"/>
      <w:bookmarkEnd w:id="78"/>
    </w:p>
    <w:p>
      <w:pPr>
        <w:spacing w:line="360" w:lineRule="auto"/>
        <w:ind w:firstLine="480" w:firstLineChars="200"/>
        <w:rPr>
          <w:rFonts w:hint="default" w:ascii="Times New Roman" w:hAnsi="Times New Roman" w:eastAsia="仿宋" w:cs="Times New Roman"/>
          <w:color w:val="auto"/>
          <w:sz w:val="24"/>
          <w:szCs w:val="24"/>
          <w:highlight w:val="none"/>
          <w:lang w:val="zh-CN" w:eastAsia="zh-CN"/>
        </w:rPr>
      </w:pPr>
      <w:r>
        <w:rPr>
          <w:rFonts w:hint="default" w:ascii="Times New Roman" w:hAnsi="Times New Roman" w:eastAsia="仿宋" w:cs="Times New Roman"/>
          <w:color w:val="auto"/>
          <w:sz w:val="24"/>
          <w:szCs w:val="24"/>
          <w:highlight w:val="none"/>
          <w:lang w:val="zh-CN" w:eastAsia="zh-CN"/>
        </w:rPr>
        <w:t>根据土地复垦方案编制规程可知，复垦责任范围是指复垦区中损毁土地及不再留续使用的永久性建设用地构成的区域。因此，本方案复垦责任范围面积为</w:t>
      </w:r>
      <w:r>
        <w:rPr>
          <w:rFonts w:hint="eastAsia" w:ascii="Times New Roman" w:hAnsi="Times New Roman" w:eastAsia="仿宋_GB2312" w:cs="Times New Roman"/>
          <w:i w:val="0"/>
          <w:iCs w:val="0"/>
          <w:color w:val="auto"/>
          <w:kern w:val="0"/>
          <w:sz w:val="21"/>
          <w:szCs w:val="21"/>
          <w:highlight w:val="none"/>
          <w:u w:val="none"/>
          <w:lang w:val="en-US" w:eastAsia="zh-CN" w:bidi="ar"/>
        </w:rPr>
        <w:t>2.4296</w:t>
      </w:r>
      <w:r>
        <w:rPr>
          <w:rFonts w:hint="default" w:ascii="Times New Roman" w:hAnsi="Times New Roman" w:eastAsia="仿宋" w:cs="Times New Roman"/>
          <w:color w:val="auto"/>
          <w:sz w:val="24"/>
          <w:szCs w:val="24"/>
          <w:highlight w:val="none"/>
          <w:lang w:val="zh-CN" w:eastAsia="zh-CN"/>
        </w:rPr>
        <w:t>公顷。</w:t>
      </w:r>
    </w:p>
    <w:p>
      <w:pPr>
        <w:pStyle w:val="43"/>
        <w:shd w:val="clear"/>
        <w:ind w:firstLine="420"/>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表4-3 临时用地坐标表</w:t>
      </w:r>
    </w:p>
    <w:tbl>
      <w:tblPr>
        <w:tblStyle w:val="22"/>
        <w:tblW w:w="8519"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807"/>
        <w:gridCol w:w="2081"/>
        <w:gridCol w:w="2352"/>
        <w:gridCol w:w="227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72" w:hRule="atLeast"/>
        </w:trPr>
        <w:tc>
          <w:tcPr>
            <w:tcW w:w="1807" w:type="dxa"/>
            <w:tcBorders>
              <w:tl2br w:val="nil"/>
              <w:tr2bl w:val="nil"/>
            </w:tcBorders>
            <w:shd w:val="clear" w:color="auto" w:fill="auto"/>
            <w:noWrap/>
            <w:vAlign w:val="center"/>
          </w:tcPr>
          <w:p>
            <w:pPr>
              <w:pStyle w:val="40"/>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临时用地名称</w:t>
            </w:r>
          </w:p>
        </w:tc>
        <w:tc>
          <w:tcPr>
            <w:tcW w:w="2081" w:type="dxa"/>
            <w:tcBorders>
              <w:tl2br w:val="nil"/>
              <w:tr2bl w:val="nil"/>
            </w:tcBorders>
            <w:shd w:val="clear" w:color="auto" w:fill="auto"/>
            <w:noWrap/>
            <w:vAlign w:val="center"/>
          </w:tcPr>
          <w:p>
            <w:pPr>
              <w:pStyle w:val="40"/>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序号</w:t>
            </w:r>
          </w:p>
        </w:tc>
        <w:tc>
          <w:tcPr>
            <w:tcW w:w="2352" w:type="dxa"/>
            <w:tcBorders>
              <w:tl2br w:val="nil"/>
              <w:tr2bl w:val="nil"/>
            </w:tcBorders>
            <w:shd w:val="clear" w:color="auto" w:fill="auto"/>
            <w:noWrap/>
            <w:vAlign w:val="center"/>
          </w:tcPr>
          <w:p>
            <w:pPr>
              <w:pStyle w:val="40"/>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x</w:t>
            </w:r>
          </w:p>
        </w:tc>
        <w:tc>
          <w:tcPr>
            <w:tcW w:w="2279" w:type="dxa"/>
            <w:tcBorders>
              <w:tl2br w:val="nil"/>
              <w:tr2bl w:val="nil"/>
            </w:tcBorders>
            <w:shd w:val="clear" w:color="auto" w:fill="auto"/>
            <w:noWrap/>
            <w:vAlign w:val="center"/>
          </w:tcPr>
          <w:p>
            <w:pPr>
              <w:pStyle w:val="40"/>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72" w:hRule="atLeast"/>
        </w:trPr>
        <w:tc>
          <w:tcPr>
            <w:tcW w:w="1807" w:type="dxa"/>
            <w:vMerge w:val="restart"/>
            <w:tcBorders>
              <w:tl2br w:val="nil"/>
              <w:tr2bl w:val="nil"/>
            </w:tcBorders>
            <w:shd w:val="clear" w:color="auto" w:fill="auto"/>
            <w:noWrap/>
            <w:vAlign w:val="center"/>
          </w:tcPr>
          <w:p>
            <w:pPr>
              <w:pStyle w:val="40"/>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施工便道</w:t>
            </w:r>
          </w:p>
        </w:tc>
        <w:tc>
          <w:tcPr>
            <w:tcW w:w="2081" w:type="dxa"/>
            <w:tcBorders>
              <w:tl2br w:val="nil"/>
              <w:tr2bl w:val="nil"/>
            </w:tcBorders>
            <w:shd w:val="clear" w:color="auto" w:fill="auto"/>
            <w:noWrap/>
            <w:vAlign w:val="center"/>
          </w:tcPr>
          <w:p>
            <w:pPr>
              <w:pStyle w:val="40"/>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eastAsia="仿宋_GB2312" w:cs="Times New Roman"/>
                <w:i w:val="0"/>
                <w:iCs w:val="0"/>
                <w:color w:val="auto"/>
                <w:kern w:val="0"/>
                <w:sz w:val="21"/>
                <w:szCs w:val="21"/>
                <w:highlight w:val="none"/>
                <w:u w:val="none"/>
                <w:lang w:val="en-US" w:eastAsia="zh-CN" w:bidi="ar"/>
              </w:rPr>
              <w:t>J01</w:t>
            </w:r>
          </w:p>
        </w:tc>
        <w:tc>
          <w:tcPr>
            <w:tcW w:w="2352" w:type="dxa"/>
            <w:tcBorders>
              <w:tl2br w:val="nil"/>
              <w:tr2bl w:val="nil"/>
            </w:tcBorders>
            <w:shd w:val="clear" w:color="auto" w:fill="auto"/>
            <w:noWrap/>
            <w:vAlign w:val="center"/>
          </w:tcPr>
          <w:p>
            <w:pPr>
              <w:pStyle w:val="40"/>
              <w:ind w:firstLine="0" w:firstLineChars="0"/>
              <w:jc w:val="center"/>
              <w:rPr>
                <w:rFonts w:hint="eastAsia"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4316592.910</w:t>
            </w:r>
          </w:p>
        </w:tc>
        <w:tc>
          <w:tcPr>
            <w:tcW w:w="2279" w:type="dxa"/>
            <w:tcBorders>
              <w:tl2br w:val="nil"/>
              <w:tr2bl w:val="nil"/>
            </w:tcBorders>
            <w:shd w:val="clear" w:color="auto" w:fill="auto"/>
            <w:noWrap/>
            <w:vAlign w:val="center"/>
          </w:tcPr>
          <w:p>
            <w:pPr>
              <w:pStyle w:val="40"/>
              <w:ind w:firstLine="0" w:firstLineChars="0"/>
              <w:jc w:val="center"/>
              <w:rPr>
                <w:rFonts w:hint="eastAsia"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25633625.509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72" w:hRule="atLeast"/>
        </w:trPr>
        <w:tc>
          <w:tcPr>
            <w:tcW w:w="1807" w:type="dxa"/>
            <w:vMerge w:val="continue"/>
            <w:tcBorders>
              <w:tl2br w:val="nil"/>
              <w:tr2bl w:val="nil"/>
            </w:tcBorders>
            <w:shd w:val="clear" w:color="auto" w:fill="auto"/>
            <w:noWrap/>
            <w:vAlign w:val="center"/>
          </w:tcPr>
          <w:p>
            <w:pPr>
              <w:pStyle w:val="40"/>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cs="Times New Roman"/>
                <w:color w:val="auto"/>
                <w:sz w:val="21"/>
                <w:szCs w:val="21"/>
                <w:highlight w:val="none"/>
                <w:lang w:val="en-US" w:eastAsia="zh-CN"/>
              </w:rPr>
            </w:pPr>
          </w:p>
        </w:tc>
        <w:tc>
          <w:tcPr>
            <w:tcW w:w="2081" w:type="dxa"/>
            <w:tcBorders>
              <w:tl2br w:val="nil"/>
              <w:tr2bl w:val="nil"/>
            </w:tcBorders>
            <w:shd w:val="clear" w:color="auto" w:fill="auto"/>
            <w:noWrap/>
            <w:vAlign w:val="center"/>
          </w:tcPr>
          <w:p>
            <w:pPr>
              <w:pStyle w:val="40"/>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eastAsia="仿宋_GB2312" w:cs="Times New Roman"/>
                <w:i w:val="0"/>
                <w:iCs w:val="0"/>
                <w:color w:val="auto"/>
                <w:kern w:val="0"/>
                <w:sz w:val="21"/>
                <w:szCs w:val="21"/>
                <w:highlight w:val="none"/>
                <w:u w:val="none"/>
                <w:lang w:val="en-US" w:eastAsia="zh-CN" w:bidi="ar"/>
              </w:rPr>
              <w:t>J02</w:t>
            </w:r>
          </w:p>
        </w:tc>
        <w:tc>
          <w:tcPr>
            <w:tcW w:w="2352" w:type="dxa"/>
            <w:tcBorders>
              <w:tl2br w:val="nil"/>
              <w:tr2bl w:val="nil"/>
            </w:tcBorders>
            <w:shd w:val="clear" w:color="auto" w:fill="auto"/>
            <w:noWrap/>
            <w:vAlign w:val="center"/>
          </w:tcPr>
          <w:p>
            <w:pPr>
              <w:pStyle w:val="40"/>
              <w:ind w:firstLine="0" w:firstLineChars="0"/>
              <w:jc w:val="center"/>
              <w:rPr>
                <w:rFonts w:hint="eastAsia"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4316623.007</w:t>
            </w:r>
          </w:p>
        </w:tc>
        <w:tc>
          <w:tcPr>
            <w:tcW w:w="2279" w:type="dxa"/>
            <w:tcBorders>
              <w:tl2br w:val="nil"/>
              <w:tr2bl w:val="nil"/>
            </w:tcBorders>
            <w:shd w:val="clear" w:color="auto" w:fill="auto"/>
            <w:noWrap/>
            <w:vAlign w:val="center"/>
          </w:tcPr>
          <w:p>
            <w:pPr>
              <w:pStyle w:val="40"/>
              <w:ind w:firstLine="0" w:firstLineChars="0"/>
              <w:jc w:val="center"/>
              <w:rPr>
                <w:rFonts w:hint="eastAsia"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25633579.283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72" w:hRule="atLeast"/>
        </w:trPr>
        <w:tc>
          <w:tcPr>
            <w:tcW w:w="1807" w:type="dxa"/>
            <w:vMerge w:val="continue"/>
            <w:tcBorders>
              <w:tl2br w:val="nil"/>
              <w:tr2bl w:val="nil"/>
            </w:tcBorders>
            <w:shd w:val="clear" w:color="auto" w:fill="auto"/>
            <w:noWrap/>
            <w:vAlign w:val="center"/>
          </w:tcPr>
          <w:p>
            <w:pPr>
              <w:pStyle w:val="40"/>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cs="Times New Roman"/>
                <w:color w:val="auto"/>
                <w:sz w:val="21"/>
                <w:szCs w:val="21"/>
                <w:highlight w:val="none"/>
                <w:lang w:val="en-US" w:eastAsia="zh-CN"/>
              </w:rPr>
            </w:pPr>
          </w:p>
        </w:tc>
        <w:tc>
          <w:tcPr>
            <w:tcW w:w="2081" w:type="dxa"/>
            <w:tcBorders>
              <w:tl2br w:val="nil"/>
              <w:tr2bl w:val="nil"/>
            </w:tcBorders>
            <w:shd w:val="clear" w:color="auto" w:fill="auto"/>
            <w:noWrap/>
            <w:vAlign w:val="center"/>
          </w:tcPr>
          <w:p>
            <w:pPr>
              <w:pStyle w:val="40"/>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eastAsia="仿宋_GB2312" w:cs="Times New Roman"/>
                <w:i w:val="0"/>
                <w:iCs w:val="0"/>
                <w:color w:val="auto"/>
                <w:kern w:val="0"/>
                <w:sz w:val="21"/>
                <w:szCs w:val="21"/>
                <w:highlight w:val="none"/>
                <w:u w:val="none"/>
                <w:lang w:val="en-US" w:eastAsia="zh-CN" w:bidi="ar"/>
              </w:rPr>
              <w:t>J03</w:t>
            </w:r>
          </w:p>
        </w:tc>
        <w:tc>
          <w:tcPr>
            <w:tcW w:w="2352" w:type="dxa"/>
            <w:tcBorders>
              <w:tl2br w:val="nil"/>
              <w:tr2bl w:val="nil"/>
            </w:tcBorders>
            <w:shd w:val="clear" w:color="auto" w:fill="auto"/>
            <w:noWrap/>
            <w:vAlign w:val="center"/>
          </w:tcPr>
          <w:p>
            <w:pPr>
              <w:pStyle w:val="40"/>
              <w:ind w:firstLine="0" w:firstLineChars="0"/>
              <w:jc w:val="center"/>
              <w:rPr>
                <w:rFonts w:hint="eastAsia"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4317117.896</w:t>
            </w:r>
          </w:p>
        </w:tc>
        <w:tc>
          <w:tcPr>
            <w:tcW w:w="2279" w:type="dxa"/>
            <w:tcBorders>
              <w:tl2br w:val="nil"/>
              <w:tr2bl w:val="nil"/>
            </w:tcBorders>
            <w:shd w:val="clear" w:color="auto" w:fill="auto"/>
            <w:noWrap/>
            <w:vAlign w:val="center"/>
          </w:tcPr>
          <w:p>
            <w:pPr>
              <w:pStyle w:val="40"/>
              <w:ind w:firstLine="0" w:firstLineChars="0"/>
              <w:jc w:val="center"/>
              <w:rPr>
                <w:rFonts w:hint="eastAsia"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25632829.552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72" w:hRule="atLeast"/>
        </w:trPr>
        <w:tc>
          <w:tcPr>
            <w:tcW w:w="1807" w:type="dxa"/>
            <w:vMerge w:val="continue"/>
            <w:tcBorders>
              <w:tl2br w:val="nil"/>
              <w:tr2bl w:val="nil"/>
            </w:tcBorders>
            <w:shd w:val="clear" w:color="auto" w:fill="auto"/>
            <w:noWrap/>
            <w:vAlign w:val="center"/>
          </w:tcPr>
          <w:p>
            <w:pPr>
              <w:pStyle w:val="40"/>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cs="Times New Roman"/>
                <w:color w:val="auto"/>
                <w:sz w:val="21"/>
                <w:szCs w:val="21"/>
                <w:highlight w:val="none"/>
                <w:lang w:val="en-US" w:eastAsia="zh-CN"/>
              </w:rPr>
            </w:pPr>
          </w:p>
        </w:tc>
        <w:tc>
          <w:tcPr>
            <w:tcW w:w="2081" w:type="dxa"/>
            <w:tcBorders>
              <w:tl2br w:val="nil"/>
              <w:tr2bl w:val="nil"/>
            </w:tcBorders>
            <w:shd w:val="clear" w:color="auto" w:fill="auto"/>
            <w:noWrap/>
            <w:vAlign w:val="center"/>
          </w:tcPr>
          <w:p>
            <w:pPr>
              <w:pStyle w:val="40"/>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eastAsia="仿宋_GB2312" w:cs="Times New Roman"/>
                <w:i w:val="0"/>
                <w:iCs w:val="0"/>
                <w:color w:val="auto"/>
                <w:kern w:val="0"/>
                <w:sz w:val="21"/>
                <w:szCs w:val="21"/>
                <w:highlight w:val="none"/>
                <w:u w:val="none"/>
                <w:lang w:val="en-US" w:eastAsia="zh-CN" w:bidi="ar"/>
              </w:rPr>
              <w:t>J04</w:t>
            </w:r>
          </w:p>
        </w:tc>
        <w:tc>
          <w:tcPr>
            <w:tcW w:w="2352" w:type="dxa"/>
            <w:tcBorders>
              <w:tl2br w:val="nil"/>
              <w:tr2bl w:val="nil"/>
            </w:tcBorders>
            <w:shd w:val="clear" w:color="auto" w:fill="auto"/>
            <w:noWrap/>
            <w:vAlign w:val="center"/>
          </w:tcPr>
          <w:p>
            <w:pPr>
              <w:pStyle w:val="40"/>
              <w:ind w:firstLine="0" w:firstLineChars="0"/>
              <w:jc w:val="center"/>
              <w:rPr>
                <w:rFonts w:hint="eastAsia"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4318464.038</w:t>
            </w:r>
          </w:p>
        </w:tc>
        <w:tc>
          <w:tcPr>
            <w:tcW w:w="2279" w:type="dxa"/>
            <w:tcBorders>
              <w:tl2br w:val="nil"/>
              <w:tr2bl w:val="nil"/>
            </w:tcBorders>
            <w:shd w:val="clear" w:color="auto" w:fill="auto"/>
            <w:noWrap/>
            <w:vAlign w:val="center"/>
          </w:tcPr>
          <w:p>
            <w:pPr>
              <w:pStyle w:val="40"/>
              <w:ind w:firstLine="0" w:firstLineChars="0"/>
              <w:jc w:val="center"/>
              <w:rPr>
                <w:rFonts w:hint="eastAsia"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25630796.388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72" w:hRule="atLeast"/>
        </w:trPr>
        <w:tc>
          <w:tcPr>
            <w:tcW w:w="1807" w:type="dxa"/>
            <w:vMerge w:val="continue"/>
            <w:tcBorders>
              <w:tl2br w:val="nil"/>
              <w:tr2bl w:val="nil"/>
            </w:tcBorders>
            <w:shd w:val="clear" w:color="auto" w:fill="auto"/>
            <w:noWrap/>
            <w:vAlign w:val="center"/>
          </w:tcPr>
          <w:p>
            <w:pPr>
              <w:pStyle w:val="40"/>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cs="Times New Roman"/>
                <w:color w:val="auto"/>
                <w:sz w:val="21"/>
                <w:szCs w:val="21"/>
                <w:highlight w:val="none"/>
                <w:lang w:val="en-US" w:eastAsia="zh-CN"/>
              </w:rPr>
            </w:pPr>
          </w:p>
        </w:tc>
        <w:tc>
          <w:tcPr>
            <w:tcW w:w="2081" w:type="dxa"/>
            <w:tcBorders>
              <w:tl2br w:val="nil"/>
              <w:tr2bl w:val="nil"/>
            </w:tcBorders>
            <w:shd w:val="clear" w:color="auto" w:fill="auto"/>
            <w:noWrap/>
            <w:vAlign w:val="center"/>
          </w:tcPr>
          <w:p>
            <w:pPr>
              <w:pStyle w:val="40"/>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eastAsia="仿宋_GB2312" w:cs="Times New Roman"/>
                <w:i w:val="0"/>
                <w:iCs w:val="0"/>
                <w:color w:val="auto"/>
                <w:kern w:val="0"/>
                <w:sz w:val="21"/>
                <w:szCs w:val="21"/>
                <w:highlight w:val="none"/>
                <w:u w:val="none"/>
                <w:lang w:val="en-US" w:eastAsia="zh-CN" w:bidi="ar"/>
              </w:rPr>
              <w:t>J05</w:t>
            </w:r>
          </w:p>
        </w:tc>
        <w:tc>
          <w:tcPr>
            <w:tcW w:w="2352" w:type="dxa"/>
            <w:tcBorders>
              <w:tl2br w:val="nil"/>
              <w:tr2bl w:val="nil"/>
            </w:tcBorders>
            <w:shd w:val="clear" w:color="auto" w:fill="auto"/>
            <w:noWrap/>
            <w:vAlign w:val="center"/>
          </w:tcPr>
          <w:p>
            <w:pPr>
              <w:pStyle w:val="40"/>
              <w:ind w:firstLine="0" w:firstLineChars="0"/>
              <w:jc w:val="center"/>
              <w:rPr>
                <w:rFonts w:hint="eastAsia"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4318476.385</w:t>
            </w:r>
          </w:p>
        </w:tc>
        <w:tc>
          <w:tcPr>
            <w:tcW w:w="2279" w:type="dxa"/>
            <w:tcBorders>
              <w:tl2br w:val="nil"/>
              <w:tr2bl w:val="nil"/>
            </w:tcBorders>
            <w:shd w:val="clear" w:color="auto" w:fill="auto"/>
            <w:noWrap/>
            <w:vAlign w:val="center"/>
          </w:tcPr>
          <w:p>
            <w:pPr>
              <w:pStyle w:val="40"/>
              <w:ind w:firstLine="0" w:firstLineChars="0"/>
              <w:jc w:val="center"/>
              <w:rPr>
                <w:rFonts w:hint="eastAsia"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25630777.744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72" w:hRule="atLeast"/>
        </w:trPr>
        <w:tc>
          <w:tcPr>
            <w:tcW w:w="1807" w:type="dxa"/>
            <w:vMerge w:val="continue"/>
            <w:tcBorders>
              <w:tl2br w:val="nil"/>
              <w:tr2bl w:val="nil"/>
            </w:tcBorders>
            <w:shd w:val="clear" w:color="auto" w:fill="auto"/>
            <w:noWrap/>
            <w:vAlign w:val="center"/>
          </w:tcPr>
          <w:p>
            <w:pPr>
              <w:pStyle w:val="40"/>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cs="Times New Roman"/>
                <w:color w:val="auto"/>
                <w:sz w:val="21"/>
                <w:szCs w:val="21"/>
                <w:highlight w:val="none"/>
                <w:lang w:val="en-US" w:eastAsia="zh-CN"/>
              </w:rPr>
            </w:pPr>
          </w:p>
        </w:tc>
        <w:tc>
          <w:tcPr>
            <w:tcW w:w="2081" w:type="dxa"/>
            <w:tcBorders>
              <w:tl2br w:val="nil"/>
              <w:tr2bl w:val="nil"/>
            </w:tcBorders>
            <w:shd w:val="clear" w:color="auto" w:fill="auto"/>
            <w:noWrap/>
            <w:vAlign w:val="center"/>
          </w:tcPr>
          <w:p>
            <w:pPr>
              <w:pStyle w:val="40"/>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eastAsia="仿宋_GB2312" w:cs="Times New Roman"/>
                <w:i w:val="0"/>
                <w:iCs w:val="0"/>
                <w:color w:val="auto"/>
                <w:kern w:val="0"/>
                <w:sz w:val="21"/>
                <w:szCs w:val="21"/>
                <w:highlight w:val="none"/>
                <w:u w:val="none"/>
                <w:lang w:val="en-US" w:eastAsia="zh-CN" w:bidi="ar"/>
              </w:rPr>
              <w:t>J06</w:t>
            </w:r>
          </w:p>
        </w:tc>
        <w:tc>
          <w:tcPr>
            <w:tcW w:w="2352" w:type="dxa"/>
            <w:tcBorders>
              <w:tl2br w:val="nil"/>
              <w:tr2bl w:val="nil"/>
            </w:tcBorders>
            <w:shd w:val="clear" w:color="auto" w:fill="auto"/>
            <w:noWrap/>
            <w:vAlign w:val="center"/>
          </w:tcPr>
          <w:p>
            <w:pPr>
              <w:pStyle w:val="40"/>
              <w:ind w:firstLine="0" w:firstLineChars="0"/>
              <w:jc w:val="center"/>
              <w:rPr>
                <w:rFonts w:hint="eastAsia"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4318483.594</w:t>
            </w:r>
          </w:p>
        </w:tc>
        <w:tc>
          <w:tcPr>
            <w:tcW w:w="2279" w:type="dxa"/>
            <w:tcBorders>
              <w:tl2br w:val="nil"/>
              <w:tr2bl w:val="nil"/>
            </w:tcBorders>
            <w:shd w:val="clear" w:color="auto" w:fill="auto"/>
            <w:noWrap/>
            <w:vAlign w:val="center"/>
          </w:tcPr>
          <w:p>
            <w:pPr>
              <w:pStyle w:val="40"/>
              <w:ind w:firstLine="0" w:firstLineChars="0"/>
              <w:jc w:val="center"/>
              <w:rPr>
                <w:rFonts w:hint="eastAsia"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25630779.492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72" w:hRule="atLeast"/>
        </w:trPr>
        <w:tc>
          <w:tcPr>
            <w:tcW w:w="1807" w:type="dxa"/>
            <w:vMerge w:val="continue"/>
            <w:tcBorders>
              <w:tl2br w:val="nil"/>
              <w:tr2bl w:val="nil"/>
            </w:tcBorders>
            <w:shd w:val="clear" w:color="auto" w:fill="auto"/>
            <w:noWrap/>
            <w:vAlign w:val="center"/>
          </w:tcPr>
          <w:p>
            <w:pPr>
              <w:pStyle w:val="40"/>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cs="Times New Roman"/>
                <w:color w:val="auto"/>
                <w:sz w:val="21"/>
                <w:szCs w:val="21"/>
                <w:highlight w:val="none"/>
                <w:lang w:val="en-US" w:eastAsia="zh-CN"/>
              </w:rPr>
            </w:pPr>
          </w:p>
        </w:tc>
        <w:tc>
          <w:tcPr>
            <w:tcW w:w="2081" w:type="dxa"/>
            <w:tcBorders>
              <w:tl2br w:val="nil"/>
              <w:tr2bl w:val="nil"/>
            </w:tcBorders>
            <w:shd w:val="clear" w:color="auto" w:fill="auto"/>
            <w:noWrap/>
            <w:vAlign w:val="center"/>
          </w:tcPr>
          <w:p>
            <w:pPr>
              <w:pStyle w:val="40"/>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eastAsia="仿宋_GB2312" w:cs="Times New Roman"/>
                <w:i w:val="0"/>
                <w:iCs w:val="0"/>
                <w:color w:val="auto"/>
                <w:kern w:val="0"/>
                <w:sz w:val="21"/>
                <w:szCs w:val="21"/>
                <w:highlight w:val="none"/>
                <w:u w:val="none"/>
                <w:lang w:val="en-US" w:eastAsia="zh-CN" w:bidi="ar"/>
              </w:rPr>
              <w:t>J07</w:t>
            </w:r>
          </w:p>
        </w:tc>
        <w:tc>
          <w:tcPr>
            <w:tcW w:w="2352" w:type="dxa"/>
            <w:tcBorders>
              <w:tl2br w:val="nil"/>
              <w:tr2bl w:val="nil"/>
            </w:tcBorders>
            <w:shd w:val="clear" w:color="auto" w:fill="auto"/>
            <w:noWrap/>
            <w:vAlign w:val="center"/>
          </w:tcPr>
          <w:p>
            <w:pPr>
              <w:pStyle w:val="40"/>
              <w:ind w:firstLine="0" w:firstLineChars="0"/>
              <w:jc w:val="center"/>
              <w:rPr>
                <w:rFonts w:hint="eastAsia"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4316599.866</w:t>
            </w:r>
          </w:p>
        </w:tc>
        <w:tc>
          <w:tcPr>
            <w:tcW w:w="2279" w:type="dxa"/>
            <w:tcBorders>
              <w:tl2br w:val="nil"/>
              <w:tr2bl w:val="nil"/>
            </w:tcBorders>
            <w:shd w:val="clear" w:color="auto" w:fill="auto"/>
            <w:noWrap/>
            <w:vAlign w:val="center"/>
          </w:tcPr>
          <w:p>
            <w:pPr>
              <w:pStyle w:val="40"/>
              <w:ind w:firstLine="0" w:firstLineChars="0"/>
              <w:jc w:val="center"/>
              <w:rPr>
                <w:rFonts w:hint="eastAsia"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25633626.091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72" w:hRule="atLeast"/>
        </w:trPr>
        <w:tc>
          <w:tcPr>
            <w:tcW w:w="1807" w:type="dxa"/>
            <w:vMerge w:val="continue"/>
            <w:tcBorders>
              <w:tl2br w:val="nil"/>
              <w:tr2bl w:val="nil"/>
            </w:tcBorders>
            <w:shd w:val="clear" w:color="auto" w:fill="auto"/>
            <w:noWrap/>
            <w:vAlign w:val="center"/>
          </w:tcPr>
          <w:p>
            <w:pPr>
              <w:pStyle w:val="40"/>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cs="Times New Roman"/>
                <w:color w:val="auto"/>
                <w:sz w:val="21"/>
                <w:szCs w:val="21"/>
                <w:highlight w:val="none"/>
                <w:lang w:val="en-US" w:eastAsia="zh-CN"/>
              </w:rPr>
            </w:pPr>
          </w:p>
        </w:tc>
        <w:tc>
          <w:tcPr>
            <w:tcW w:w="2081" w:type="dxa"/>
            <w:tcBorders>
              <w:tl2br w:val="nil"/>
              <w:tr2bl w:val="nil"/>
            </w:tcBorders>
            <w:shd w:val="clear" w:color="auto" w:fill="auto"/>
            <w:noWrap/>
            <w:vAlign w:val="center"/>
          </w:tcPr>
          <w:p>
            <w:pPr>
              <w:pStyle w:val="40"/>
              <w:ind w:firstLine="0" w:firstLineChars="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eastAsia="仿宋_GB2312" w:cs="Times New Roman"/>
                <w:i w:val="0"/>
                <w:iCs w:val="0"/>
                <w:color w:val="auto"/>
                <w:kern w:val="0"/>
                <w:sz w:val="21"/>
                <w:szCs w:val="21"/>
                <w:highlight w:val="none"/>
                <w:u w:val="none"/>
                <w:lang w:val="en-US" w:eastAsia="zh-CN" w:bidi="ar"/>
              </w:rPr>
              <w:t>J01</w:t>
            </w:r>
          </w:p>
        </w:tc>
        <w:tc>
          <w:tcPr>
            <w:tcW w:w="2352" w:type="dxa"/>
            <w:tcBorders>
              <w:tl2br w:val="nil"/>
              <w:tr2bl w:val="nil"/>
            </w:tcBorders>
            <w:shd w:val="clear" w:color="auto" w:fill="auto"/>
            <w:noWrap/>
            <w:vAlign w:val="center"/>
          </w:tcPr>
          <w:p>
            <w:pPr>
              <w:pStyle w:val="40"/>
              <w:ind w:firstLine="0" w:firstLineChars="0"/>
              <w:jc w:val="center"/>
              <w:rPr>
                <w:rFonts w:hint="eastAsia"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4316592.910</w:t>
            </w:r>
          </w:p>
        </w:tc>
        <w:tc>
          <w:tcPr>
            <w:tcW w:w="2279" w:type="dxa"/>
            <w:tcBorders>
              <w:tl2br w:val="nil"/>
              <w:tr2bl w:val="nil"/>
            </w:tcBorders>
            <w:shd w:val="clear" w:color="auto" w:fill="auto"/>
            <w:noWrap/>
            <w:vAlign w:val="center"/>
          </w:tcPr>
          <w:p>
            <w:pPr>
              <w:pStyle w:val="40"/>
              <w:ind w:firstLine="0" w:firstLineChars="0"/>
              <w:jc w:val="center"/>
              <w:rPr>
                <w:rFonts w:hint="eastAsia" w:ascii="Times New Roman" w:hAnsi="Times New Roman" w:eastAsia="仿宋_GB2312" w:cs="Times New Roman"/>
                <w:i w:val="0"/>
                <w:iCs w:val="0"/>
                <w:color w:val="auto"/>
                <w:kern w:val="0"/>
                <w:sz w:val="21"/>
                <w:szCs w:val="21"/>
                <w:highlight w:val="none"/>
                <w:u w:val="none"/>
                <w:lang w:val="en-US" w:eastAsia="zh-CN" w:bidi="ar"/>
              </w:rPr>
            </w:pPr>
            <w:r>
              <w:rPr>
                <w:rFonts w:hint="default" w:ascii="Times New Roman" w:hAnsi="Times New Roman" w:eastAsia="仿宋_GB2312" w:cs="Times New Roman"/>
                <w:i w:val="0"/>
                <w:iCs w:val="0"/>
                <w:color w:val="auto"/>
                <w:kern w:val="0"/>
                <w:sz w:val="21"/>
                <w:szCs w:val="21"/>
                <w:highlight w:val="none"/>
                <w:u w:val="none"/>
                <w:lang w:val="en-US" w:eastAsia="zh-CN" w:bidi="ar"/>
              </w:rPr>
              <w:t>25633625.509</w:t>
            </w:r>
          </w:p>
        </w:tc>
      </w:tr>
    </w:tbl>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color w:val="auto"/>
          <w:highlight w:val="none"/>
          <w:lang w:val="en-US" w:eastAsia="zh-CN"/>
        </w:rPr>
      </w:pPr>
      <w:bookmarkStart w:id="79" w:name="_Toc28082"/>
      <w:bookmarkStart w:id="80" w:name="_Toc9051"/>
      <w:r>
        <w:rPr>
          <w:rFonts w:hint="default" w:ascii="Times New Roman" w:hAnsi="Times New Roman" w:cs="Times New Roman"/>
          <w:color w:val="auto"/>
          <w:highlight w:val="none"/>
          <w:lang w:val="en-US" w:eastAsia="zh-CN"/>
        </w:rPr>
        <w:t>4.</w:t>
      </w:r>
      <w:r>
        <w:rPr>
          <w:rFonts w:hint="eastAsia" w:cs="Times New Roman"/>
          <w:color w:val="auto"/>
          <w:highlight w:val="none"/>
          <w:lang w:val="en-US" w:eastAsia="zh-CN"/>
        </w:rPr>
        <w:t>2</w:t>
      </w:r>
      <w:r>
        <w:rPr>
          <w:rFonts w:hint="default" w:ascii="Times New Roman" w:hAnsi="Times New Roman" w:cs="Times New Roman"/>
          <w:color w:val="auto"/>
          <w:highlight w:val="none"/>
          <w:lang w:val="en-US" w:eastAsia="zh-CN"/>
        </w:rPr>
        <w:t>生态环境影响分析</w:t>
      </w:r>
      <w:bookmarkEnd w:id="79"/>
      <w:bookmarkEnd w:id="80"/>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本项目为改扩建公路项目，项目场址地势相对平坦，道路宽阔、环境优美、空气洁净、交通方便。工程建设中加强项目环境管理，注意文明施工，是减少施工环境污染的最得力措施。</w:t>
      </w:r>
    </w:p>
    <w:p>
      <w:pPr>
        <w:spacing w:line="360" w:lineRule="auto"/>
        <w:ind w:firstLine="482" w:firstLineChars="200"/>
        <w:rPr>
          <w:rFonts w:hint="default" w:ascii="Times New Roman" w:hAnsi="Times New Roman" w:eastAsia="仿宋" w:cs="Times New Roman"/>
          <w:b/>
          <w:bCs/>
          <w:color w:val="auto"/>
          <w:sz w:val="24"/>
          <w:szCs w:val="24"/>
          <w:highlight w:val="none"/>
          <w:lang w:val="en-US" w:eastAsia="zh-CN"/>
        </w:rPr>
      </w:pPr>
      <w:r>
        <w:rPr>
          <w:rFonts w:hint="eastAsia" w:ascii="Times New Roman" w:hAnsi="Times New Roman" w:eastAsia="仿宋" w:cs="Times New Roman"/>
          <w:b/>
          <w:bCs/>
          <w:color w:val="auto"/>
          <w:sz w:val="24"/>
          <w:szCs w:val="24"/>
          <w:highlight w:val="none"/>
          <w:lang w:val="en-US" w:eastAsia="zh-CN"/>
        </w:rPr>
        <w:t>1.</w:t>
      </w:r>
      <w:r>
        <w:rPr>
          <w:rFonts w:hint="default" w:ascii="Times New Roman" w:hAnsi="Times New Roman" w:eastAsia="仿宋" w:cs="Times New Roman"/>
          <w:b/>
          <w:bCs/>
          <w:color w:val="auto"/>
          <w:sz w:val="24"/>
          <w:szCs w:val="24"/>
          <w:highlight w:val="none"/>
          <w:lang w:val="en-US" w:eastAsia="zh-CN"/>
        </w:rPr>
        <w:t>工程建设对土壤的影响</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工程建设对土壤的影响主要表现在土壤结构和质地的压实及水土流失。弃土场的建设破坏了土壤结构，扰动了原土壤的稳定性，降低了地表抗侵蚀能力，容易引发水土流失。由于弃土场因人员活动频繁，时常有重型运载车通过，使土壤被压实，土壤透气性能降低，土壤紧实度增加，地表裸露面积增加，造成土壤质量下降。</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为减轻对土壤的影响，按照环评批复要求，建设单位应在施工中严格落实各项生态保护措施，控制施工范围，施工结束后及时回复临时占地生态环境；在施工中应统筹规划，搞好土方平衡，尽可能减少土方搬运而造成植被的破坏等，严格落实各项水土流失放置措施。</w:t>
      </w:r>
    </w:p>
    <w:p>
      <w:pPr>
        <w:spacing w:line="360" w:lineRule="auto"/>
        <w:ind w:firstLine="482" w:firstLineChars="200"/>
        <w:rPr>
          <w:rFonts w:hint="default" w:ascii="Times New Roman" w:hAnsi="Times New Roman" w:eastAsia="仿宋" w:cs="Times New Roman"/>
          <w:b/>
          <w:bCs/>
          <w:color w:val="auto"/>
          <w:sz w:val="24"/>
          <w:szCs w:val="24"/>
          <w:highlight w:val="none"/>
          <w:lang w:val="en-US" w:eastAsia="zh-CN"/>
        </w:rPr>
      </w:pPr>
      <w:r>
        <w:rPr>
          <w:rFonts w:hint="eastAsia" w:ascii="Times New Roman" w:hAnsi="Times New Roman" w:eastAsia="仿宋" w:cs="Times New Roman"/>
          <w:b/>
          <w:bCs/>
          <w:color w:val="auto"/>
          <w:sz w:val="24"/>
          <w:szCs w:val="24"/>
          <w:highlight w:val="none"/>
          <w:lang w:val="en-US" w:eastAsia="zh-CN"/>
        </w:rPr>
        <w:t>2.</w:t>
      </w:r>
      <w:r>
        <w:rPr>
          <w:rFonts w:hint="default" w:ascii="Times New Roman" w:hAnsi="Times New Roman" w:eastAsia="仿宋" w:cs="Times New Roman"/>
          <w:b/>
          <w:bCs/>
          <w:color w:val="auto"/>
          <w:sz w:val="24"/>
          <w:szCs w:val="24"/>
          <w:highlight w:val="none"/>
          <w:lang w:val="en-US" w:eastAsia="zh-CN"/>
        </w:rPr>
        <w:t>工程建设对水环境的影响</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项目施工期间污水主要为生活污水和施工产生的污水。生活污水大部分为冲厕水；施工污水主要包括土方阶段降水井的排水，结构阶段混凝土、养护排水，以及各种车辆冲洗水，含泥沙、悬浮颗粒等。施工工地应开挖排水沟，在各雨水出口处开挖雨水沉淀过滤池，同时对施工污水进行沉淀处理，并在排水口设置格栅，拦截大的块状物。</w:t>
      </w:r>
    </w:p>
    <w:p>
      <w:pPr>
        <w:spacing w:line="360" w:lineRule="auto"/>
        <w:ind w:firstLine="482" w:firstLineChars="200"/>
        <w:rPr>
          <w:rFonts w:hint="default" w:ascii="Times New Roman" w:hAnsi="Times New Roman" w:eastAsia="仿宋" w:cs="Times New Roman"/>
          <w:b/>
          <w:bCs/>
          <w:color w:val="auto"/>
          <w:sz w:val="24"/>
          <w:szCs w:val="24"/>
          <w:highlight w:val="none"/>
          <w:lang w:val="en-US" w:eastAsia="zh-CN"/>
        </w:rPr>
      </w:pPr>
      <w:r>
        <w:rPr>
          <w:rFonts w:hint="eastAsia" w:ascii="Times New Roman" w:hAnsi="Times New Roman" w:eastAsia="仿宋" w:cs="Times New Roman"/>
          <w:b/>
          <w:bCs/>
          <w:color w:val="auto"/>
          <w:sz w:val="24"/>
          <w:szCs w:val="24"/>
          <w:highlight w:val="none"/>
          <w:lang w:val="en-US" w:eastAsia="zh-CN"/>
        </w:rPr>
        <w:t>3.</w:t>
      </w:r>
      <w:r>
        <w:rPr>
          <w:rFonts w:hint="default" w:ascii="Times New Roman" w:hAnsi="Times New Roman" w:eastAsia="仿宋" w:cs="Times New Roman"/>
          <w:b/>
          <w:bCs/>
          <w:color w:val="auto"/>
          <w:sz w:val="24"/>
          <w:szCs w:val="24"/>
          <w:highlight w:val="none"/>
          <w:lang w:val="en-US" w:eastAsia="zh-CN"/>
        </w:rPr>
        <w:t>工程建设对生物资源的影响</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项目周围无名胜古迹、风景区、自然保护区，因此，本项目对特殊环境没有影响。在项目的建设和运营过程中对水土保持等生态环境有一定影响，应注意项目所在地的水土保持工作，防止水土流失。全面规划向，项目区的排水系统，合理疏导雨水径流向，避免汇集雨水对周围场地产生冲刷。</w:t>
      </w:r>
    </w:p>
    <w:p>
      <w:pPr>
        <w:spacing w:line="360" w:lineRule="auto"/>
        <w:ind w:firstLine="482" w:firstLineChars="200"/>
        <w:rPr>
          <w:rFonts w:hint="default" w:ascii="Times New Roman" w:hAnsi="Times New Roman" w:eastAsia="仿宋" w:cs="Times New Roman"/>
          <w:b/>
          <w:bCs/>
          <w:color w:val="auto"/>
          <w:sz w:val="24"/>
          <w:szCs w:val="24"/>
          <w:highlight w:val="none"/>
          <w:lang w:val="en-US" w:eastAsia="zh-CN"/>
        </w:rPr>
      </w:pPr>
      <w:r>
        <w:rPr>
          <w:rFonts w:hint="eastAsia" w:ascii="Times New Roman" w:hAnsi="Times New Roman" w:eastAsia="仿宋" w:cs="Times New Roman"/>
          <w:b/>
          <w:bCs/>
          <w:color w:val="auto"/>
          <w:sz w:val="24"/>
          <w:szCs w:val="24"/>
          <w:highlight w:val="none"/>
          <w:lang w:val="en-US" w:eastAsia="zh-CN"/>
        </w:rPr>
        <w:t>4.</w:t>
      </w:r>
      <w:r>
        <w:rPr>
          <w:rFonts w:hint="default" w:ascii="Times New Roman" w:hAnsi="Times New Roman" w:eastAsia="仿宋" w:cs="Times New Roman"/>
          <w:b/>
          <w:bCs/>
          <w:color w:val="auto"/>
          <w:sz w:val="24"/>
          <w:szCs w:val="24"/>
          <w:highlight w:val="none"/>
          <w:lang w:val="en-US" w:eastAsia="zh-CN"/>
        </w:rPr>
        <w:t>工程建设对大气环境的影响</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a）噪声污染</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施工期的噪声主要来源于包括施工现场的各类机械设备和物料运输的交通噪声。防治措施主要有严禁夜间（22：00-8:00期间）自由作业，对锯、电刨等高噪声设备，应合理布局，并对其进行屏蔽，加设隔声罩、隔声墙，作临时的隔声、消声和减振等综合治理，或远离居民区，异地加工。</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b）粉尘污染</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施工期扬尘主要来自土方的挖掘扬尘及现场堆放飞尘；建筑材料（白灰、水泥、沙子、石予、砖等）的现场搬运及堆放扬尘；施工垃圾的清理及堆放扬尘；人来车往而造成的现场道路扬尘。由于土石方过程破坏了地表结构，会造成地面扬尘污染环境，其扬尘量的大小与诸多因素有关，是一个复杂、较难定量的问题。</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其防治措施应尽可能使用商业混凝土，必须使用自制混凝土时应有喷雾降尘措施，做好防尘和个人防护工作。施工现场周边应设置符合要求的围档，通过洒水压尘和硬化工地，减少扬尘产生。运输水泥土方、建筑垃圾等车辆，要严密遮盖，避免沿途弥散；并及时对道路进行清扫。施工过程堆放的渣土必须有防尘措施，建筑垃圾要及时外运；对弃土弃渣的外运抛弃，如弃土弃渣干燥成粉状的，应喷水湿润再装载，以防止装载和运输时产生扬尘。竣工后要及时清理和平整场地。</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c）废气污染</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废气主要为施工机械（如载重汽车、铲车等）和各种运输车辆运行时将产生燃油废气，废气中所含的有害物质主要有一氧化碳、氮氧化物、碳氢化合物等。为减少施工期运输车辆及施工设备所排放的废气对周围大气环境造成的影响，施工单位必须使用污染物排放符合国家标准的运输车辆和施工设备，严禁使用报废车辆和淘汰设备，以确保施工场地周围区域环境空气达到GB3095-2012《环境空气质量标准》二级标准的要求。</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color w:val="auto"/>
          <w:highlight w:val="none"/>
          <w:lang w:val="en-US" w:eastAsia="zh-CN"/>
        </w:rPr>
      </w:pPr>
      <w:bookmarkStart w:id="81" w:name="_Toc17976"/>
      <w:r>
        <w:rPr>
          <w:rFonts w:hint="default" w:ascii="Times New Roman" w:hAnsi="Times New Roman" w:cs="Times New Roman"/>
          <w:color w:val="auto"/>
          <w:highlight w:val="none"/>
          <w:lang w:val="en-US" w:eastAsia="zh-CN"/>
        </w:rPr>
        <w:t>4.</w:t>
      </w:r>
      <w:r>
        <w:rPr>
          <w:rFonts w:hint="eastAsia" w:cs="Times New Roman"/>
          <w:color w:val="auto"/>
          <w:highlight w:val="none"/>
          <w:lang w:val="en-US" w:eastAsia="zh-CN"/>
        </w:rPr>
        <w:t>3</w:t>
      </w:r>
      <w:r>
        <w:rPr>
          <w:rFonts w:hint="default" w:ascii="Times New Roman" w:hAnsi="Times New Roman" w:cs="Times New Roman"/>
          <w:color w:val="auto"/>
          <w:highlight w:val="none"/>
          <w:lang w:val="en-US" w:eastAsia="zh-CN"/>
        </w:rPr>
        <w:t>土地复垦适宜性评价</w:t>
      </w:r>
      <w:bookmarkEnd w:id="81"/>
    </w:p>
    <w:p>
      <w:pPr>
        <w:spacing w:line="360" w:lineRule="auto"/>
        <w:ind w:firstLine="480" w:firstLineChars="200"/>
        <w:jc w:val="left"/>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a）</w:t>
      </w:r>
      <w:r>
        <w:rPr>
          <w:rFonts w:hint="default" w:ascii="Times New Roman" w:hAnsi="Times New Roman" w:eastAsia="仿宋" w:cs="Times New Roman"/>
          <w:color w:val="auto"/>
          <w:sz w:val="24"/>
          <w:szCs w:val="24"/>
          <w:highlight w:val="none"/>
          <w:lang w:val="zh-CN" w:eastAsia="zh-CN"/>
        </w:rPr>
        <w:t>评价单元的划分</w:t>
      </w:r>
    </w:p>
    <w:p>
      <w:pPr>
        <w:spacing w:line="360" w:lineRule="auto"/>
        <w:ind w:firstLine="480" w:firstLineChars="200"/>
        <w:jc w:val="left"/>
        <w:rPr>
          <w:rFonts w:hint="default" w:ascii="Times New Roman" w:hAnsi="Times New Roman" w:eastAsia="仿宋" w:cs="Times New Roman"/>
          <w:color w:val="auto"/>
          <w:sz w:val="24"/>
          <w:szCs w:val="24"/>
          <w:highlight w:val="none"/>
          <w:lang w:val="zh-CN" w:eastAsia="zh-CN"/>
        </w:rPr>
      </w:pPr>
      <w:r>
        <w:rPr>
          <w:rFonts w:hint="default" w:ascii="Times New Roman" w:hAnsi="Times New Roman" w:eastAsia="仿宋" w:cs="Times New Roman"/>
          <w:color w:val="auto"/>
          <w:sz w:val="24"/>
          <w:szCs w:val="24"/>
          <w:highlight w:val="none"/>
          <w:lang w:val="zh-CN" w:eastAsia="zh-CN"/>
        </w:rPr>
        <w:t>土地适宜性评价是土地复垦利用方向决策和改良途径选择的基础。按照一般土地适宜性评价步骤，首先对需进行评价的土地作土地质量调查编制图表，并利用国土空间总体规划等文件，提出土地利用目标，两者进行匹配后，调节利用目标或提高土地质量来完成土地适宜性评价工作。</w:t>
      </w:r>
    </w:p>
    <w:p>
      <w:pPr>
        <w:spacing w:line="360" w:lineRule="auto"/>
        <w:ind w:firstLine="480" w:firstLineChars="200"/>
        <w:rPr>
          <w:rFonts w:hint="default" w:ascii="Times New Roman" w:hAnsi="Times New Roman" w:eastAsia="仿宋" w:cs="Times New Roman"/>
          <w:color w:val="auto"/>
          <w:sz w:val="24"/>
          <w:szCs w:val="24"/>
          <w:highlight w:val="none"/>
          <w:lang w:val="zh-CN" w:eastAsia="zh-CN"/>
        </w:rPr>
      </w:pPr>
      <w:r>
        <w:rPr>
          <w:rFonts w:hint="default" w:ascii="Times New Roman" w:hAnsi="Times New Roman" w:eastAsia="仿宋" w:cs="Times New Roman"/>
          <w:color w:val="auto"/>
          <w:sz w:val="24"/>
          <w:szCs w:val="24"/>
          <w:highlight w:val="none"/>
          <w:lang w:val="zh-CN" w:eastAsia="zh-CN"/>
        </w:rPr>
        <w:t>本方案复垦适宜性评价范围为</w:t>
      </w:r>
      <w:r>
        <w:rPr>
          <w:rFonts w:hint="eastAsia" w:ascii="Times New Roman" w:hAnsi="Times New Roman" w:eastAsia="仿宋" w:cs="Times New Roman"/>
          <w:color w:val="auto"/>
          <w:sz w:val="24"/>
          <w:szCs w:val="24"/>
          <w:highlight w:val="none"/>
          <w:lang w:val="zh-CN" w:eastAsia="zh-CN"/>
        </w:rPr>
        <w:t>施工便道</w:t>
      </w:r>
      <w:r>
        <w:rPr>
          <w:rFonts w:hint="default" w:ascii="Times New Roman" w:hAnsi="Times New Roman" w:eastAsia="仿宋" w:cs="Times New Roman"/>
          <w:color w:val="auto"/>
          <w:sz w:val="24"/>
          <w:szCs w:val="24"/>
          <w:highlight w:val="none"/>
          <w:lang w:val="zh-CN" w:eastAsia="zh-CN"/>
        </w:rPr>
        <w:t>临时用地面积，损毁</w:t>
      </w:r>
      <w:r>
        <w:rPr>
          <w:rFonts w:hint="default" w:ascii="Times New Roman" w:hAnsi="Times New Roman" w:eastAsia="仿宋" w:cs="Times New Roman"/>
          <w:color w:val="auto"/>
          <w:sz w:val="24"/>
          <w:szCs w:val="24"/>
          <w:highlight w:val="none"/>
          <w:lang w:val="en-US" w:eastAsia="zh-CN"/>
        </w:rPr>
        <w:t>土地</w:t>
      </w:r>
      <w:r>
        <w:rPr>
          <w:rFonts w:hint="default" w:ascii="Times New Roman" w:hAnsi="Times New Roman" w:eastAsia="仿宋" w:cs="Times New Roman"/>
          <w:color w:val="auto"/>
          <w:sz w:val="24"/>
          <w:szCs w:val="24"/>
          <w:highlight w:val="none"/>
          <w:lang w:val="zh-CN" w:eastAsia="zh-CN"/>
        </w:rPr>
        <w:t>面积</w:t>
      </w:r>
      <w:r>
        <w:rPr>
          <w:rFonts w:hint="eastAsia" w:ascii="Times New Roman" w:hAnsi="Times New Roman" w:eastAsia="仿宋" w:cs="Times New Roman"/>
          <w:color w:val="auto"/>
          <w:sz w:val="24"/>
          <w:szCs w:val="24"/>
          <w:highlight w:val="none"/>
          <w:lang w:val="en-US" w:eastAsia="zh-CN"/>
        </w:rPr>
        <w:t>2.4296</w:t>
      </w:r>
      <w:r>
        <w:rPr>
          <w:rFonts w:hint="default" w:ascii="Times New Roman" w:hAnsi="Times New Roman" w:eastAsia="仿宋" w:cs="Times New Roman"/>
          <w:color w:val="auto"/>
          <w:sz w:val="24"/>
          <w:szCs w:val="24"/>
          <w:highlight w:val="none"/>
          <w:lang w:val="zh-CN" w:eastAsia="zh-CN"/>
        </w:rPr>
        <w:t>公顷，损毁地类为</w:t>
      </w:r>
      <w:r>
        <w:rPr>
          <w:rFonts w:hint="eastAsia" w:ascii="Times New Roman" w:hAnsi="Times New Roman" w:eastAsia="仿宋" w:cs="Times New Roman"/>
          <w:color w:val="auto"/>
          <w:sz w:val="24"/>
          <w:szCs w:val="24"/>
          <w:highlight w:val="none"/>
          <w:lang w:val="en-US" w:eastAsia="zh-CN"/>
        </w:rPr>
        <w:t>沙地</w:t>
      </w:r>
      <w:r>
        <w:rPr>
          <w:rFonts w:hint="default" w:ascii="Times New Roman" w:hAnsi="Times New Roman" w:eastAsia="仿宋" w:cs="Times New Roman"/>
          <w:color w:val="auto"/>
          <w:sz w:val="24"/>
          <w:szCs w:val="24"/>
          <w:highlight w:val="none"/>
          <w:lang w:val="zh-CN" w:eastAsia="zh-CN"/>
        </w:rPr>
        <w:t>，根据项目土地损毁类型和损毁程度，以及损毁前的土地利用情况，将待复垦的土地划分为</w:t>
      </w:r>
      <w:r>
        <w:rPr>
          <w:rFonts w:hint="eastAsia" w:ascii="Times New Roman" w:hAnsi="Times New Roman" w:eastAsia="仿宋" w:cs="Times New Roman"/>
          <w:color w:val="auto"/>
          <w:sz w:val="24"/>
          <w:szCs w:val="24"/>
          <w:highlight w:val="none"/>
          <w:lang w:val="en-US" w:eastAsia="zh-CN"/>
        </w:rPr>
        <w:t>1</w:t>
      </w:r>
      <w:r>
        <w:rPr>
          <w:rFonts w:hint="default" w:ascii="Times New Roman" w:hAnsi="Times New Roman" w:eastAsia="仿宋" w:cs="Times New Roman"/>
          <w:color w:val="auto"/>
          <w:sz w:val="24"/>
          <w:szCs w:val="24"/>
          <w:highlight w:val="none"/>
          <w:lang w:val="zh-CN" w:eastAsia="zh-CN"/>
        </w:rPr>
        <w:t>个损毁单元。</w:t>
      </w:r>
    </w:p>
    <w:p>
      <w:pPr>
        <w:pStyle w:val="43"/>
        <w:shd w:val="clear"/>
        <w:ind w:firstLine="42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表4-</w:t>
      </w: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 xml:space="preserve"> 待复垦土地损毁单元情况表</w:t>
      </w:r>
    </w:p>
    <w:tbl>
      <w:tblPr>
        <w:tblStyle w:val="22"/>
        <w:tblW w:w="8519"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86"/>
        <w:gridCol w:w="760"/>
        <w:gridCol w:w="873"/>
        <w:gridCol w:w="1977"/>
        <w:gridCol w:w="1502"/>
        <w:gridCol w:w="676"/>
        <w:gridCol w:w="1076"/>
        <w:gridCol w:w="96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686" w:type="dxa"/>
            <w:tcBorders>
              <w:tl2br w:val="nil"/>
              <w:tr2bl w:val="nil"/>
            </w:tcBorders>
            <w:shd w:val="clear" w:color="auto" w:fill="auto"/>
            <w:vAlign w:val="center"/>
          </w:tcPr>
          <w:p>
            <w:pPr>
              <w:pStyle w:val="40"/>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760" w:type="dxa"/>
            <w:tcBorders>
              <w:tl2br w:val="nil"/>
              <w:tr2bl w:val="nil"/>
            </w:tcBorders>
            <w:shd w:val="clear" w:color="auto" w:fill="auto"/>
            <w:vAlign w:val="center"/>
          </w:tcPr>
          <w:p>
            <w:pPr>
              <w:pStyle w:val="40"/>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一级评价类型</w:t>
            </w:r>
          </w:p>
        </w:tc>
        <w:tc>
          <w:tcPr>
            <w:tcW w:w="873" w:type="dxa"/>
            <w:tcBorders>
              <w:tl2br w:val="nil"/>
              <w:tr2bl w:val="nil"/>
            </w:tcBorders>
            <w:shd w:val="clear" w:color="auto" w:fill="auto"/>
            <w:vAlign w:val="center"/>
          </w:tcPr>
          <w:p>
            <w:pPr>
              <w:pStyle w:val="40"/>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二级评价类型</w:t>
            </w:r>
          </w:p>
        </w:tc>
        <w:tc>
          <w:tcPr>
            <w:tcW w:w="1977" w:type="dxa"/>
            <w:tcBorders>
              <w:tl2br w:val="nil"/>
              <w:tr2bl w:val="nil"/>
            </w:tcBorders>
            <w:shd w:val="clear" w:color="auto" w:fill="auto"/>
            <w:vAlign w:val="center"/>
          </w:tcPr>
          <w:p>
            <w:pPr>
              <w:pStyle w:val="40"/>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地点</w:t>
            </w:r>
          </w:p>
        </w:tc>
        <w:tc>
          <w:tcPr>
            <w:tcW w:w="1502" w:type="dxa"/>
            <w:tcBorders>
              <w:tl2br w:val="nil"/>
              <w:tr2bl w:val="nil"/>
            </w:tcBorders>
            <w:shd w:val="clear" w:color="auto" w:fill="auto"/>
            <w:vAlign w:val="center"/>
          </w:tcPr>
          <w:p>
            <w:pPr>
              <w:pStyle w:val="40"/>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原地类</w:t>
            </w:r>
          </w:p>
        </w:tc>
        <w:tc>
          <w:tcPr>
            <w:tcW w:w="676" w:type="dxa"/>
            <w:tcBorders>
              <w:tl2br w:val="nil"/>
              <w:tr2bl w:val="nil"/>
            </w:tcBorders>
            <w:shd w:val="clear" w:color="auto" w:fill="auto"/>
            <w:vAlign w:val="center"/>
          </w:tcPr>
          <w:p>
            <w:pPr>
              <w:pStyle w:val="40"/>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损毁程度</w:t>
            </w:r>
          </w:p>
        </w:tc>
        <w:tc>
          <w:tcPr>
            <w:tcW w:w="1076" w:type="dxa"/>
            <w:tcBorders>
              <w:tl2br w:val="nil"/>
              <w:tr2bl w:val="nil"/>
            </w:tcBorders>
            <w:shd w:val="clear" w:color="auto" w:fill="auto"/>
            <w:noWrap/>
            <w:vAlign w:val="center"/>
          </w:tcPr>
          <w:p>
            <w:pPr>
              <w:pStyle w:val="40"/>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损毁类型</w:t>
            </w:r>
          </w:p>
        </w:tc>
        <w:tc>
          <w:tcPr>
            <w:tcW w:w="969" w:type="dxa"/>
            <w:tcBorders>
              <w:tl2br w:val="nil"/>
              <w:tr2bl w:val="nil"/>
            </w:tcBorders>
            <w:shd w:val="clear" w:color="auto" w:fill="auto"/>
            <w:vAlign w:val="center"/>
          </w:tcPr>
          <w:p>
            <w:pPr>
              <w:pStyle w:val="40"/>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面积（</w:t>
            </w:r>
            <w:r>
              <w:rPr>
                <w:rFonts w:hint="default" w:ascii="Times New Roman" w:hAnsi="Times New Roman" w:cs="Times New Roman"/>
                <w:color w:val="auto"/>
                <w:sz w:val="21"/>
                <w:szCs w:val="21"/>
                <w:highlight w:val="none"/>
                <w:lang w:eastAsia="zh-CN"/>
              </w:rPr>
              <w:t>公顷</w:t>
            </w:r>
            <w:r>
              <w:rPr>
                <w:rFonts w:hint="default" w:ascii="Times New Roman" w:hAnsi="Times New Roman" w:cs="Times New Roman"/>
                <w:color w:val="auto"/>
                <w:sz w:val="21"/>
                <w:szCs w:val="21"/>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686" w:type="dxa"/>
            <w:tcBorders>
              <w:tl2br w:val="nil"/>
              <w:tr2bl w:val="nil"/>
            </w:tcBorders>
            <w:shd w:val="clear" w:color="auto" w:fill="auto"/>
            <w:vAlign w:val="center"/>
          </w:tcPr>
          <w:p>
            <w:pPr>
              <w:pStyle w:val="40"/>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760" w:type="dxa"/>
            <w:tcBorders>
              <w:tl2br w:val="nil"/>
              <w:tr2bl w:val="nil"/>
            </w:tcBorders>
            <w:shd w:val="clear" w:color="auto" w:fill="auto"/>
            <w:vAlign w:val="center"/>
          </w:tcPr>
          <w:p>
            <w:pPr>
              <w:pStyle w:val="40"/>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eastAsiaTheme="minorEastAsia"/>
                <w:color w:val="auto"/>
                <w:sz w:val="21"/>
                <w:szCs w:val="21"/>
                <w:highlight w:val="none"/>
                <w:lang w:eastAsia="zh-CN"/>
              </w:rPr>
            </w:pPr>
            <w:r>
              <w:rPr>
                <w:rFonts w:hint="eastAsia" w:ascii="Times New Roman" w:hAnsi="Times New Roman" w:cs="Times New Roman"/>
                <w:color w:val="auto"/>
                <w:sz w:val="21"/>
                <w:szCs w:val="21"/>
                <w:highlight w:val="none"/>
                <w:lang w:eastAsia="zh-CN"/>
              </w:rPr>
              <w:t>施工便道</w:t>
            </w:r>
          </w:p>
        </w:tc>
        <w:tc>
          <w:tcPr>
            <w:tcW w:w="873" w:type="dxa"/>
            <w:tcBorders>
              <w:tl2br w:val="nil"/>
              <w:tr2bl w:val="nil"/>
            </w:tcBorders>
            <w:shd w:val="clear" w:color="auto" w:fill="auto"/>
            <w:vAlign w:val="center"/>
          </w:tcPr>
          <w:p>
            <w:pPr>
              <w:pStyle w:val="40"/>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eastAsiaTheme="minorEastAsia"/>
                <w:color w:val="auto"/>
                <w:sz w:val="21"/>
                <w:szCs w:val="21"/>
                <w:highlight w:val="none"/>
                <w:lang w:eastAsia="zh-CN"/>
              </w:rPr>
            </w:pPr>
            <w:r>
              <w:rPr>
                <w:rFonts w:hint="eastAsia" w:ascii="Times New Roman" w:hAnsi="Times New Roman" w:cs="Times New Roman"/>
                <w:color w:val="auto"/>
                <w:sz w:val="21"/>
                <w:szCs w:val="21"/>
                <w:highlight w:val="none"/>
                <w:lang w:eastAsia="zh-CN"/>
              </w:rPr>
              <w:t>施工便道</w:t>
            </w:r>
          </w:p>
        </w:tc>
        <w:tc>
          <w:tcPr>
            <w:tcW w:w="1977"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rPr>
            </w:pPr>
            <w:r>
              <w:rPr>
                <w:rFonts w:hint="eastAsia" w:ascii="Times New Roman" w:hAnsi="Times New Roman" w:cs="Times New Roman"/>
                <w:color w:val="auto"/>
                <w:sz w:val="21"/>
                <w:szCs w:val="21"/>
                <w:highlight w:val="none"/>
                <w:lang w:val="en-US" w:eastAsia="zh-CN"/>
              </w:rPr>
              <w:t>疏勒县阿拉甫乡阿亚克吉勒尕村</w:t>
            </w:r>
          </w:p>
        </w:tc>
        <w:tc>
          <w:tcPr>
            <w:tcW w:w="1502"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000000"/>
                <w:sz w:val="21"/>
                <w:szCs w:val="21"/>
                <w:highlight w:val="none"/>
                <w:lang w:val="en-US" w:eastAsia="zh-CN"/>
              </w:rPr>
              <w:t>沙地</w:t>
            </w:r>
          </w:p>
        </w:tc>
        <w:tc>
          <w:tcPr>
            <w:tcW w:w="676"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cs="Times New Roman" w:eastAsiaTheme="minorEastAsia"/>
                <w:color w:val="auto"/>
                <w:sz w:val="21"/>
                <w:szCs w:val="21"/>
                <w:highlight w:val="none"/>
                <w:lang w:eastAsia="zh-CN"/>
              </w:rPr>
            </w:pPr>
            <w:r>
              <w:rPr>
                <w:rFonts w:hint="eastAsia" w:ascii="Times New Roman" w:hAnsi="Times New Roman" w:cs="Times New Roman"/>
                <w:color w:val="auto"/>
                <w:sz w:val="21"/>
                <w:szCs w:val="21"/>
                <w:highlight w:val="none"/>
                <w:lang w:eastAsia="zh-CN"/>
              </w:rPr>
              <w:t>中度</w:t>
            </w:r>
          </w:p>
        </w:tc>
        <w:tc>
          <w:tcPr>
            <w:tcW w:w="1076"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eastAsia="zh-CN"/>
              </w:rPr>
            </w:pPr>
            <w:r>
              <w:rPr>
                <w:rFonts w:hint="eastAsia" w:ascii="Times New Roman" w:hAnsi="Times New Roman" w:cs="Times New Roman"/>
                <w:color w:val="auto"/>
                <w:sz w:val="21"/>
                <w:szCs w:val="21"/>
                <w:highlight w:val="none"/>
                <w:lang w:eastAsia="zh-CN"/>
              </w:rPr>
              <w:t>压占</w:t>
            </w:r>
          </w:p>
        </w:tc>
        <w:tc>
          <w:tcPr>
            <w:tcW w:w="969" w:type="dxa"/>
            <w:tcBorders>
              <w:tl2br w:val="nil"/>
              <w:tr2bl w:val="nil"/>
            </w:tcBorders>
            <w:shd w:val="clear" w:color="auto" w:fill="FFFFFF"/>
            <w:noWrap/>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eastAsia="仿宋_GB2312" w:cs="Times New Roman"/>
                <w:i w:val="0"/>
                <w:iCs w:val="0"/>
                <w:color w:val="auto"/>
                <w:kern w:val="0"/>
                <w:sz w:val="21"/>
                <w:szCs w:val="21"/>
                <w:highlight w:val="none"/>
                <w:u w:val="none"/>
                <w:lang w:val="en-US" w:eastAsia="zh-CN" w:bidi="ar"/>
              </w:rPr>
              <w:t>2.4296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atLeast"/>
        </w:trPr>
        <w:tc>
          <w:tcPr>
            <w:tcW w:w="7550" w:type="dxa"/>
            <w:gridSpan w:val="7"/>
            <w:tcBorders>
              <w:tl2br w:val="nil"/>
              <w:tr2bl w:val="nil"/>
            </w:tcBorders>
            <w:shd w:val="clear" w:color="auto" w:fill="auto"/>
            <w:noWrap/>
            <w:vAlign w:val="center"/>
          </w:tcPr>
          <w:p>
            <w:pPr>
              <w:pStyle w:val="40"/>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合计</w:t>
            </w:r>
          </w:p>
        </w:tc>
        <w:tc>
          <w:tcPr>
            <w:tcW w:w="969" w:type="dxa"/>
            <w:tcBorders>
              <w:tl2br w:val="nil"/>
              <w:tr2bl w:val="nil"/>
            </w:tcBorders>
            <w:shd w:val="clear" w:color="auto" w:fill="auto"/>
            <w:noWrap/>
            <w:vAlign w:val="center"/>
          </w:tcPr>
          <w:p>
            <w:pPr>
              <w:pStyle w:val="40"/>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eastAsia" w:ascii="Times New Roman" w:hAnsi="Times New Roman" w:eastAsia="仿宋_GB2312" w:cs="Times New Roman"/>
                <w:i w:val="0"/>
                <w:iCs w:val="0"/>
                <w:color w:val="auto"/>
                <w:kern w:val="0"/>
                <w:sz w:val="21"/>
                <w:szCs w:val="21"/>
                <w:highlight w:val="none"/>
                <w:u w:val="none"/>
                <w:lang w:val="en-US" w:eastAsia="zh-CN" w:bidi="ar"/>
              </w:rPr>
              <w:t>2.4296</w:t>
            </w:r>
            <w:r>
              <w:rPr>
                <w:rFonts w:hint="default" w:ascii="Times New Roman" w:hAnsi="Times New Roman" w:cs="Times New Roman"/>
                <w:color w:val="auto"/>
                <w:sz w:val="21"/>
                <w:szCs w:val="21"/>
                <w:highlight w:val="none"/>
              </w:rPr>
              <w:t xml:space="preserve"> </w:t>
            </w:r>
          </w:p>
        </w:tc>
      </w:tr>
    </w:tbl>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b）</w:t>
      </w:r>
      <w:r>
        <w:rPr>
          <w:rFonts w:hint="default" w:ascii="Times New Roman" w:hAnsi="Times New Roman" w:eastAsia="仿宋" w:cs="Times New Roman"/>
          <w:color w:val="auto"/>
          <w:sz w:val="24"/>
          <w:szCs w:val="24"/>
          <w:highlight w:val="none"/>
          <w:lang w:val="zh-CN" w:eastAsia="zh-CN"/>
        </w:rPr>
        <w:t>复垦方向的初步确定</w:t>
      </w:r>
    </w:p>
    <w:p>
      <w:pPr>
        <w:spacing w:line="360" w:lineRule="auto"/>
        <w:ind w:firstLine="480" w:firstLineChars="200"/>
        <w:rPr>
          <w:rFonts w:hint="default" w:ascii="Times New Roman" w:hAnsi="Times New Roman" w:eastAsia="仿宋" w:cs="Times New Roman"/>
          <w:color w:val="auto"/>
          <w:sz w:val="24"/>
          <w:szCs w:val="24"/>
          <w:highlight w:val="none"/>
          <w:lang w:val="zh-CN" w:eastAsia="zh-CN"/>
        </w:rPr>
      </w:pPr>
      <w:r>
        <w:rPr>
          <w:rFonts w:hint="default" w:ascii="Times New Roman" w:hAnsi="Times New Roman" w:eastAsia="仿宋" w:cs="Times New Roman"/>
          <w:color w:val="auto"/>
          <w:sz w:val="24"/>
          <w:szCs w:val="24"/>
          <w:highlight w:val="none"/>
          <w:lang w:val="zh-CN" w:eastAsia="zh-CN"/>
        </w:rPr>
        <w:t>①自然环境分析</w:t>
      </w:r>
    </w:p>
    <w:p>
      <w:pPr>
        <w:spacing w:line="360" w:lineRule="auto"/>
        <w:ind w:firstLine="480" w:firstLineChars="200"/>
        <w:rPr>
          <w:rFonts w:hint="default" w:ascii="Times New Roman" w:hAnsi="Times New Roman" w:eastAsia="仿宋" w:cs="Times New Roman"/>
          <w:color w:val="auto"/>
          <w:sz w:val="24"/>
          <w:szCs w:val="24"/>
          <w:highlight w:val="none"/>
          <w:lang w:val="zh-CN" w:eastAsia="zh-CN"/>
        </w:rPr>
      </w:pPr>
      <w:r>
        <w:rPr>
          <w:rFonts w:hint="default" w:ascii="Times New Roman" w:hAnsi="Times New Roman" w:eastAsia="仿宋" w:cs="Times New Roman"/>
          <w:color w:val="auto"/>
          <w:sz w:val="24"/>
          <w:szCs w:val="24"/>
          <w:highlight w:val="none"/>
          <w:lang w:val="zh-CN" w:eastAsia="zh-CN"/>
        </w:rPr>
        <w:t>本方案临时用地位于</w:t>
      </w:r>
      <w:r>
        <w:rPr>
          <w:rFonts w:hint="eastAsia" w:ascii="Times New Roman" w:hAnsi="Times New Roman" w:eastAsia="仿宋" w:cs="Times New Roman"/>
          <w:color w:val="auto"/>
          <w:sz w:val="24"/>
          <w:szCs w:val="24"/>
          <w:highlight w:val="none"/>
          <w:lang w:val="en-US" w:eastAsia="zh-CN"/>
        </w:rPr>
        <w:t>疏勒县阿拉甫乡阿亚克吉勒尕村</w:t>
      </w:r>
      <w:r>
        <w:rPr>
          <w:rFonts w:hint="default" w:ascii="Times New Roman" w:hAnsi="Times New Roman" w:eastAsia="仿宋" w:cs="Times New Roman"/>
          <w:color w:val="auto"/>
          <w:sz w:val="24"/>
          <w:szCs w:val="24"/>
          <w:highlight w:val="none"/>
          <w:lang w:val="zh-CN" w:eastAsia="zh-CN"/>
        </w:rPr>
        <w:t>，该区域地势相对平坦，宜恢复原状为主。</w:t>
      </w:r>
    </w:p>
    <w:p>
      <w:pPr>
        <w:spacing w:line="360" w:lineRule="auto"/>
        <w:ind w:firstLine="480" w:firstLineChars="200"/>
        <w:rPr>
          <w:rFonts w:hint="default" w:ascii="Times New Roman" w:hAnsi="Times New Roman" w:eastAsia="仿宋" w:cs="Times New Roman"/>
          <w:color w:val="auto"/>
          <w:sz w:val="24"/>
          <w:szCs w:val="24"/>
          <w:highlight w:val="none"/>
          <w:lang w:val="zh-CN" w:eastAsia="zh-CN"/>
        </w:rPr>
      </w:pPr>
      <w:r>
        <w:rPr>
          <w:rFonts w:hint="default" w:ascii="Times New Roman" w:hAnsi="Times New Roman" w:eastAsia="仿宋" w:cs="Times New Roman"/>
          <w:color w:val="auto"/>
          <w:sz w:val="24"/>
          <w:szCs w:val="24"/>
          <w:highlight w:val="none"/>
          <w:lang w:val="zh-CN" w:eastAsia="zh-CN"/>
        </w:rPr>
        <w:t>②社会经济条件分析</w:t>
      </w:r>
    </w:p>
    <w:p>
      <w:pPr>
        <w:spacing w:line="360" w:lineRule="auto"/>
        <w:ind w:firstLine="480" w:firstLineChars="200"/>
        <w:rPr>
          <w:rFonts w:hint="default" w:ascii="Times New Roman" w:hAnsi="Times New Roman" w:eastAsia="仿宋" w:cs="Times New Roman"/>
          <w:color w:val="auto"/>
          <w:sz w:val="24"/>
          <w:szCs w:val="24"/>
          <w:highlight w:val="none"/>
          <w:lang w:val="zh-CN" w:eastAsia="zh-CN"/>
        </w:rPr>
      </w:pPr>
      <w:r>
        <w:rPr>
          <w:rFonts w:hint="default" w:ascii="Times New Roman" w:hAnsi="Times New Roman" w:eastAsia="仿宋" w:cs="Times New Roman"/>
          <w:color w:val="auto"/>
          <w:sz w:val="24"/>
          <w:szCs w:val="24"/>
          <w:highlight w:val="none"/>
          <w:lang w:val="zh-CN" w:eastAsia="zh-CN"/>
        </w:rPr>
        <w:t>本方案临时用地位于</w:t>
      </w:r>
      <w:r>
        <w:rPr>
          <w:rFonts w:hint="eastAsia" w:ascii="Times New Roman" w:hAnsi="Times New Roman" w:eastAsia="仿宋" w:cs="Times New Roman"/>
          <w:color w:val="auto"/>
          <w:sz w:val="24"/>
          <w:szCs w:val="24"/>
          <w:highlight w:val="none"/>
          <w:lang w:val="en-US" w:eastAsia="zh-CN"/>
        </w:rPr>
        <w:t>疏勒县阿拉甫乡阿亚克吉勒尕村</w:t>
      </w:r>
      <w:r>
        <w:rPr>
          <w:rFonts w:hint="default" w:ascii="Times New Roman" w:hAnsi="Times New Roman" w:eastAsia="仿宋" w:cs="Times New Roman"/>
          <w:color w:val="auto"/>
          <w:sz w:val="24"/>
          <w:szCs w:val="24"/>
          <w:highlight w:val="none"/>
          <w:lang w:val="zh-CN" w:eastAsia="zh-CN"/>
        </w:rPr>
        <w:t>，根据现场调查，用地周围人类活动较多，因此从社会经济条件分析，损毁土地复垦时宜采取土地整治措施恢复原状，并注重社会效益、生态效益和经济效益的统一发挥。</w:t>
      </w:r>
    </w:p>
    <w:p>
      <w:pPr>
        <w:spacing w:line="360" w:lineRule="auto"/>
        <w:ind w:firstLine="480" w:firstLineChars="200"/>
        <w:rPr>
          <w:rFonts w:hint="default" w:ascii="Times New Roman" w:hAnsi="Times New Roman" w:eastAsia="仿宋" w:cs="Times New Roman"/>
          <w:color w:val="auto"/>
          <w:sz w:val="24"/>
          <w:szCs w:val="24"/>
          <w:highlight w:val="none"/>
          <w:lang w:val="zh-CN" w:eastAsia="zh-CN"/>
        </w:rPr>
      </w:pPr>
      <w:r>
        <w:rPr>
          <w:rFonts w:hint="default" w:ascii="Times New Roman" w:hAnsi="Times New Roman" w:eastAsia="仿宋" w:cs="Times New Roman"/>
          <w:color w:val="auto"/>
          <w:sz w:val="24"/>
          <w:szCs w:val="24"/>
          <w:highlight w:val="none"/>
          <w:lang w:val="zh-CN" w:eastAsia="zh-CN"/>
        </w:rPr>
        <w:t>③国家政策与地方规划分析</w:t>
      </w:r>
    </w:p>
    <w:p>
      <w:pPr>
        <w:spacing w:line="360" w:lineRule="auto"/>
        <w:ind w:firstLine="480" w:firstLineChars="200"/>
        <w:rPr>
          <w:rFonts w:hint="default" w:ascii="Times New Roman" w:hAnsi="Times New Roman" w:eastAsia="仿宋" w:cs="Times New Roman"/>
          <w:color w:val="auto"/>
          <w:sz w:val="24"/>
          <w:szCs w:val="24"/>
          <w:highlight w:val="none"/>
          <w:lang w:val="zh-CN" w:eastAsia="zh-CN"/>
        </w:rPr>
      </w:pPr>
      <w:r>
        <w:rPr>
          <w:rFonts w:hint="default" w:ascii="Times New Roman" w:hAnsi="Times New Roman" w:eastAsia="仿宋" w:cs="Times New Roman"/>
          <w:color w:val="auto"/>
          <w:sz w:val="24"/>
          <w:szCs w:val="24"/>
          <w:highlight w:val="none"/>
          <w:lang w:val="zh-CN" w:eastAsia="zh-CN"/>
        </w:rPr>
        <w:t>根据本项目复垦适宜性评价单元与相关规划叠加分析，应综合考虑待复垦区周边土地利用方式，以恢复原状为首选复垦方向，预防生物多样性和生境中度敏感、不敏感，土壤侵蚀不敏感，土地沙漠化不敏感或极度敏感，土壤盐渍化重度敏感。</w:t>
      </w:r>
    </w:p>
    <w:p>
      <w:pPr>
        <w:spacing w:line="360" w:lineRule="auto"/>
        <w:ind w:firstLine="480" w:firstLineChars="200"/>
        <w:rPr>
          <w:rFonts w:hint="default" w:ascii="Times New Roman" w:hAnsi="Times New Roman" w:eastAsia="仿宋" w:cs="Times New Roman"/>
          <w:color w:val="auto"/>
          <w:sz w:val="24"/>
          <w:szCs w:val="24"/>
          <w:highlight w:val="none"/>
          <w:lang w:val="zh-CN" w:eastAsia="zh-CN"/>
        </w:rPr>
      </w:pPr>
      <w:r>
        <w:rPr>
          <w:rFonts w:hint="default" w:ascii="Times New Roman" w:hAnsi="Times New Roman" w:eastAsia="仿宋" w:cs="Times New Roman"/>
          <w:color w:val="auto"/>
          <w:sz w:val="24"/>
          <w:szCs w:val="24"/>
          <w:highlight w:val="none"/>
          <w:lang w:val="zh-CN" w:eastAsia="zh-CN"/>
        </w:rPr>
        <w:t>④公众意愿分析</w:t>
      </w:r>
    </w:p>
    <w:p>
      <w:pPr>
        <w:spacing w:line="360" w:lineRule="auto"/>
        <w:ind w:firstLine="480" w:firstLineChars="200"/>
        <w:rPr>
          <w:rFonts w:hint="default" w:ascii="Times New Roman" w:hAnsi="Times New Roman" w:eastAsia="仿宋" w:cs="Times New Roman"/>
          <w:color w:val="auto"/>
          <w:sz w:val="24"/>
          <w:szCs w:val="24"/>
          <w:highlight w:val="none"/>
          <w:lang w:val="zh-CN" w:eastAsia="zh-CN"/>
        </w:rPr>
      </w:pPr>
      <w:r>
        <w:rPr>
          <w:rFonts w:hint="default" w:ascii="Times New Roman" w:hAnsi="Times New Roman" w:eastAsia="仿宋" w:cs="Times New Roman"/>
          <w:color w:val="auto"/>
          <w:sz w:val="24"/>
          <w:szCs w:val="24"/>
          <w:highlight w:val="none"/>
          <w:lang w:val="zh-CN" w:eastAsia="zh-CN"/>
        </w:rPr>
        <w:t>根据实地调查走访，周边土地使用权人仍希望在本项目建设结束后，对损毁土地主要采取土地整治措施，避免土地功能发生重大改变，恢复生态环境，且复垦土地的利用方向应符合国土空间规划确定的用途方向。</w:t>
      </w:r>
    </w:p>
    <w:p>
      <w:pPr>
        <w:spacing w:line="360" w:lineRule="auto"/>
        <w:ind w:firstLine="480" w:firstLineChars="200"/>
        <w:rPr>
          <w:rFonts w:hint="default" w:ascii="Times New Roman" w:hAnsi="Times New Roman" w:eastAsia="仿宋" w:cs="Times New Roman"/>
          <w:color w:val="auto"/>
          <w:sz w:val="24"/>
          <w:szCs w:val="24"/>
          <w:highlight w:val="none"/>
          <w:lang w:val="zh-CN" w:eastAsia="zh-CN"/>
        </w:rPr>
      </w:pPr>
      <w:r>
        <w:rPr>
          <w:rFonts w:hint="default" w:ascii="Times New Roman" w:hAnsi="Times New Roman" w:eastAsia="仿宋" w:cs="Times New Roman"/>
          <w:color w:val="auto"/>
          <w:sz w:val="24"/>
          <w:szCs w:val="24"/>
          <w:highlight w:val="none"/>
          <w:lang w:val="zh-CN" w:eastAsia="zh-CN"/>
        </w:rPr>
        <w:t>⑤复垦方向的初步确定</w:t>
      </w:r>
    </w:p>
    <w:p>
      <w:pPr>
        <w:spacing w:line="360" w:lineRule="auto"/>
        <w:ind w:firstLine="480" w:firstLineChars="200"/>
        <w:rPr>
          <w:rFonts w:hint="default" w:ascii="Times New Roman" w:hAnsi="Times New Roman" w:cs="Times New Roman"/>
          <w:sz w:val="21"/>
          <w:szCs w:val="21"/>
          <w:highlight w:val="none"/>
          <w:lang w:eastAsia="zh-CN"/>
        </w:rPr>
      </w:pPr>
      <w:r>
        <w:rPr>
          <w:rFonts w:hint="default" w:ascii="Times New Roman" w:hAnsi="Times New Roman" w:eastAsia="仿宋" w:cs="Times New Roman"/>
          <w:color w:val="auto"/>
          <w:sz w:val="24"/>
          <w:szCs w:val="24"/>
          <w:highlight w:val="none"/>
          <w:lang w:val="zh-CN" w:eastAsia="zh-CN"/>
        </w:rPr>
        <w:t>综合以上区域自然环境条件、社会经济条件、区域地方规划和土地权利人意愿分析，初步确定待复垦土地的宜恢复原土地利用方向为主，复垦方向符合项目所在地土地利用总体规划确定的用途方向。损毁土地复垦方向的初步方向分析表见表。</w:t>
      </w:r>
    </w:p>
    <w:p>
      <w:pPr>
        <w:pStyle w:val="43"/>
        <w:shd w:val="clear"/>
        <w:ind w:firstLine="42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表4-</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土地复垦初步方向分析表</w:t>
      </w:r>
    </w:p>
    <w:tbl>
      <w:tblPr>
        <w:tblStyle w:val="22"/>
        <w:tblW w:w="8519"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529"/>
        <w:gridCol w:w="877"/>
        <w:gridCol w:w="817"/>
        <w:gridCol w:w="2114"/>
        <w:gridCol w:w="1200"/>
        <w:gridCol w:w="937"/>
        <w:gridCol w:w="1076"/>
        <w:gridCol w:w="96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529" w:type="dxa"/>
            <w:tcBorders>
              <w:tl2br w:val="nil"/>
              <w:tr2bl w:val="nil"/>
            </w:tcBorders>
            <w:shd w:val="clear" w:color="auto" w:fill="auto"/>
            <w:vAlign w:val="center"/>
          </w:tcPr>
          <w:p>
            <w:pPr>
              <w:pStyle w:val="4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877" w:type="dxa"/>
            <w:tcBorders>
              <w:tl2br w:val="nil"/>
              <w:tr2bl w:val="nil"/>
            </w:tcBorders>
            <w:shd w:val="clear" w:color="auto" w:fill="auto"/>
            <w:vAlign w:val="center"/>
          </w:tcPr>
          <w:p>
            <w:pPr>
              <w:pStyle w:val="4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一级评价类型</w:t>
            </w:r>
          </w:p>
        </w:tc>
        <w:tc>
          <w:tcPr>
            <w:tcW w:w="817" w:type="dxa"/>
            <w:tcBorders>
              <w:tl2br w:val="nil"/>
              <w:tr2bl w:val="nil"/>
            </w:tcBorders>
            <w:shd w:val="clear" w:color="auto" w:fill="auto"/>
            <w:vAlign w:val="center"/>
          </w:tcPr>
          <w:p>
            <w:pPr>
              <w:pStyle w:val="4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二级评价类型</w:t>
            </w:r>
          </w:p>
        </w:tc>
        <w:tc>
          <w:tcPr>
            <w:tcW w:w="2114" w:type="dxa"/>
            <w:tcBorders>
              <w:tl2br w:val="nil"/>
              <w:tr2bl w:val="nil"/>
            </w:tcBorders>
            <w:shd w:val="clear" w:color="auto" w:fill="auto"/>
            <w:vAlign w:val="center"/>
          </w:tcPr>
          <w:p>
            <w:pPr>
              <w:pStyle w:val="4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地点</w:t>
            </w:r>
          </w:p>
        </w:tc>
        <w:tc>
          <w:tcPr>
            <w:tcW w:w="1200" w:type="dxa"/>
            <w:tcBorders>
              <w:tl2br w:val="nil"/>
              <w:tr2bl w:val="nil"/>
            </w:tcBorders>
            <w:shd w:val="clear" w:color="auto" w:fill="auto"/>
            <w:vAlign w:val="center"/>
          </w:tcPr>
          <w:p>
            <w:pPr>
              <w:pStyle w:val="4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原地类</w:t>
            </w:r>
          </w:p>
        </w:tc>
        <w:tc>
          <w:tcPr>
            <w:tcW w:w="937" w:type="dxa"/>
            <w:tcBorders>
              <w:tl2br w:val="nil"/>
              <w:tr2bl w:val="nil"/>
            </w:tcBorders>
            <w:shd w:val="clear" w:color="auto" w:fill="auto"/>
            <w:vAlign w:val="center"/>
          </w:tcPr>
          <w:p>
            <w:pPr>
              <w:pStyle w:val="4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损毁程度</w:t>
            </w:r>
          </w:p>
        </w:tc>
        <w:tc>
          <w:tcPr>
            <w:tcW w:w="1076" w:type="dxa"/>
            <w:tcBorders>
              <w:tl2br w:val="nil"/>
              <w:tr2bl w:val="nil"/>
            </w:tcBorders>
            <w:shd w:val="clear" w:color="auto" w:fill="auto"/>
            <w:noWrap/>
            <w:vAlign w:val="center"/>
          </w:tcPr>
          <w:p>
            <w:pPr>
              <w:pStyle w:val="40"/>
              <w:shd w:val="clear"/>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初步复垦</w:t>
            </w:r>
          </w:p>
          <w:p>
            <w:pPr>
              <w:pStyle w:val="4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方向</w:t>
            </w:r>
          </w:p>
        </w:tc>
        <w:tc>
          <w:tcPr>
            <w:tcW w:w="969" w:type="dxa"/>
            <w:tcBorders>
              <w:tl2br w:val="nil"/>
              <w:tr2bl w:val="nil"/>
            </w:tcBorders>
            <w:shd w:val="clear" w:color="auto" w:fill="auto"/>
            <w:vAlign w:val="center"/>
          </w:tcPr>
          <w:p>
            <w:pPr>
              <w:pStyle w:val="4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面积（</w:t>
            </w:r>
            <w:r>
              <w:rPr>
                <w:rFonts w:hint="default" w:ascii="Times New Roman" w:hAnsi="Times New Roman" w:cs="Times New Roman"/>
                <w:color w:val="auto"/>
                <w:sz w:val="21"/>
                <w:szCs w:val="21"/>
                <w:highlight w:val="none"/>
                <w:lang w:eastAsia="zh-CN"/>
              </w:rPr>
              <w:t>公顷</w:t>
            </w:r>
            <w:r>
              <w:rPr>
                <w:rFonts w:hint="default" w:ascii="Times New Roman" w:hAnsi="Times New Roman" w:cs="Times New Roman"/>
                <w:color w:val="auto"/>
                <w:sz w:val="21"/>
                <w:szCs w:val="21"/>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529" w:type="dxa"/>
            <w:tcBorders>
              <w:tl2br w:val="nil"/>
              <w:tr2bl w:val="nil"/>
            </w:tcBorders>
            <w:shd w:val="clear" w:color="auto" w:fill="auto"/>
            <w:vAlign w:val="center"/>
          </w:tcPr>
          <w:p>
            <w:pPr>
              <w:pStyle w:val="4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877" w:type="dxa"/>
            <w:tcBorders>
              <w:tl2br w:val="nil"/>
              <w:tr2bl w:val="nil"/>
            </w:tcBorders>
            <w:shd w:val="clear" w:color="auto" w:fill="auto"/>
            <w:vAlign w:val="center"/>
          </w:tcPr>
          <w:p>
            <w:pPr>
              <w:pStyle w:val="4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eastAsia="zh-CN"/>
              </w:rPr>
            </w:pPr>
            <w:r>
              <w:rPr>
                <w:rFonts w:hint="eastAsia" w:ascii="Times New Roman" w:hAnsi="Times New Roman" w:cs="Times New Roman"/>
                <w:color w:val="auto"/>
                <w:sz w:val="21"/>
                <w:szCs w:val="21"/>
                <w:highlight w:val="none"/>
                <w:lang w:eastAsia="zh-CN"/>
              </w:rPr>
              <w:t>施工便道</w:t>
            </w:r>
          </w:p>
        </w:tc>
        <w:tc>
          <w:tcPr>
            <w:tcW w:w="817" w:type="dxa"/>
            <w:tcBorders>
              <w:tl2br w:val="nil"/>
              <w:tr2bl w:val="nil"/>
            </w:tcBorders>
            <w:shd w:val="clear" w:color="auto" w:fill="auto"/>
            <w:vAlign w:val="center"/>
          </w:tcPr>
          <w:p>
            <w:pPr>
              <w:pStyle w:val="40"/>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eastAsia="zh-CN"/>
              </w:rPr>
            </w:pPr>
            <w:r>
              <w:rPr>
                <w:rFonts w:hint="eastAsia" w:ascii="Times New Roman" w:hAnsi="Times New Roman" w:cs="Times New Roman"/>
                <w:color w:val="auto"/>
                <w:sz w:val="21"/>
                <w:szCs w:val="21"/>
                <w:highlight w:val="none"/>
                <w:lang w:eastAsia="zh-CN"/>
              </w:rPr>
              <w:t>施工便道</w:t>
            </w:r>
          </w:p>
        </w:tc>
        <w:tc>
          <w:tcPr>
            <w:tcW w:w="2114" w:type="dxa"/>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疏勒县阿拉甫乡阿亚克吉勒尕村</w:t>
            </w:r>
          </w:p>
        </w:tc>
        <w:tc>
          <w:tcPr>
            <w:tcW w:w="1200"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000000"/>
                <w:sz w:val="21"/>
                <w:szCs w:val="21"/>
                <w:highlight w:val="none"/>
                <w:lang w:val="en-US" w:eastAsia="zh-CN"/>
              </w:rPr>
              <w:t>沙地</w:t>
            </w:r>
          </w:p>
        </w:tc>
        <w:tc>
          <w:tcPr>
            <w:tcW w:w="937" w:type="dxa"/>
            <w:tcBorders>
              <w:tl2br w:val="nil"/>
              <w:tr2bl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sz w:val="21"/>
                <w:szCs w:val="21"/>
                <w:highlight w:val="none"/>
                <w:lang w:eastAsia="zh-CN"/>
              </w:rPr>
            </w:pPr>
            <w:r>
              <w:rPr>
                <w:rFonts w:hint="eastAsia" w:ascii="Times New Roman" w:hAnsi="Times New Roman" w:cs="Times New Roman"/>
                <w:color w:val="auto"/>
                <w:sz w:val="21"/>
                <w:szCs w:val="21"/>
                <w:highlight w:val="none"/>
                <w:lang w:eastAsia="zh-CN"/>
              </w:rPr>
              <w:t>中度</w:t>
            </w:r>
          </w:p>
        </w:tc>
        <w:tc>
          <w:tcPr>
            <w:tcW w:w="1076"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000000"/>
                <w:sz w:val="21"/>
                <w:szCs w:val="21"/>
                <w:highlight w:val="none"/>
                <w:lang w:val="en-US" w:eastAsia="zh-CN"/>
              </w:rPr>
              <w:t>沙地</w:t>
            </w:r>
          </w:p>
        </w:tc>
        <w:tc>
          <w:tcPr>
            <w:tcW w:w="969" w:type="dxa"/>
            <w:tcBorders>
              <w:tl2br w:val="nil"/>
              <w:tr2bl w:val="nil"/>
            </w:tcBorders>
            <w:shd w:val="clear" w:color="auto" w:fill="FFFFFF"/>
            <w:noWrap/>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rPr>
            </w:pPr>
            <w:r>
              <w:rPr>
                <w:rFonts w:hint="eastAsia" w:ascii="Times New Roman" w:hAnsi="Times New Roman" w:eastAsia="仿宋_GB2312" w:cs="Times New Roman"/>
                <w:i w:val="0"/>
                <w:iCs w:val="0"/>
                <w:color w:val="auto"/>
                <w:kern w:val="0"/>
                <w:sz w:val="21"/>
                <w:szCs w:val="21"/>
                <w:highlight w:val="none"/>
                <w:u w:val="none"/>
                <w:lang w:val="en-US" w:eastAsia="zh-CN" w:bidi="ar"/>
              </w:rPr>
              <w:t>2.4296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trPr>
        <w:tc>
          <w:tcPr>
            <w:tcW w:w="7550" w:type="dxa"/>
            <w:gridSpan w:val="7"/>
            <w:tcBorders>
              <w:tl2br w:val="nil"/>
              <w:tr2bl w:val="nil"/>
            </w:tcBorders>
            <w:shd w:val="clear" w:color="auto" w:fill="auto"/>
            <w:noWrap/>
            <w:vAlign w:val="center"/>
          </w:tcPr>
          <w:p>
            <w:pPr>
              <w:pStyle w:val="40"/>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合计</w:t>
            </w:r>
          </w:p>
        </w:tc>
        <w:tc>
          <w:tcPr>
            <w:tcW w:w="969" w:type="dxa"/>
            <w:tcBorders>
              <w:tl2br w:val="nil"/>
              <w:tr2bl w:val="nil"/>
            </w:tcBorders>
            <w:shd w:val="clear" w:color="auto" w:fill="auto"/>
            <w:noWrap/>
            <w:vAlign w:val="center"/>
          </w:tcPr>
          <w:p>
            <w:pPr>
              <w:pStyle w:val="40"/>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eastAsia" w:ascii="Times New Roman" w:hAnsi="Times New Roman" w:eastAsia="仿宋_GB2312" w:cs="Times New Roman"/>
                <w:i w:val="0"/>
                <w:iCs w:val="0"/>
                <w:color w:val="auto"/>
                <w:kern w:val="0"/>
                <w:sz w:val="21"/>
                <w:szCs w:val="21"/>
                <w:highlight w:val="none"/>
                <w:u w:val="none"/>
                <w:lang w:val="en-US" w:eastAsia="zh-CN" w:bidi="ar"/>
              </w:rPr>
              <w:t>2.4296</w:t>
            </w:r>
            <w:r>
              <w:rPr>
                <w:rFonts w:hint="default" w:ascii="Times New Roman" w:hAnsi="Times New Roman" w:cs="Times New Roman"/>
                <w:color w:val="auto"/>
                <w:sz w:val="21"/>
                <w:szCs w:val="21"/>
                <w:highlight w:val="none"/>
              </w:rPr>
              <w:t xml:space="preserve"> </w:t>
            </w:r>
          </w:p>
        </w:tc>
      </w:tr>
    </w:tbl>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c）评价方法的选择</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根据《土地复垦方案编制规程第6部分：建设项目》（TD/T 1031.6-2011）中对建设项目土地复垦适宜性评价的相关说明，同时，考虑到建设项目适宜性评价的特殊性，本项目在进行复垦适宜性评价时，采用多因子综合叠加分析方法进行，即通过评价单元的土地损毁因子、原土地地类特征因子、主要限制因子等3个因子进行综合对比分析，在1:1万的数据精度下判定评价单元的复垦适宜性。</w:t>
      </w:r>
    </w:p>
    <w:p>
      <w:pPr>
        <w:pStyle w:val="43"/>
        <w:ind w:firstLine="420"/>
        <w:rPr>
          <w:rFonts w:hint="default" w:ascii="Times New Roman" w:hAnsi="Times New Roman" w:eastAsia="黑体" w:cs="Times New Roman"/>
          <w:sz w:val="21"/>
          <w:szCs w:val="21"/>
          <w:highlight w:val="none"/>
        </w:rPr>
      </w:pPr>
      <w:r>
        <w:rPr>
          <w:rFonts w:hint="default" w:ascii="Times New Roman" w:hAnsi="Times New Roman" w:cs="Times New Roman"/>
          <w:color w:val="auto"/>
          <w:sz w:val="21"/>
          <w:szCs w:val="21"/>
          <w:highlight w:val="none"/>
        </w:rPr>
        <w:t>表4-</w:t>
      </w:r>
      <w:r>
        <w:rPr>
          <w:rFonts w:hint="eastAsia" w:ascii="Times New Roman" w:hAnsi="Times New Roman" w:cs="Times New Roman"/>
          <w:color w:val="auto"/>
          <w:sz w:val="21"/>
          <w:szCs w:val="21"/>
          <w:highlight w:val="none"/>
          <w:lang w:val="en-US" w:eastAsia="zh-CN"/>
        </w:rPr>
        <w:t>6</w:t>
      </w:r>
      <w:r>
        <w:rPr>
          <w:rFonts w:hint="default" w:ascii="Times New Roman" w:hAnsi="Times New Roman" w:cs="Times New Roman"/>
          <w:color w:val="auto"/>
          <w:sz w:val="21"/>
          <w:szCs w:val="21"/>
          <w:highlight w:val="none"/>
        </w:rPr>
        <w:t xml:space="preserve">  待复垦土地评价单元复垦适宜性评价因子选择情况</w:t>
      </w:r>
    </w:p>
    <w:tbl>
      <w:tblPr>
        <w:tblStyle w:val="22"/>
        <w:tblW w:w="8522"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734"/>
        <w:gridCol w:w="1948"/>
        <w:gridCol w:w="4619"/>
        <w:gridCol w:w="122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734" w:type="dxa"/>
            <w:shd w:val="clear" w:color="auto" w:fill="auto"/>
            <w:vAlign w:val="center"/>
          </w:tcPr>
          <w:p>
            <w:pPr>
              <w:pStyle w:val="40"/>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1948" w:type="dxa"/>
            <w:shd w:val="clear" w:color="auto" w:fill="auto"/>
            <w:vAlign w:val="center"/>
          </w:tcPr>
          <w:p>
            <w:pPr>
              <w:pStyle w:val="40"/>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评价因子名称</w:t>
            </w:r>
          </w:p>
        </w:tc>
        <w:tc>
          <w:tcPr>
            <w:tcW w:w="4619" w:type="dxa"/>
            <w:shd w:val="clear" w:color="auto" w:fill="auto"/>
            <w:vAlign w:val="center"/>
          </w:tcPr>
          <w:p>
            <w:pPr>
              <w:pStyle w:val="40"/>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因子描述</w:t>
            </w:r>
          </w:p>
        </w:tc>
        <w:tc>
          <w:tcPr>
            <w:tcW w:w="1221" w:type="dxa"/>
            <w:shd w:val="clear" w:color="auto" w:fill="auto"/>
            <w:vAlign w:val="center"/>
          </w:tcPr>
          <w:p>
            <w:pPr>
              <w:pStyle w:val="40"/>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因子类型</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734" w:type="dxa"/>
            <w:shd w:val="clear" w:color="auto" w:fill="auto"/>
            <w:vAlign w:val="center"/>
          </w:tcPr>
          <w:p>
            <w:pPr>
              <w:pStyle w:val="40"/>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948" w:type="dxa"/>
            <w:shd w:val="clear" w:color="auto" w:fill="auto"/>
            <w:vAlign w:val="center"/>
          </w:tcPr>
          <w:p>
            <w:pPr>
              <w:pStyle w:val="40"/>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土地损毁因子</w:t>
            </w:r>
          </w:p>
        </w:tc>
        <w:tc>
          <w:tcPr>
            <w:tcW w:w="4619" w:type="dxa"/>
            <w:shd w:val="clear" w:color="auto" w:fill="auto"/>
            <w:vAlign w:val="center"/>
          </w:tcPr>
          <w:p>
            <w:pPr>
              <w:pStyle w:val="40"/>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土地损毁方式和程度</w:t>
            </w:r>
          </w:p>
        </w:tc>
        <w:tc>
          <w:tcPr>
            <w:tcW w:w="1221" w:type="dxa"/>
            <w:shd w:val="clear" w:color="auto" w:fill="auto"/>
            <w:vAlign w:val="center"/>
          </w:tcPr>
          <w:p>
            <w:pPr>
              <w:pStyle w:val="40"/>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弹性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734" w:type="dxa"/>
            <w:shd w:val="clear" w:color="auto" w:fill="auto"/>
            <w:vAlign w:val="center"/>
          </w:tcPr>
          <w:p>
            <w:pPr>
              <w:pStyle w:val="40"/>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1948" w:type="dxa"/>
            <w:shd w:val="clear" w:color="auto" w:fill="auto"/>
            <w:vAlign w:val="center"/>
          </w:tcPr>
          <w:p>
            <w:pPr>
              <w:pStyle w:val="40"/>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原地类特征因子</w:t>
            </w:r>
          </w:p>
        </w:tc>
        <w:tc>
          <w:tcPr>
            <w:tcW w:w="4619" w:type="dxa"/>
            <w:shd w:val="clear" w:color="auto" w:fill="auto"/>
            <w:vAlign w:val="center"/>
          </w:tcPr>
          <w:p>
            <w:pPr>
              <w:pStyle w:val="40"/>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土地类型、土壤质量情况等</w:t>
            </w:r>
          </w:p>
        </w:tc>
        <w:tc>
          <w:tcPr>
            <w:tcW w:w="1221" w:type="dxa"/>
            <w:shd w:val="clear" w:color="auto" w:fill="auto"/>
            <w:vAlign w:val="center"/>
          </w:tcPr>
          <w:p>
            <w:pPr>
              <w:pStyle w:val="40"/>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弹性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trPr>
        <w:tc>
          <w:tcPr>
            <w:tcW w:w="734" w:type="dxa"/>
            <w:shd w:val="clear" w:color="auto" w:fill="auto"/>
            <w:vAlign w:val="center"/>
          </w:tcPr>
          <w:p>
            <w:pPr>
              <w:pStyle w:val="40"/>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1948" w:type="dxa"/>
            <w:shd w:val="clear" w:color="auto" w:fill="auto"/>
            <w:vAlign w:val="center"/>
          </w:tcPr>
          <w:p>
            <w:pPr>
              <w:pStyle w:val="40"/>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主要限制因子</w:t>
            </w:r>
          </w:p>
        </w:tc>
        <w:tc>
          <w:tcPr>
            <w:tcW w:w="4619" w:type="dxa"/>
            <w:shd w:val="clear" w:color="auto" w:fill="auto"/>
            <w:vAlign w:val="center"/>
          </w:tcPr>
          <w:p>
            <w:pPr>
              <w:pStyle w:val="40"/>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地形、土体结构、残渣等因素是否可克服</w:t>
            </w:r>
          </w:p>
        </w:tc>
        <w:tc>
          <w:tcPr>
            <w:tcW w:w="1221" w:type="dxa"/>
            <w:shd w:val="clear" w:color="auto" w:fill="auto"/>
            <w:vAlign w:val="center"/>
          </w:tcPr>
          <w:p>
            <w:pPr>
              <w:pStyle w:val="40"/>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弹性</w:t>
            </w:r>
          </w:p>
        </w:tc>
      </w:tr>
    </w:tbl>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d）复垦方向确定</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根据损毁土地利用类型、损毁形式，结合复垦土地的主要限制因素以及该限制性因素的可克服性，在经济可行、技术合理的条件下，最终确定合理的土地复垦方向。</w:t>
      </w:r>
    </w:p>
    <w:p>
      <w:pPr>
        <w:pStyle w:val="43"/>
        <w:shd w:val="clear"/>
        <w:ind w:firstLine="42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表4-</w:t>
      </w:r>
      <w:r>
        <w:rPr>
          <w:rFonts w:hint="eastAsia" w:ascii="Times New Roman" w:hAnsi="Times New Roman" w:cs="Times New Roman"/>
          <w:color w:val="auto"/>
          <w:sz w:val="21"/>
          <w:szCs w:val="21"/>
          <w:highlight w:val="none"/>
          <w:lang w:val="en-US" w:eastAsia="zh-CN"/>
        </w:rPr>
        <w:t>7</w:t>
      </w:r>
      <w:r>
        <w:rPr>
          <w:rFonts w:hint="default" w:ascii="Times New Roman" w:hAnsi="Times New Roman"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rPr>
        <w:t>土地复垦方向的初步方向分析表</w:t>
      </w:r>
    </w:p>
    <w:tbl>
      <w:tblPr>
        <w:tblStyle w:val="22"/>
        <w:tblW w:w="8520"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36"/>
        <w:gridCol w:w="1064"/>
        <w:gridCol w:w="1473"/>
        <w:gridCol w:w="763"/>
        <w:gridCol w:w="777"/>
        <w:gridCol w:w="1787"/>
        <w:gridCol w:w="1200"/>
        <w:gridCol w:w="102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525" w:hRule="atLeast"/>
        </w:trPr>
        <w:tc>
          <w:tcPr>
            <w:tcW w:w="436" w:type="dxa"/>
            <w:tcBorders>
              <w:tl2br w:val="nil"/>
              <w:tr2bl w:val="nil"/>
            </w:tcBorders>
            <w:shd w:val="clear" w:color="auto" w:fill="auto"/>
            <w:vAlign w:val="center"/>
          </w:tcPr>
          <w:p>
            <w:pPr>
              <w:pStyle w:val="40"/>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序号</w:t>
            </w:r>
          </w:p>
        </w:tc>
        <w:tc>
          <w:tcPr>
            <w:tcW w:w="1064" w:type="dxa"/>
            <w:tcBorders>
              <w:tl2br w:val="nil"/>
              <w:tr2bl w:val="nil"/>
            </w:tcBorders>
            <w:shd w:val="clear" w:color="auto" w:fill="auto"/>
            <w:vAlign w:val="center"/>
          </w:tcPr>
          <w:p>
            <w:pPr>
              <w:pStyle w:val="40"/>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一级评价类型</w:t>
            </w:r>
          </w:p>
        </w:tc>
        <w:tc>
          <w:tcPr>
            <w:tcW w:w="1473" w:type="dxa"/>
            <w:tcBorders>
              <w:tl2br w:val="nil"/>
              <w:tr2bl w:val="nil"/>
            </w:tcBorders>
            <w:shd w:val="clear" w:color="auto" w:fill="auto"/>
            <w:vAlign w:val="center"/>
          </w:tcPr>
          <w:p>
            <w:pPr>
              <w:pStyle w:val="40"/>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二级评价</w:t>
            </w:r>
          </w:p>
          <w:p>
            <w:pPr>
              <w:pStyle w:val="40"/>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类型</w:t>
            </w:r>
          </w:p>
        </w:tc>
        <w:tc>
          <w:tcPr>
            <w:tcW w:w="763" w:type="dxa"/>
            <w:tcBorders>
              <w:tl2br w:val="nil"/>
              <w:tr2bl w:val="nil"/>
            </w:tcBorders>
            <w:shd w:val="clear" w:color="auto" w:fill="auto"/>
            <w:vAlign w:val="center"/>
          </w:tcPr>
          <w:p>
            <w:pPr>
              <w:pStyle w:val="40"/>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损毁类型</w:t>
            </w:r>
          </w:p>
        </w:tc>
        <w:tc>
          <w:tcPr>
            <w:tcW w:w="777" w:type="dxa"/>
            <w:tcBorders>
              <w:tl2br w:val="nil"/>
              <w:tr2bl w:val="nil"/>
            </w:tcBorders>
            <w:shd w:val="clear" w:color="auto" w:fill="auto"/>
            <w:vAlign w:val="center"/>
          </w:tcPr>
          <w:p>
            <w:pPr>
              <w:pStyle w:val="40"/>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损毁程度</w:t>
            </w:r>
          </w:p>
        </w:tc>
        <w:tc>
          <w:tcPr>
            <w:tcW w:w="1787" w:type="dxa"/>
            <w:tcBorders>
              <w:tl2br w:val="nil"/>
              <w:tr2bl w:val="nil"/>
            </w:tcBorders>
            <w:shd w:val="clear" w:color="auto" w:fill="auto"/>
            <w:vAlign w:val="center"/>
          </w:tcPr>
          <w:p>
            <w:pPr>
              <w:pStyle w:val="40"/>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复垦措施</w:t>
            </w:r>
          </w:p>
        </w:tc>
        <w:tc>
          <w:tcPr>
            <w:tcW w:w="1200" w:type="dxa"/>
            <w:tcBorders>
              <w:tl2br w:val="nil"/>
              <w:tr2bl w:val="nil"/>
            </w:tcBorders>
            <w:shd w:val="clear" w:color="auto" w:fill="auto"/>
            <w:noWrap/>
            <w:vAlign w:val="center"/>
          </w:tcPr>
          <w:p>
            <w:pPr>
              <w:pStyle w:val="40"/>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初步复垦</w:t>
            </w:r>
          </w:p>
          <w:p>
            <w:pPr>
              <w:pStyle w:val="40"/>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方向</w:t>
            </w:r>
          </w:p>
        </w:tc>
        <w:tc>
          <w:tcPr>
            <w:tcW w:w="1020" w:type="dxa"/>
            <w:tcBorders>
              <w:tl2br w:val="nil"/>
              <w:tr2bl w:val="nil"/>
            </w:tcBorders>
            <w:shd w:val="clear" w:color="auto" w:fill="auto"/>
            <w:vAlign w:val="center"/>
          </w:tcPr>
          <w:p>
            <w:pPr>
              <w:pStyle w:val="40"/>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面积（</w:t>
            </w:r>
            <w:r>
              <w:rPr>
                <w:rFonts w:hint="default" w:ascii="Times New Roman" w:hAnsi="Times New Roman" w:cs="Times New Roman"/>
                <w:color w:val="auto"/>
                <w:sz w:val="21"/>
                <w:szCs w:val="21"/>
                <w:highlight w:val="none"/>
                <w:lang w:eastAsia="zh-CN"/>
              </w:rPr>
              <w:t>公顷</w:t>
            </w:r>
            <w:r>
              <w:rPr>
                <w:rFonts w:hint="default" w:ascii="Times New Roman" w:hAnsi="Times New Roman" w:cs="Times New Roman"/>
                <w:color w:val="auto"/>
                <w:sz w:val="21"/>
                <w:szCs w:val="21"/>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55" w:hRule="atLeast"/>
        </w:trPr>
        <w:tc>
          <w:tcPr>
            <w:tcW w:w="436" w:type="dxa"/>
            <w:tcBorders>
              <w:tl2br w:val="nil"/>
              <w:tr2bl w:val="nil"/>
            </w:tcBorders>
            <w:shd w:val="clear" w:color="auto" w:fill="auto"/>
            <w:vAlign w:val="center"/>
          </w:tcPr>
          <w:p>
            <w:pPr>
              <w:pStyle w:val="40"/>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064" w:type="dxa"/>
            <w:tcBorders>
              <w:tl2br w:val="nil"/>
              <w:tr2bl w:val="nil"/>
            </w:tcBorders>
            <w:shd w:val="clear" w:color="auto" w:fill="auto"/>
            <w:vAlign w:val="center"/>
          </w:tcPr>
          <w:p>
            <w:pPr>
              <w:pStyle w:val="40"/>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eastAsiaTheme="minorEastAsia"/>
                <w:color w:val="auto"/>
                <w:sz w:val="21"/>
                <w:szCs w:val="21"/>
                <w:highlight w:val="none"/>
                <w:lang w:eastAsia="zh-CN"/>
              </w:rPr>
            </w:pPr>
            <w:r>
              <w:rPr>
                <w:rFonts w:hint="eastAsia" w:ascii="Times New Roman" w:hAnsi="Times New Roman" w:cs="Times New Roman"/>
                <w:color w:val="auto"/>
                <w:sz w:val="21"/>
                <w:szCs w:val="21"/>
                <w:highlight w:val="none"/>
                <w:lang w:eastAsia="zh-CN"/>
              </w:rPr>
              <w:t>施工便道</w:t>
            </w:r>
          </w:p>
        </w:tc>
        <w:tc>
          <w:tcPr>
            <w:tcW w:w="1473" w:type="dxa"/>
            <w:tcBorders>
              <w:tl2br w:val="nil"/>
              <w:tr2bl w:val="nil"/>
            </w:tcBorders>
            <w:shd w:val="clear" w:color="auto" w:fill="auto"/>
            <w:vAlign w:val="center"/>
          </w:tcPr>
          <w:p>
            <w:pPr>
              <w:pStyle w:val="40"/>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eastAsiaTheme="minorEastAsia"/>
                <w:color w:val="auto"/>
                <w:sz w:val="21"/>
                <w:szCs w:val="21"/>
                <w:highlight w:val="none"/>
                <w:lang w:eastAsia="zh-CN"/>
              </w:rPr>
            </w:pPr>
            <w:r>
              <w:rPr>
                <w:rFonts w:hint="eastAsia" w:ascii="Times New Roman" w:hAnsi="Times New Roman" w:cs="Times New Roman"/>
                <w:color w:val="auto"/>
                <w:sz w:val="21"/>
                <w:szCs w:val="21"/>
                <w:highlight w:val="none"/>
                <w:lang w:eastAsia="zh-CN"/>
              </w:rPr>
              <w:t>施工便道</w:t>
            </w:r>
          </w:p>
        </w:tc>
        <w:tc>
          <w:tcPr>
            <w:tcW w:w="763" w:type="dxa"/>
            <w:tcBorders>
              <w:tl2br w:val="nil"/>
              <w:tr2bl w:val="nil"/>
            </w:tcBorders>
            <w:shd w:val="clear" w:color="auto" w:fill="auto"/>
            <w:vAlign w:val="center"/>
          </w:tcPr>
          <w:p>
            <w:pPr>
              <w:pStyle w:val="40"/>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eastAsiaTheme="minorEastAsia"/>
                <w:color w:val="auto"/>
                <w:sz w:val="21"/>
                <w:szCs w:val="21"/>
                <w:highlight w:val="none"/>
                <w:lang w:eastAsia="zh-CN"/>
              </w:rPr>
            </w:pPr>
            <w:r>
              <w:rPr>
                <w:rFonts w:hint="eastAsia" w:ascii="Times New Roman" w:hAnsi="Times New Roman" w:cs="Times New Roman"/>
                <w:color w:val="auto"/>
                <w:sz w:val="21"/>
                <w:szCs w:val="21"/>
                <w:highlight w:val="none"/>
                <w:lang w:eastAsia="zh-CN"/>
              </w:rPr>
              <w:t>压占</w:t>
            </w:r>
          </w:p>
        </w:tc>
        <w:tc>
          <w:tcPr>
            <w:tcW w:w="777" w:type="dxa"/>
            <w:tcBorders>
              <w:tl2br w:val="nil"/>
              <w:tr2bl w:val="nil"/>
            </w:tcBorders>
            <w:shd w:val="clear" w:color="auto" w:fill="auto"/>
            <w:noWrap/>
            <w:vAlign w:val="center"/>
          </w:tcPr>
          <w:p>
            <w:pPr>
              <w:pStyle w:val="40"/>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eastAsia="zh-CN"/>
              </w:rPr>
              <w:t>中度</w:t>
            </w:r>
          </w:p>
        </w:tc>
        <w:tc>
          <w:tcPr>
            <w:tcW w:w="1787" w:type="dxa"/>
            <w:tcBorders>
              <w:tl2br w:val="nil"/>
              <w:tr2bl w:val="nil"/>
            </w:tcBorders>
            <w:shd w:val="clear" w:color="auto" w:fill="auto"/>
            <w:noWrap/>
            <w:vAlign w:val="center"/>
          </w:tcPr>
          <w:p>
            <w:pPr>
              <w:pStyle w:val="40"/>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地表固化物的清理、垃圾清运和土地平整</w:t>
            </w:r>
          </w:p>
        </w:tc>
        <w:tc>
          <w:tcPr>
            <w:tcW w:w="1200"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rPr>
            </w:pPr>
            <w:r>
              <w:rPr>
                <w:rFonts w:hint="eastAsia" w:ascii="Times New Roman" w:hAnsi="Times New Roman" w:cs="Times New Roman"/>
                <w:color w:val="000000"/>
                <w:sz w:val="21"/>
                <w:szCs w:val="21"/>
                <w:highlight w:val="none"/>
                <w:lang w:val="en-US" w:eastAsia="zh-CN"/>
              </w:rPr>
              <w:t>沙地</w:t>
            </w:r>
          </w:p>
        </w:tc>
        <w:tc>
          <w:tcPr>
            <w:tcW w:w="1020" w:type="dxa"/>
            <w:tcBorders>
              <w:tl2br w:val="nil"/>
              <w:tr2bl w:val="nil"/>
            </w:tcBorders>
            <w:shd w:val="clear" w:color="auto" w:fill="FFFFFF"/>
            <w:noWrap/>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rPr>
            </w:pPr>
            <w:r>
              <w:rPr>
                <w:rFonts w:hint="eastAsia" w:ascii="Times New Roman" w:hAnsi="Times New Roman" w:eastAsia="仿宋_GB2312" w:cs="Times New Roman"/>
                <w:i w:val="0"/>
                <w:iCs w:val="0"/>
                <w:color w:val="auto"/>
                <w:kern w:val="0"/>
                <w:sz w:val="21"/>
                <w:szCs w:val="21"/>
                <w:highlight w:val="none"/>
                <w:u w:val="none"/>
                <w:lang w:val="en-US" w:eastAsia="zh-CN" w:bidi="ar"/>
              </w:rPr>
              <w:t>2.4296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270" w:hRule="atLeast"/>
        </w:trPr>
        <w:tc>
          <w:tcPr>
            <w:tcW w:w="7500" w:type="dxa"/>
            <w:gridSpan w:val="7"/>
            <w:tcBorders>
              <w:tl2br w:val="nil"/>
              <w:tr2bl w:val="nil"/>
            </w:tcBorders>
            <w:shd w:val="clear" w:color="auto" w:fill="auto"/>
            <w:noWrap/>
            <w:vAlign w:val="center"/>
          </w:tcPr>
          <w:p>
            <w:pPr>
              <w:pStyle w:val="40"/>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合计</w:t>
            </w:r>
          </w:p>
        </w:tc>
        <w:tc>
          <w:tcPr>
            <w:tcW w:w="1020" w:type="dxa"/>
            <w:tcBorders>
              <w:tl2br w:val="nil"/>
              <w:tr2bl w:val="nil"/>
            </w:tcBorders>
            <w:shd w:val="clear" w:color="auto" w:fill="auto"/>
            <w:noWrap/>
            <w:vAlign w:val="center"/>
          </w:tcPr>
          <w:p>
            <w:pPr>
              <w:pStyle w:val="40"/>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1"/>
                <w:szCs w:val="21"/>
                <w:highlight w:val="none"/>
              </w:rPr>
            </w:pPr>
            <w:r>
              <w:rPr>
                <w:rFonts w:hint="eastAsia" w:ascii="Times New Roman" w:hAnsi="Times New Roman" w:eastAsia="仿宋_GB2312" w:cs="Times New Roman"/>
                <w:i w:val="0"/>
                <w:iCs w:val="0"/>
                <w:color w:val="auto"/>
                <w:kern w:val="0"/>
                <w:sz w:val="21"/>
                <w:szCs w:val="21"/>
                <w:highlight w:val="none"/>
                <w:u w:val="none"/>
                <w:lang w:val="en-US" w:eastAsia="zh-CN" w:bidi="ar"/>
              </w:rPr>
              <w:t>2.4296</w:t>
            </w:r>
            <w:r>
              <w:rPr>
                <w:rFonts w:hint="default" w:ascii="Times New Roman" w:hAnsi="Times New Roman" w:cs="Times New Roman"/>
                <w:color w:val="auto"/>
                <w:sz w:val="21"/>
                <w:szCs w:val="21"/>
                <w:highlight w:val="none"/>
              </w:rPr>
              <w:t xml:space="preserve"> </w:t>
            </w:r>
          </w:p>
        </w:tc>
      </w:tr>
    </w:tbl>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color w:val="auto"/>
          <w:highlight w:val="none"/>
          <w:lang w:val="en-US" w:eastAsia="zh-CN"/>
        </w:rPr>
      </w:pPr>
      <w:bookmarkStart w:id="82" w:name="_Toc7964"/>
      <w:r>
        <w:rPr>
          <w:rFonts w:hint="default" w:ascii="Times New Roman" w:hAnsi="Times New Roman" w:cs="Times New Roman"/>
          <w:color w:val="auto"/>
          <w:highlight w:val="none"/>
          <w:lang w:val="en-US" w:eastAsia="zh-CN"/>
        </w:rPr>
        <w:t>4.</w:t>
      </w:r>
      <w:r>
        <w:rPr>
          <w:rFonts w:hint="eastAsia" w:cs="Times New Roman"/>
          <w:color w:val="auto"/>
          <w:highlight w:val="none"/>
          <w:lang w:val="en-US" w:eastAsia="zh-CN"/>
        </w:rPr>
        <w:t>4</w:t>
      </w:r>
      <w:r>
        <w:rPr>
          <w:rFonts w:hint="default" w:ascii="Times New Roman" w:hAnsi="Times New Roman" w:cs="Times New Roman"/>
          <w:color w:val="auto"/>
          <w:highlight w:val="none"/>
          <w:lang w:val="en-US" w:eastAsia="zh-CN"/>
        </w:rPr>
        <w:t>水土资源平衡分析</w:t>
      </w:r>
      <w:bookmarkEnd w:id="82"/>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项目临时用地占地类为沙地，地表没有明显植被覆盖，无需进行表土剥离、植被恢复及灌溉。项目在建设时，不对项目区区域进行表土剥离，一方面原因是这部分区域土壤质地不均匀，表层土含量较低，剥离后与底层土差异不大；另一方面项目所在的区域地表没有明显植被覆盖，对于周边的环境影响较小，该类型损毁土地在复垦时，通过采取垃圾清理、土地平整、自然恢复等措施，尽量减少对土地质量的影响。</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color w:val="auto"/>
          <w:highlight w:val="none"/>
          <w:lang w:val="en-US" w:eastAsia="zh-CN"/>
        </w:rPr>
      </w:pPr>
      <w:bookmarkStart w:id="83" w:name="_Toc21692"/>
      <w:r>
        <w:rPr>
          <w:rFonts w:hint="default" w:ascii="Times New Roman" w:hAnsi="Times New Roman" w:cs="Times New Roman"/>
          <w:color w:val="auto"/>
          <w:highlight w:val="none"/>
          <w:lang w:val="en-US" w:eastAsia="zh-CN"/>
        </w:rPr>
        <w:t>4.</w:t>
      </w:r>
      <w:r>
        <w:rPr>
          <w:rFonts w:hint="eastAsia" w:cs="Times New Roman"/>
          <w:color w:val="auto"/>
          <w:highlight w:val="none"/>
          <w:lang w:val="en-US" w:eastAsia="zh-CN"/>
        </w:rPr>
        <w:t>5</w:t>
      </w:r>
      <w:r>
        <w:rPr>
          <w:rFonts w:hint="default" w:ascii="Times New Roman" w:hAnsi="Times New Roman" w:cs="Times New Roman"/>
          <w:color w:val="auto"/>
          <w:highlight w:val="none"/>
          <w:lang w:val="en-US" w:eastAsia="zh-CN"/>
        </w:rPr>
        <w:t>土地复垦目标任务</w:t>
      </w:r>
      <w:bookmarkEnd w:id="83"/>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项目建设中土地原有的功能受到侵扰与损毁，土地复垦实质上就是土地功能的恢复。本方案在尽量确保复垦方向与周边土地利用类型相适应、与国土空间总体规划保持一致的情况下，根据土地复垦适宜性评价分析结果，结合项目区自然环境特征，确定项目区最终的复垦方向、复垦面积及土地复垦率（复垦的土地面积占复垦责任范围土地面积的百分比）。本复垦方案确定复垦目标为尽可能地将土地复垦为可利用状态，并且保持水土平衡。本方案复垦责任范围</w:t>
      </w:r>
      <w:r>
        <w:rPr>
          <w:rFonts w:hint="eastAsia" w:ascii="Times New Roman" w:hAnsi="Times New Roman" w:eastAsia="仿宋" w:cs="Times New Roman"/>
          <w:color w:val="auto"/>
          <w:sz w:val="24"/>
          <w:szCs w:val="24"/>
          <w:highlight w:val="none"/>
          <w:lang w:val="en-US" w:eastAsia="zh-CN"/>
        </w:rPr>
        <w:t>2.4296</w:t>
      </w:r>
      <w:r>
        <w:rPr>
          <w:rFonts w:hint="default" w:ascii="Times New Roman" w:hAnsi="Times New Roman" w:eastAsia="仿宋" w:cs="Times New Roman"/>
          <w:color w:val="auto"/>
          <w:sz w:val="24"/>
          <w:szCs w:val="24"/>
          <w:highlight w:val="none"/>
          <w:lang w:val="en-US" w:eastAsia="zh-CN"/>
        </w:rPr>
        <w:t>hm²，</w:t>
      </w:r>
      <w:r>
        <w:rPr>
          <w:rFonts w:hint="eastAsia" w:ascii="Times New Roman" w:hAnsi="Times New Roman" w:eastAsia="仿宋" w:cs="Times New Roman"/>
          <w:color w:val="auto"/>
          <w:sz w:val="24"/>
          <w:szCs w:val="24"/>
          <w:highlight w:val="none"/>
          <w:lang w:val="en-US" w:eastAsia="zh-CN"/>
        </w:rPr>
        <w:t>全部复垦为沙地</w:t>
      </w:r>
      <w:r>
        <w:rPr>
          <w:rFonts w:hint="default" w:ascii="Times New Roman" w:hAnsi="Times New Roman" w:eastAsia="仿宋" w:cs="Times New Roman"/>
          <w:color w:val="auto"/>
          <w:sz w:val="24"/>
          <w:szCs w:val="24"/>
          <w:highlight w:val="none"/>
          <w:lang w:val="en-US" w:eastAsia="zh-CN"/>
        </w:rPr>
        <w:t>，土地复垦率为100%。</w:t>
      </w:r>
    </w:p>
    <w:p>
      <w:pPr>
        <w:pStyle w:val="43"/>
        <w:keepNext w:val="0"/>
        <w:keepLines w:val="0"/>
        <w:pageBreakBefore w:val="0"/>
        <w:widowControl/>
        <w:shd w:val="clear"/>
        <w:kinsoku/>
        <w:wordWrap/>
        <w:overflowPunct/>
        <w:topLinePunct w:val="0"/>
        <w:autoSpaceDE/>
        <w:autoSpaceDN/>
        <w:bidi w:val="0"/>
        <w:adjustRightInd/>
        <w:snapToGrid/>
        <w:spacing w:line="500" w:lineRule="exact"/>
        <w:ind w:firstLine="42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w:t>
      </w:r>
      <w:r>
        <w:rPr>
          <w:rFonts w:hint="default" w:ascii="Times New Roman" w:hAnsi="Times New Roman" w:cs="Times New Roman"/>
          <w:color w:val="auto"/>
          <w:sz w:val="21"/>
          <w:szCs w:val="21"/>
          <w:highlight w:val="none"/>
          <w:lang w:val="en-US" w:eastAsia="zh-CN"/>
        </w:rPr>
        <w:t>4-5</w:t>
      </w:r>
      <w:r>
        <w:rPr>
          <w:rFonts w:hint="default" w:ascii="Times New Roman" w:hAnsi="Times New Roman" w:cs="Times New Roman"/>
          <w:color w:val="auto"/>
          <w:sz w:val="21"/>
          <w:szCs w:val="21"/>
          <w:highlight w:val="none"/>
        </w:rPr>
        <w:t>复垦前后土地利用结构调整表</w:t>
      </w:r>
    </w:p>
    <w:tbl>
      <w:tblPr>
        <w:tblStyle w:val="22"/>
        <w:tblW w:w="8428"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517"/>
        <w:gridCol w:w="2202"/>
        <w:gridCol w:w="653"/>
        <w:gridCol w:w="1657"/>
        <w:gridCol w:w="1258"/>
        <w:gridCol w:w="1258"/>
        <w:gridCol w:w="88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714" w:hRule="atLeast"/>
        </w:trPr>
        <w:tc>
          <w:tcPr>
            <w:tcW w:w="2719" w:type="dxa"/>
            <w:gridSpan w:val="2"/>
            <w:tcBorders>
              <w:tl2br w:val="nil"/>
              <w:tr2bl w:val="nil"/>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一级地类</w:t>
            </w:r>
          </w:p>
        </w:tc>
        <w:tc>
          <w:tcPr>
            <w:tcW w:w="2310" w:type="dxa"/>
            <w:gridSpan w:val="2"/>
            <w:tcBorders>
              <w:tl2br w:val="nil"/>
              <w:tr2bl w:val="nil"/>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二级地类</w:t>
            </w:r>
          </w:p>
        </w:tc>
        <w:tc>
          <w:tcPr>
            <w:tcW w:w="1258" w:type="dxa"/>
            <w:tcBorders>
              <w:tl2br w:val="nil"/>
              <w:tr2bl w:val="nil"/>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复垦前/h</w:t>
            </w:r>
            <w:r>
              <w:rPr>
                <w:rFonts w:hint="default" w:ascii="Times New Roman" w:hAnsi="Times New Roman" w:eastAsia="仿宋" w:cs="Times New Roman"/>
                <w:color w:val="auto"/>
                <w:sz w:val="24"/>
                <w:szCs w:val="24"/>
                <w:highlight w:val="none"/>
                <w:lang w:val="en-US" w:eastAsia="zh-CN"/>
              </w:rPr>
              <w:t>m²</w:t>
            </w:r>
          </w:p>
        </w:tc>
        <w:tc>
          <w:tcPr>
            <w:tcW w:w="1258" w:type="dxa"/>
            <w:tcBorders>
              <w:tl2br w:val="nil"/>
              <w:tr2bl w:val="nil"/>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复垦后/h</w:t>
            </w:r>
            <w:r>
              <w:rPr>
                <w:rFonts w:hint="default" w:ascii="Times New Roman" w:hAnsi="Times New Roman" w:eastAsia="仿宋" w:cs="Times New Roman"/>
                <w:color w:val="auto"/>
                <w:sz w:val="24"/>
                <w:szCs w:val="24"/>
                <w:highlight w:val="none"/>
                <w:lang w:val="en-US" w:eastAsia="zh-CN"/>
              </w:rPr>
              <w:t>m²</w:t>
            </w:r>
          </w:p>
        </w:tc>
        <w:tc>
          <w:tcPr>
            <w:tcW w:w="883" w:type="dxa"/>
            <w:tcBorders>
              <w:tl2br w:val="nil"/>
              <w:tr2bl w:val="nil"/>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变幅/%</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402" w:hRule="atLeast"/>
        </w:trPr>
        <w:tc>
          <w:tcPr>
            <w:tcW w:w="517"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000000"/>
                <w:sz w:val="21"/>
                <w:szCs w:val="21"/>
                <w:highlight w:val="none"/>
                <w:lang w:val="en-US" w:eastAsia="zh-CN"/>
              </w:rPr>
              <w:t>12</w:t>
            </w:r>
          </w:p>
        </w:tc>
        <w:tc>
          <w:tcPr>
            <w:tcW w:w="2202"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000000"/>
                <w:sz w:val="21"/>
                <w:szCs w:val="21"/>
                <w:highlight w:val="none"/>
                <w:lang w:val="en-US" w:eastAsia="zh-CN"/>
              </w:rPr>
              <w:t>其他土地</w:t>
            </w:r>
          </w:p>
        </w:tc>
        <w:tc>
          <w:tcPr>
            <w:tcW w:w="653"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000000"/>
                <w:sz w:val="21"/>
                <w:szCs w:val="21"/>
                <w:highlight w:val="none"/>
                <w:lang w:val="en-US" w:eastAsia="zh-CN"/>
              </w:rPr>
              <w:t>1205</w:t>
            </w:r>
          </w:p>
        </w:tc>
        <w:tc>
          <w:tcPr>
            <w:tcW w:w="1657"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000000"/>
                <w:sz w:val="21"/>
                <w:szCs w:val="21"/>
                <w:highlight w:val="none"/>
                <w:lang w:val="en-US" w:eastAsia="zh-CN"/>
              </w:rPr>
              <w:t>沙地</w:t>
            </w:r>
          </w:p>
        </w:tc>
        <w:tc>
          <w:tcPr>
            <w:tcW w:w="1258"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2.4296</w:t>
            </w:r>
          </w:p>
        </w:tc>
        <w:tc>
          <w:tcPr>
            <w:tcW w:w="1258"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2.4296</w:t>
            </w:r>
          </w:p>
        </w:tc>
        <w:tc>
          <w:tcPr>
            <w:tcW w:w="883" w:type="dxa"/>
            <w:tcBorders>
              <w:tl2br w:val="nil"/>
              <w:tr2bl w:val="nil"/>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78" w:hRule="atLeast"/>
        </w:trPr>
        <w:tc>
          <w:tcPr>
            <w:tcW w:w="5029" w:type="dxa"/>
            <w:gridSpan w:val="4"/>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合计</w:t>
            </w:r>
          </w:p>
        </w:tc>
        <w:tc>
          <w:tcPr>
            <w:tcW w:w="1258"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2.4296</w:t>
            </w:r>
          </w:p>
        </w:tc>
        <w:tc>
          <w:tcPr>
            <w:tcW w:w="1258" w:type="dxa"/>
            <w:tcBorders>
              <w:tl2br w:val="nil"/>
              <w:tr2bl w:val="nil"/>
            </w:tcBorders>
            <w:shd w:val="clear" w:color="auto" w:fill="auto"/>
            <w:noWrap/>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2.4296</w:t>
            </w:r>
          </w:p>
        </w:tc>
        <w:tc>
          <w:tcPr>
            <w:tcW w:w="883" w:type="dxa"/>
            <w:tcBorders>
              <w:tl2br w:val="nil"/>
              <w:tr2bl w:val="nil"/>
            </w:tcBorders>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r>
    </w:tbl>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p>
    <w:p>
      <w:pP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br w:type="page"/>
      </w:r>
    </w:p>
    <w:p>
      <w:pPr>
        <w:pStyle w:val="3"/>
        <w:rPr>
          <w:rFonts w:hint="default" w:cs="Times New Roman"/>
          <w:color w:val="auto"/>
          <w:highlight w:val="none"/>
          <w:lang w:val="en-US" w:eastAsia="zh-CN"/>
        </w:rPr>
      </w:pPr>
      <w:bookmarkStart w:id="84" w:name="_Toc402"/>
      <w:bookmarkStart w:id="85" w:name="_Toc31715"/>
      <w:bookmarkStart w:id="86" w:name="_Toc32750"/>
      <w:bookmarkStart w:id="87" w:name="_Toc2088"/>
      <w:r>
        <w:rPr>
          <w:rFonts w:hint="default" w:cs="Times New Roman"/>
          <w:color w:val="auto"/>
          <w:highlight w:val="none"/>
          <w:lang w:val="en-US" w:eastAsia="zh-CN"/>
        </w:rPr>
        <w:t>5土地复垦质量要求与复垦措施</w:t>
      </w:r>
      <w:bookmarkEnd w:id="84"/>
      <w:bookmarkEnd w:id="85"/>
      <w:bookmarkEnd w:id="86"/>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s="Times New Roman"/>
          <w:color w:val="auto"/>
          <w:highlight w:val="none"/>
          <w:lang w:val="en-US" w:eastAsia="zh-CN"/>
        </w:rPr>
      </w:pPr>
      <w:bookmarkStart w:id="88" w:name="_Toc18728"/>
      <w:bookmarkStart w:id="89" w:name="_Toc21385"/>
      <w:r>
        <w:rPr>
          <w:rFonts w:hint="eastAsia" w:cs="Times New Roman"/>
          <w:color w:val="auto"/>
          <w:highlight w:val="none"/>
          <w:lang w:val="en-US" w:eastAsia="zh-CN"/>
        </w:rPr>
        <w:t>5.1土地复垦质量要求</w:t>
      </w:r>
      <w:bookmarkEnd w:id="88"/>
      <w:bookmarkEnd w:id="89"/>
    </w:p>
    <w:p>
      <w:pPr>
        <w:pStyle w:val="5"/>
        <w:keepNext w:val="0"/>
        <w:keepLines w:val="0"/>
        <w:tabs>
          <w:tab w:val="left" w:pos="426"/>
        </w:tabs>
        <w:adjustRightInd w:val="0"/>
        <w:snapToGrid w:val="0"/>
        <w:spacing w:before="0" w:after="0" w:line="360" w:lineRule="auto"/>
        <w:ind w:firstLine="482" w:firstLineChars="200"/>
        <w:textAlignment w:val="baseline"/>
        <w:rPr>
          <w:rFonts w:hint="eastAsia" w:ascii="Times New Roman" w:hAnsi="Times New Roman" w:cs="Times New Roman"/>
          <w:b/>
          <w:bCs w:val="0"/>
          <w:kern w:val="0"/>
          <w:szCs w:val="28"/>
          <w:highlight w:val="none"/>
          <w:lang w:val="en-US" w:eastAsia="zh-CN"/>
        </w:rPr>
      </w:pPr>
      <w:bookmarkStart w:id="90" w:name="_Toc24999"/>
      <w:bookmarkStart w:id="91" w:name="_Toc13754"/>
      <w:r>
        <w:rPr>
          <w:rFonts w:hint="eastAsia" w:ascii="Times New Roman" w:hAnsi="Times New Roman" w:cs="Times New Roman"/>
          <w:b/>
          <w:bCs w:val="0"/>
          <w:kern w:val="0"/>
          <w:szCs w:val="28"/>
          <w:highlight w:val="none"/>
          <w:lang w:val="en-US" w:eastAsia="zh-CN"/>
        </w:rPr>
        <w:t>5.1.1土地复垦质量要求制定依据</w:t>
      </w:r>
      <w:bookmarkEnd w:id="90"/>
      <w:bookmarkEnd w:id="91"/>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a）国家及行业的技术标准</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①</w:t>
      </w:r>
      <w:r>
        <w:rPr>
          <w:rFonts w:hint="default" w:ascii="Times New Roman" w:hAnsi="Times New Roman" w:eastAsia="仿宋" w:cs="Times New Roman"/>
          <w:color w:val="auto"/>
          <w:sz w:val="24"/>
          <w:szCs w:val="24"/>
          <w:highlight w:val="none"/>
          <w:lang w:val="en-US" w:eastAsia="zh-CN"/>
        </w:rPr>
        <w:t>《土地利用现状分类》（GB/T21010-2017）；</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②</w:t>
      </w:r>
      <w:r>
        <w:rPr>
          <w:rFonts w:hint="default" w:ascii="Times New Roman" w:hAnsi="Times New Roman" w:eastAsia="仿宋" w:cs="Times New Roman"/>
          <w:color w:val="auto"/>
          <w:sz w:val="24"/>
          <w:szCs w:val="24"/>
          <w:highlight w:val="none"/>
          <w:lang w:val="en-US" w:eastAsia="zh-CN"/>
        </w:rPr>
        <w:t>《土地复垦条例》（2011年）；</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③</w:t>
      </w:r>
      <w:r>
        <w:rPr>
          <w:rFonts w:hint="default" w:ascii="Times New Roman" w:hAnsi="Times New Roman" w:eastAsia="仿宋" w:cs="Times New Roman"/>
          <w:color w:val="auto"/>
          <w:sz w:val="24"/>
          <w:szCs w:val="24"/>
          <w:highlight w:val="none"/>
          <w:lang w:val="en-US" w:eastAsia="zh-CN"/>
        </w:rPr>
        <w:t>《土地复垦质量控制标准》（TD/T1036-2013）。</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b）项目区土地利用水平</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考虑到本项目损毁土地的特点，土地复垦工作应依据项目区自身生态环境特征，遵循因地制宜的原则，确保复垦方向与原（或周边）土地利用类型尽可能保持一致。采取合适的预防控制和工程措施，使损毁的土地恢复到原生产条件和生产水平，制定的复垦标准原则上不能低于原（或周边）土地利用类型的土壤质量和生产水平。</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c）土地复垦适宜性分析的结果</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根据地方规划、项目区自然和社会经济条件，结合土地复垦适宜性分析结果，针对复垦方向制定相应的复垦标准，选择相适宜的复垦措施。</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d）项目所在地相关权利人的调查意见</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积极调查和听取相关权利人的相关意见和建议，可以提高土地复垦标准的合理性和可行性。本方案在制定复垦标准时，积极与当地自然资源主管部门进行意见交流，深入和调查走访损毁土地的原土地使用权人，结合调查结果，合理确定复垦标准。</w:t>
      </w:r>
    </w:p>
    <w:p>
      <w:pPr>
        <w:pStyle w:val="5"/>
        <w:keepNext w:val="0"/>
        <w:keepLines w:val="0"/>
        <w:tabs>
          <w:tab w:val="left" w:pos="426"/>
        </w:tabs>
        <w:adjustRightInd w:val="0"/>
        <w:snapToGrid w:val="0"/>
        <w:spacing w:before="0" w:after="0" w:line="360" w:lineRule="auto"/>
        <w:ind w:firstLine="482" w:firstLineChars="200"/>
        <w:textAlignment w:val="baseline"/>
        <w:rPr>
          <w:rFonts w:hint="eastAsia" w:ascii="Times New Roman" w:hAnsi="Times New Roman" w:cs="Times New Roman"/>
          <w:b/>
          <w:bCs w:val="0"/>
          <w:kern w:val="0"/>
          <w:szCs w:val="28"/>
          <w:highlight w:val="none"/>
          <w:lang w:val="en-US" w:eastAsia="zh-CN"/>
        </w:rPr>
      </w:pPr>
      <w:bookmarkStart w:id="92" w:name="_Toc6915"/>
      <w:bookmarkStart w:id="93" w:name="_Toc8811"/>
      <w:bookmarkStart w:id="94" w:name="_Toc53225488"/>
      <w:bookmarkStart w:id="95" w:name="_Toc53593078"/>
      <w:bookmarkStart w:id="96" w:name="_Toc270939778"/>
      <w:bookmarkStart w:id="97" w:name="_Toc310364613"/>
      <w:bookmarkStart w:id="98" w:name="_Toc274341639"/>
      <w:bookmarkStart w:id="99" w:name="_Toc270446989"/>
      <w:bookmarkStart w:id="100" w:name="_Toc35967931"/>
      <w:bookmarkStart w:id="101" w:name="_Toc53225591"/>
      <w:r>
        <w:rPr>
          <w:rFonts w:hint="eastAsia" w:ascii="Times New Roman" w:hAnsi="Times New Roman" w:cs="Times New Roman"/>
          <w:b/>
          <w:bCs w:val="0"/>
          <w:kern w:val="0"/>
          <w:szCs w:val="28"/>
          <w:highlight w:val="none"/>
          <w:lang w:val="en-US" w:eastAsia="zh-CN"/>
        </w:rPr>
        <w:t>5.1.2复垦质量要求</w:t>
      </w:r>
      <w:bookmarkEnd w:id="92"/>
      <w:bookmarkEnd w:id="93"/>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a）地表砼拆除，建筑垃圾清理完毕，场地平整后坡度≤3°。</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b）土层厚度：复垦为沙地，无需表土剥离和回填。</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c）土层质量：复垦为沙地，土层质量无要求。</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d）土壤培肥标准：复垦为沙地，无需进行土壤培肥。</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e）复垦后景观与周围景观一致。</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s="Times New Roman"/>
          <w:color w:val="auto"/>
          <w:highlight w:val="none"/>
          <w:lang w:val="en-US" w:eastAsia="zh-CN"/>
        </w:rPr>
      </w:pPr>
      <w:bookmarkStart w:id="102" w:name="_Toc30332"/>
      <w:bookmarkStart w:id="103" w:name="_Toc13562"/>
      <w:r>
        <w:rPr>
          <w:rFonts w:hint="eastAsia" w:cs="Times New Roman"/>
          <w:color w:val="auto"/>
          <w:highlight w:val="none"/>
          <w:lang w:val="en-US" w:eastAsia="zh-CN"/>
        </w:rPr>
        <w:t>5.2预防控制措施</w:t>
      </w:r>
      <w:bookmarkEnd w:id="94"/>
      <w:bookmarkEnd w:id="95"/>
      <w:bookmarkEnd w:id="96"/>
      <w:bookmarkEnd w:id="97"/>
      <w:bookmarkEnd w:id="98"/>
      <w:bookmarkEnd w:id="99"/>
      <w:bookmarkEnd w:id="100"/>
      <w:bookmarkEnd w:id="101"/>
      <w:bookmarkEnd w:id="102"/>
      <w:bookmarkEnd w:id="103"/>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按照“统一规划、源头控制、防复结合”的原则，根据项目建设的特点，制定本项目土地复垦工程预防控制措施。</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a）以工程施工需要为中心，统筹兼顾，全力规划，力求布置紧凑，一方面减少物料运输，另一方面提高</w:t>
      </w:r>
      <w:r>
        <w:rPr>
          <w:rFonts w:hint="eastAsia" w:ascii="Times New Roman" w:hAnsi="Times New Roman" w:eastAsia="仿宋" w:cs="Times New Roman"/>
          <w:color w:val="auto"/>
          <w:sz w:val="24"/>
          <w:szCs w:val="24"/>
          <w:highlight w:val="none"/>
          <w:lang w:val="en-US" w:eastAsia="zh-CN"/>
        </w:rPr>
        <w:t>施工便道</w:t>
      </w:r>
      <w:r>
        <w:rPr>
          <w:rFonts w:hint="default" w:ascii="Times New Roman" w:hAnsi="Times New Roman" w:eastAsia="仿宋" w:cs="Times New Roman"/>
          <w:color w:val="auto"/>
          <w:sz w:val="24"/>
          <w:szCs w:val="24"/>
          <w:highlight w:val="none"/>
          <w:lang w:val="en-US" w:eastAsia="zh-CN"/>
        </w:rPr>
        <w:t>占地的集约节约程度。</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b）施工设施布置尽量满足工程工艺要求，尽量减少施工干扰及物料的二次倒运，从而减少对土地的损毁程度；</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c）合理利用地形地物，尽量减少场地平整工程量，控制施工作业带范围，最大程度减少土地压占；</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d）为减少对工程征地以外植被和土壤的影响，禁止施工人员到非项目区域活动；生产过程中产生的生产、生活垃圾严禁乱堆、乱扔，应放置在指定地点，集中处理，以免污染环境。</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eastAsia" w:cs="Times New Roman"/>
          <w:color w:val="auto"/>
          <w:highlight w:val="none"/>
          <w:lang w:val="en-US" w:eastAsia="zh-CN"/>
        </w:rPr>
      </w:pPr>
      <w:bookmarkStart w:id="104" w:name="_Toc496775645"/>
      <w:bookmarkStart w:id="105" w:name="_Toc28687"/>
      <w:bookmarkStart w:id="106" w:name="_Toc495492025"/>
      <w:bookmarkStart w:id="107" w:name="_Toc495492121"/>
      <w:bookmarkStart w:id="108" w:name="_Toc495652967"/>
      <w:bookmarkStart w:id="109" w:name="_Toc496521312"/>
      <w:bookmarkStart w:id="110" w:name="_Toc28880_WPSOffice_Level1"/>
      <w:bookmarkStart w:id="111" w:name="_Toc495585802"/>
      <w:r>
        <w:rPr>
          <w:rFonts w:hint="eastAsia" w:cs="Times New Roman"/>
          <w:color w:val="auto"/>
          <w:highlight w:val="none"/>
          <w:lang w:val="en-US" w:eastAsia="zh-CN"/>
        </w:rPr>
        <w:t>5.3复垦措施</w:t>
      </w:r>
      <w:bookmarkEnd w:id="104"/>
      <w:bookmarkEnd w:id="105"/>
      <w:bookmarkEnd w:id="106"/>
      <w:bookmarkEnd w:id="107"/>
      <w:bookmarkEnd w:id="108"/>
      <w:bookmarkEnd w:id="109"/>
      <w:bookmarkEnd w:id="110"/>
      <w:bookmarkEnd w:id="111"/>
    </w:p>
    <w:p>
      <w:pPr>
        <w:pStyle w:val="5"/>
        <w:keepNext w:val="0"/>
        <w:keepLines w:val="0"/>
        <w:tabs>
          <w:tab w:val="left" w:pos="426"/>
        </w:tabs>
        <w:adjustRightInd w:val="0"/>
        <w:snapToGrid w:val="0"/>
        <w:spacing w:before="0" w:after="0" w:line="360" w:lineRule="auto"/>
        <w:ind w:firstLine="482" w:firstLineChars="200"/>
        <w:textAlignment w:val="baseline"/>
        <w:rPr>
          <w:rFonts w:hint="eastAsia" w:ascii="Times New Roman" w:hAnsi="Times New Roman" w:cs="Times New Roman"/>
          <w:b/>
          <w:bCs w:val="0"/>
          <w:kern w:val="0"/>
          <w:szCs w:val="28"/>
          <w:highlight w:val="none"/>
          <w:lang w:val="en-US" w:eastAsia="zh-CN"/>
        </w:rPr>
      </w:pPr>
      <w:bookmarkStart w:id="112" w:name="_Toc495492122"/>
      <w:bookmarkStart w:id="113" w:name="_Toc495652968"/>
      <w:bookmarkStart w:id="114" w:name="_Toc11746517"/>
      <w:bookmarkStart w:id="115" w:name="_Toc496775646"/>
      <w:bookmarkStart w:id="116" w:name="_Toc8626_WPSOffice_Level2"/>
      <w:bookmarkStart w:id="117" w:name="_Toc495585803"/>
      <w:bookmarkStart w:id="118" w:name="_Toc5492"/>
      <w:bookmarkStart w:id="119" w:name="_Toc496521313"/>
      <w:bookmarkStart w:id="120" w:name="_Toc18914"/>
      <w:bookmarkStart w:id="121" w:name="_Toc11591965"/>
      <w:r>
        <w:rPr>
          <w:rFonts w:hint="eastAsia" w:ascii="Times New Roman" w:hAnsi="Times New Roman" w:cs="Times New Roman"/>
          <w:b/>
          <w:bCs w:val="0"/>
          <w:kern w:val="0"/>
          <w:szCs w:val="28"/>
          <w:highlight w:val="none"/>
          <w:lang w:val="en-US" w:eastAsia="zh-CN"/>
        </w:rPr>
        <w:t>5.3.1工程技术措施</w:t>
      </w:r>
      <w:bookmarkEnd w:id="112"/>
      <w:bookmarkEnd w:id="113"/>
      <w:bookmarkEnd w:id="114"/>
      <w:bookmarkEnd w:id="115"/>
      <w:bookmarkEnd w:id="116"/>
      <w:bookmarkEnd w:id="117"/>
      <w:bookmarkEnd w:id="118"/>
      <w:bookmarkEnd w:id="119"/>
      <w:bookmarkEnd w:id="120"/>
      <w:bookmarkEnd w:id="121"/>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bookmarkStart w:id="122" w:name="_Toc11591966"/>
      <w:bookmarkStart w:id="123" w:name="_Toc1552_WPSOffice_Level2"/>
      <w:bookmarkStart w:id="124" w:name="_Toc11746518"/>
      <w:bookmarkStart w:id="125" w:name="_Toc495652969"/>
      <w:bookmarkStart w:id="126" w:name="_Toc496521314"/>
      <w:bookmarkStart w:id="127" w:name="_Toc495585804"/>
      <w:bookmarkStart w:id="128" w:name="_Toc495492123"/>
      <w:bookmarkStart w:id="129" w:name="_Toc496775647"/>
      <w:r>
        <w:rPr>
          <w:rFonts w:hint="default" w:ascii="Times New Roman" w:hAnsi="Times New Roman" w:eastAsia="仿宋" w:cs="Times New Roman"/>
          <w:color w:val="auto"/>
          <w:sz w:val="24"/>
          <w:szCs w:val="24"/>
          <w:highlight w:val="none"/>
          <w:lang w:val="en-US" w:eastAsia="zh-CN"/>
        </w:rPr>
        <w:t>土地复垦的工程技术措施即通过一定的工程措施进行造地、整地的过程，同时在造地、整地过程中通过水土保持工程建设减少土地流失发生的可能性，增强再造地貌的稳定性，为生态重建创造有利的条件，主要措施包括：</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a）迹地清理</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经征求环保部门意见，施工</w:t>
      </w:r>
      <w:r>
        <w:rPr>
          <w:rFonts w:hint="eastAsia" w:ascii="Times New Roman" w:hAnsi="Times New Roman" w:eastAsia="仿宋" w:cs="Times New Roman"/>
          <w:color w:val="auto"/>
          <w:sz w:val="24"/>
          <w:szCs w:val="24"/>
          <w:highlight w:val="none"/>
          <w:lang w:val="en-US" w:eastAsia="zh-CN"/>
        </w:rPr>
        <w:t>便道</w:t>
      </w:r>
      <w:r>
        <w:rPr>
          <w:rFonts w:hint="default" w:ascii="Times New Roman" w:hAnsi="Times New Roman" w:eastAsia="仿宋" w:cs="Times New Roman"/>
          <w:color w:val="auto"/>
          <w:sz w:val="24"/>
          <w:szCs w:val="24"/>
          <w:highlight w:val="none"/>
          <w:lang w:val="en-US" w:eastAsia="zh-CN"/>
        </w:rPr>
        <w:t>使用完毕后，对地表固化物进行清除，项目临时用地为施工</w:t>
      </w:r>
      <w:r>
        <w:rPr>
          <w:rFonts w:hint="eastAsia" w:ascii="Times New Roman" w:hAnsi="Times New Roman" w:eastAsia="仿宋" w:cs="Times New Roman"/>
          <w:color w:val="auto"/>
          <w:sz w:val="24"/>
          <w:szCs w:val="24"/>
          <w:highlight w:val="none"/>
          <w:lang w:val="en-US" w:eastAsia="zh-CN"/>
        </w:rPr>
        <w:t>便道</w:t>
      </w:r>
      <w:r>
        <w:rPr>
          <w:rFonts w:hint="default" w:ascii="Times New Roman" w:hAnsi="Times New Roman" w:eastAsia="仿宋" w:cs="Times New Roman"/>
          <w:color w:val="auto"/>
          <w:sz w:val="24"/>
          <w:szCs w:val="24"/>
          <w:highlight w:val="none"/>
          <w:lang w:val="en-US" w:eastAsia="zh-CN"/>
        </w:rPr>
        <w:t>用地，总面积</w:t>
      </w:r>
      <w:r>
        <w:rPr>
          <w:rFonts w:hint="eastAsia" w:ascii="Times New Roman" w:hAnsi="Times New Roman" w:eastAsia="仿宋" w:cs="Times New Roman"/>
          <w:color w:val="auto"/>
          <w:sz w:val="24"/>
          <w:szCs w:val="24"/>
          <w:highlight w:val="none"/>
          <w:lang w:val="en-US" w:eastAsia="zh-CN"/>
        </w:rPr>
        <w:t>2.4296</w:t>
      </w:r>
      <w:r>
        <w:rPr>
          <w:rFonts w:hint="default" w:ascii="Times New Roman" w:hAnsi="Times New Roman" w:eastAsia="仿宋" w:cs="Times New Roman"/>
          <w:color w:val="auto"/>
          <w:sz w:val="24"/>
          <w:szCs w:val="24"/>
          <w:highlight w:val="none"/>
          <w:lang w:val="en-US" w:eastAsia="zh-CN"/>
        </w:rPr>
        <w:t>公顷，对施工便道使用15厘米戈壁料进行场地硬化，待项目主体工程施工结束后拆除机械设施、拆除硬化，并对场地进行清理。</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b</w:t>
      </w:r>
      <w:r>
        <w:rPr>
          <w:rFonts w:hint="default" w:ascii="Times New Roman" w:hAnsi="Times New Roman" w:eastAsia="仿宋" w:cs="Times New Roman"/>
          <w:color w:val="auto"/>
          <w:sz w:val="24"/>
          <w:szCs w:val="24"/>
          <w:highlight w:val="none"/>
          <w:lang w:val="en-US" w:eastAsia="zh-CN"/>
        </w:rPr>
        <w:t>）土地平整</w:t>
      </w:r>
    </w:p>
    <w:p>
      <w:pPr>
        <w:spacing w:line="360" w:lineRule="auto"/>
        <w:ind w:firstLine="480" w:firstLineChars="200"/>
        <w:rPr>
          <w:highlight w:val="none"/>
          <w:lang w:eastAsia="zh-CN"/>
        </w:rPr>
      </w:pPr>
      <w:r>
        <w:rPr>
          <w:rFonts w:hint="default" w:ascii="Times New Roman" w:hAnsi="Times New Roman" w:eastAsia="仿宋" w:cs="Times New Roman"/>
          <w:color w:val="auto"/>
          <w:sz w:val="24"/>
          <w:szCs w:val="24"/>
          <w:highlight w:val="none"/>
          <w:lang w:val="en-US" w:eastAsia="zh-CN"/>
        </w:rPr>
        <w:t>项目建设压占土地后，使原有的土地形态发生改变，会使土地的表层起伏不平。为保证复垦措施的及时实施，根据复垦标准，需采取机械平整，使作业面保持平整，才能够达到复垦方向的要求。由于施工车辆碾压以及人类活动对土地造成压实，造成土壤对降雨入渗能力降低。为了恢复土地的使用功能，需对压占的地表及时进行清理、翻松地表土层，打破紧实层，疏松土壤，增加透水透气性能，恢复其土壤结构。</w:t>
      </w:r>
    </w:p>
    <w:bookmarkEnd w:id="122"/>
    <w:bookmarkEnd w:id="123"/>
    <w:bookmarkEnd w:id="124"/>
    <w:bookmarkEnd w:id="125"/>
    <w:bookmarkEnd w:id="126"/>
    <w:bookmarkEnd w:id="127"/>
    <w:bookmarkEnd w:id="128"/>
    <w:bookmarkEnd w:id="129"/>
    <w:p>
      <w:pPr>
        <w:pStyle w:val="5"/>
        <w:keepNext w:val="0"/>
        <w:keepLines w:val="0"/>
        <w:tabs>
          <w:tab w:val="left" w:pos="426"/>
        </w:tabs>
        <w:adjustRightInd w:val="0"/>
        <w:snapToGrid w:val="0"/>
        <w:spacing w:before="0" w:after="0" w:line="360" w:lineRule="auto"/>
        <w:ind w:firstLine="482" w:firstLineChars="200"/>
        <w:textAlignment w:val="baseline"/>
        <w:rPr>
          <w:rFonts w:hint="eastAsia" w:ascii="Times New Roman" w:hAnsi="Times New Roman" w:cs="Times New Roman"/>
          <w:b/>
          <w:bCs w:val="0"/>
          <w:kern w:val="0"/>
          <w:szCs w:val="28"/>
          <w:highlight w:val="none"/>
          <w:lang w:val="en-US" w:eastAsia="zh-CN"/>
        </w:rPr>
      </w:pPr>
      <w:bookmarkStart w:id="130" w:name="_Toc1014"/>
      <w:bookmarkStart w:id="131" w:name="_Toc21658"/>
      <w:bookmarkStart w:id="132" w:name="_Toc495492124"/>
      <w:bookmarkStart w:id="133" w:name="_Toc495585805"/>
      <w:bookmarkStart w:id="134" w:name="_Toc11591967"/>
      <w:bookmarkStart w:id="135" w:name="_Toc19978_WPSOffice_Level2"/>
      <w:bookmarkStart w:id="136" w:name="_Toc496775648"/>
      <w:bookmarkStart w:id="137" w:name="_Toc11746519"/>
      <w:bookmarkStart w:id="138" w:name="_Toc495652970"/>
      <w:bookmarkStart w:id="139" w:name="_Toc496521315"/>
      <w:r>
        <w:rPr>
          <w:rFonts w:hint="eastAsia" w:ascii="Times New Roman" w:hAnsi="Times New Roman" w:cs="Times New Roman"/>
          <w:b/>
          <w:bCs w:val="0"/>
          <w:kern w:val="0"/>
          <w:szCs w:val="28"/>
          <w:highlight w:val="none"/>
          <w:lang w:val="en-US" w:eastAsia="zh-CN"/>
        </w:rPr>
        <w:t>5.3.2生物和化学措施</w:t>
      </w:r>
      <w:bookmarkEnd w:id="130"/>
      <w:bookmarkEnd w:id="131"/>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在充分利用工程技术复垦措施做好工程复垦工作的前提下开展生物化学措施，由于该项目复垦的方向为沙地，无需进行土壤培肥和植被种植，因此主要通过土地平整和松土改善因项目建设引起的水土流失问题。</w:t>
      </w:r>
    </w:p>
    <w:p>
      <w:pPr>
        <w:pStyle w:val="5"/>
        <w:keepNext w:val="0"/>
        <w:keepLines w:val="0"/>
        <w:tabs>
          <w:tab w:val="left" w:pos="426"/>
        </w:tabs>
        <w:adjustRightInd w:val="0"/>
        <w:snapToGrid w:val="0"/>
        <w:spacing w:before="0" w:after="0" w:line="360" w:lineRule="auto"/>
        <w:ind w:firstLine="482" w:firstLineChars="200"/>
        <w:textAlignment w:val="baseline"/>
        <w:rPr>
          <w:rFonts w:hint="eastAsia" w:ascii="Times New Roman" w:hAnsi="Times New Roman" w:cs="Times New Roman"/>
          <w:b/>
          <w:bCs w:val="0"/>
          <w:kern w:val="0"/>
          <w:szCs w:val="28"/>
          <w:highlight w:val="none"/>
          <w:lang w:val="en-US" w:eastAsia="zh-CN"/>
        </w:rPr>
      </w:pPr>
      <w:bookmarkStart w:id="140" w:name="_Toc20060"/>
      <w:bookmarkStart w:id="141" w:name="_Toc6163"/>
      <w:r>
        <w:rPr>
          <w:rFonts w:hint="eastAsia" w:ascii="Times New Roman" w:hAnsi="Times New Roman" w:cs="Times New Roman"/>
          <w:b/>
          <w:bCs w:val="0"/>
          <w:kern w:val="0"/>
          <w:szCs w:val="28"/>
          <w:highlight w:val="none"/>
          <w:lang w:val="en-US" w:eastAsia="zh-CN"/>
        </w:rPr>
        <w:t>5.3.3监测措施</w:t>
      </w:r>
      <w:bookmarkEnd w:id="132"/>
      <w:bookmarkEnd w:id="133"/>
      <w:bookmarkEnd w:id="134"/>
      <w:bookmarkEnd w:id="135"/>
      <w:bookmarkEnd w:id="136"/>
      <w:bookmarkEnd w:id="137"/>
      <w:bookmarkEnd w:id="138"/>
      <w:bookmarkEnd w:id="139"/>
      <w:bookmarkEnd w:id="140"/>
      <w:bookmarkEnd w:id="141"/>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地形地貌等因素对本项目土地损毁预测的准确性具有影响较大，在复垦设计阶段不可能很好地把握上述问题，难免会出现预测结果、复垦措施与实际情况有偏差。只能借助实际观测与土地复垦效果的监测分析，来验证、完善预测与复垦措施，从而保证复垦目标的实现。因此，必须做好土地复垦监测工作。本项目监测包括原地貌地表状况监测、土地损毁情况监测及复垦效果监测。</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a）原地貌地表状况监测</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原地貌地表状况监测主要对原始地形进行监测，并收集土地利用现状信息、土壤信息等。</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b）土地损毁情况监测</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对土地损毁情况监测，主要是对土地损毁的形式、面积、位置进行监测，用以指导复垦措施的实施，监测方法主要是采用巡查法和GPS进行监测，不定期对施工期临时占地进行实时监测。</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c）复垦土地质量监测</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土地质量监测主要监测土壤物理性中土壤容重变化，土壤养分含量中土壤有机质变化以及土壤PH值的变化。</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bookmarkStart w:id="142" w:name="_Toc495492125"/>
      <w:bookmarkStart w:id="143" w:name="_Toc496775649"/>
      <w:bookmarkStart w:id="144" w:name="_Toc495585806"/>
      <w:bookmarkStart w:id="145" w:name="_Toc30351_WPSOffice_Level2"/>
      <w:bookmarkStart w:id="146" w:name="_Toc496521316"/>
      <w:bookmarkStart w:id="147" w:name="_Toc11746520"/>
      <w:bookmarkStart w:id="148" w:name="_Toc11591968"/>
      <w:bookmarkStart w:id="149" w:name="_Toc495652971"/>
      <w:r>
        <w:rPr>
          <w:rFonts w:hint="eastAsia" w:ascii="Times New Roman" w:hAnsi="Times New Roman" w:eastAsia="仿宋" w:cs="Times New Roman"/>
          <w:color w:val="auto"/>
          <w:sz w:val="24"/>
          <w:szCs w:val="24"/>
          <w:highlight w:val="none"/>
          <w:lang w:val="en-US" w:eastAsia="zh-CN"/>
        </w:rPr>
        <w:t>d）土地复垦监测单位</w:t>
      </w:r>
    </w:p>
    <w:p>
      <w:pPr>
        <w:spacing w:line="360" w:lineRule="auto"/>
        <w:ind w:firstLine="480" w:firstLineChars="200"/>
        <w:rPr>
          <w:rFonts w:hint="eastAsia"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土地复垦需要专人进行监测。临时用地复垦单位应委托有资质的单位，配备专业监测人员定时监测。监测结果应定期上报当地土地主管部门。</w:t>
      </w:r>
    </w:p>
    <w:p>
      <w:pPr>
        <w:pStyle w:val="5"/>
        <w:keepNext w:val="0"/>
        <w:keepLines w:val="0"/>
        <w:tabs>
          <w:tab w:val="left" w:pos="426"/>
        </w:tabs>
        <w:adjustRightInd w:val="0"/>
        <w:snapToGrid w:val="0"/>
        <w:spacing w:before="0" w:after="0" w:line="360" w:lineRule="auto"/>
        <w:ind w:firstLine="482" w:firstLineChars="200"/>
        <w:textAlignment w:val="baseline"/>
        <w:rPr>
          <w:rFonts w:hint="eastAsia" w:ascii="Times New Roman" w:hAnsi="Times New Roman" w:cs="Times New Roman"/>
          <w:b/>
          <w:bCs w:val="0"/>
          <w:kern w:val="0"/>
          <w:szCs w:val="28"/>
          <w:highlight w:val="none"/>
          <w:lang w:val="en-US" w:eastAsia="zh-CN"/>
        </w:rPr>
      </w:pPr>
      <w:bookmarkStart w:id="150" w:name="_Toc12085"/>
      <w:bookmarkStart w:id="151" w:name="_Toc24089"/>
      <w:r>
        <w:rPr>
          <w:rFonts w:hint="eastAsia" w:ascii="Times New Roman" w:hAnsi="Times New Roman" w:cs="Times New Roman"/>
          <w:b/>
          <w:bCs w:val="0"/>
          <w:kern w:val="0"/>
          <w:szCs w:val="28"/>
          <w:highlight w:val="none"/>
          <w:lang w:val="en-US" w:eastAsia="zh-CN"/>
        </w:rPr>
        <w:t>5.3.4管护措施</w:t>
      </w:r>
      <w:bookmarkEnd w:id="142"/>
      <w:bookmarkEnd w:id="143"/>
      <w:bookmarkEnd w:id="144"/>
      <w:bookmarkEnd w:id="145"/>
      <w:bookmarkEnd w:id="146"/>
      <w:bookmarkEnd w:id="147"/>
      <w:bookmarkEnd w:id="148"/>
      <w:bookmarkEnd w:id="149"/>
      <w:bookmarkEnd w:id="150"/>
      <w:bookmarkEnd w:id="151"/>
    </w:p>
    <w:p>
      <w:pPr>
        <w:spacing w:line="360" w:lineRule="auto"/>
        <w:ind w:firstLine="480" w:firstLineChars="200"/>
        <w:rPr>
          <w:rFonts w:hint="eastAsia" w:ascii="Times New Roman" w:hAnsi="Times New Roman" w:eastAsia="仿宋" w:cs="Times New Roman"/>
          <w:color w:val="auto"/>
          <w:sz w:val="24"/>
          <w:szCs w:val="24"/>
          <w:highlight w:val="yellow"/>
          <w:lang w:val="en-US" w:eastAsia="zh-CN"/>
        </w:rPr>
      </w:pPr>
      <w:r>
        <w:rPr>
          <w:rFonts w:hint="eastAsia" w:ascii="Times New Roman" w:hAnsi="Times New Roman" w:eastAsia="仿宋" w:cs="Times New Roman"/>
          <w:color w:val="auto"/>
          <w:sz w:val="24"/>
          <w:szCs w:val="24"/>
          <w:highlight w:val="none"/>
          <w:lang w:val="en-US" w:eastAsia="zh-CN"/>
        </w:rPr>
        <w:t>土地复垦后期管护是巩固复垦成果的关键，是复垦成果发挥社会效益和经济效益的保障，由于项目临时用地复垦方向为沙地，无需种植植被，因此未设置管护期。项目实施完成后要加强宣传，在本复垦项目的明显位置设立标志牌、粉刷标语等形式进行广泛宣传，加强生态环境治理的重大意义的宣传教育，提高广大群众参与管护的积极性；明确管护主体，土地复垦项目完成后，确定管护主体，建立严格的管护责任，落实管护措施，明确管护内容，并作为各级领导的政绩考核指标。</w:t>
      </w:r>
    </w:p>
    <w:p>
      <w:pPr>
        <w:pStyle w:val="2"/>
        <w:rPr>
          <w:rFonts w:hint="default"/>
          <w:lang w:val="en-US" w:eastAsia="zh-CN"/>
        </w:rPr>
      </w:pPr>
    </w:p>
    <w:p>
      <w:pPr>
        <w:rPr>
          <w:rFonts w:hint="default" w:ascii="Times New Roman" w:hAnsi="Times New Roman" w:cs="Times New Roman"/>
          <w:color w:val="auto"/>
          <w:highlight w:val="yellow"/>
          <w:lang w:val="en-US" w:eastAsia="zh-CN"/>
        </w:rPr>
      </w:pPr>
      <w:r>
        <w:rPr>
          <w:rFonts w:hint="default" w:ascii="Times New Roman" w:hAnsi="Times New Roman" w:cs="Times New Roman"/>
          <w:color w:val="auto"/>
          <w:highlight w:val="yellow"/>
          <w:lang w:val="en-US" w:eastAsia="zh-CN"/>
        </w:rPr>
        <w:br w:type="page"/>
      </w:r>
    </w:p>
    <w:p>
      <w:pPr>
        <w:pStyle w:val="3"/>
        <w:rPr>
          <w:rFonts w:hint="default" w:ascii="Times New Roman" w:hAnsi="Times New Roman" w:cs="Times New Roman"/>
          <w:color w:val="auto"/>
          <w:highlight w:val="none"/>
          <w:lang w:val="en-US" w:eastAsia="zh-CN"/>
        </w:rPr>
      </w:pPr>
      <w:bookmarkStart w:id="152" w:name="_Toc24874"/>
      <w:r>
        <w:rPr>
          <w:rFonts w:hint="eastAsia" w:cs="Times New Roman"/>
          <w:color w:val="auto"/>
          <w:highlight w:val="none"/>
          <w:lang w:val="en-US" w:eastAsia="zh-CN"/>
        </w:rPr>
        <w:t>6</w:t>
      </w:r>
      <w:r>
        <w:rPr>
          <w:rFonts w:hint="default" w:ascii="Times New Roman" w:hAnsi="Times New Roman" w:cs="Times New Roman"/>
          <w:color w:val="auto"/>
          <w:highlight w:val="none"/>
          <w:lang w:val="en-US" w:eastAsia="zh-CN"/>
        </w:rPr>
        <w:t>土地复垦工程设计及工程量测算</w:t>
      </w:r>
      <w:bookmarkEnd w:id="18"/>
      <w:bookmarkEnd w:id="87"/>
      <w:bookmarkEnd w:id="152"/>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color w:val="auto"/>
          <w:highlight w:val="none"/>
          <w:lang w:val="en-US" w:eastAsia="zh-CN"/>
        </w:rPr>
      </w:pPr>
      <w:bookmarkStart w:id="153" w:name="_Toc1341"/>
      <w:bookmarkStart w:id="154" w:name="_Toc14308"/>
      <w:r>
        <w:rPr>
          <w:rFonts w:hint="eastAsia" w:cs="Times New Roman"/>
          <w:color w:val="auto"/>
          <w:highlight w:val="none"/>
          <w:lang w:val="en-US" w:eastAsia="zh-CN"/>
        </w:rPr>
        <w:t>6</w:t>
      </w:r>
      <w:r>
        <w:rPr>
          <w:rFonts w:hint="default" w:ascii="Times New Roman" w:hAnsi="Times New Roman" w:cs="Times New Roman"/>
          <w:color w:val="auto"/>
          <w:highlight w:val="none"/>
          <w:lang w:val="en-US" w:eastAsia="zh-CN"/>
        </w:rPr>
        <w:t>.1复垦设计对象和范围</w:t>
      </w:r>
      <w:bookmarkEnd w:id="153"/>
      <w:bookmarkEnd w:id="154"/>
    </w:p>
    <w:p>
      <w:pPr>
        <w:spacing w:line="360" w:lineRule="auto"/>
        <w:ind w:firstLine="480" w:firstLineChars="200"/>
        <w:rPr>
          <w:rFonts w:hint="default" w:ascii="Times New Roman" w:hAnsi="Times New Roman" w:eastAsia="仿宋" w:cs="Times New Roman"/>
          <w:color w:val="auto"/>
          <w:sz w:val="24"/>
          <w:szCs w:val="24"/>
          <w:highlight w:val="none"/>
          <w:lang w:eastAsia="zh-CN"/>
        </w:rPr>
      </w:pPr>
      <w:r>
        <w:rPr>
          <w:rFonts w:hint="default" w:ascii="Times New Roman" w:hAnsi="Times New Roman" w:eastAsia="仿宋" w:cs="Times New Roman"/>
          <w:color w:val="auto"/>
          <w:sz w:val="24"/>
          <w:szCs w:val="24"/>
          <w:highlight w:val="none"/>
          <w:lang w:eastAsia="zh-CN"/>
        </w:rPr>
        <w:t>根据土地复垦方案编制规程的有关要求，结合本项目施工建设情况，本方案复垦工程设计对象为施工建设过程中造成的损毁土地，且属于复垦责任范围内的损毁面积为</w:t>
      </w:r>
      <w:r>
        <w:rPr>
          <w:rFonts w:hint="eastAsia" w:ascii="Times New Roman" w:hAnsi="Times New Roman" w:eastAsia="仿宋" w:cs="Times New Roman"/>
          <w:color w:val="auto"/>
          <w:sz w:val="24"/>
          <w:szCs w:val="24"/>
          <w:highlight w:val="none"/>
          <w:lang w:val="en-US" w:eastAsia="zh-CN"/>
        </w:rPr>
        <w:t>2.4296</w:t>
      </w:r>
      <w:r>
        <w:rPr>
          <w:rFonts w:hint="default" w:ascii="Times New Roman" w:hAnsi="Times New Roman" w:eastAsia="仿宋" w:cs="Times New Roman"/>
          <w:color w:val="auto"/>
          <w:sz w:val="24"/>
          <w:szCs w:val="24"/>
          <w:highlight w:val="none"/>
          <w:lang w:eastAsia="zh-CN"/>
        </w:rPr>
        <w:t>公顷。根据复垦适宜性评价结果，本项目对</w:t>
      </w:r>
      <w:r>
        <w:rPr>
          <w:rFonts w:hint="eastAsia" w:ascii="Times New Roman" w:hAnsi="Times New Roman" w:eastAsia="仿宋" w:cs="Times New Roman"/>
          <w:color w:val="auto"/>
          <w:sz w:val="24"/>
          <w:szCs w:val="24"/>
          <w:highlight w:val="none"/>
          <w:lang w:val="en-US" w:eastAsia="zh-CN"/>
        </w:rPr>
        <w:t>施工便道</w:t>
      </w:r>
      <w:r>
        <w:rPr>
          <w:rFonts w:hint="default" w:ascii="Times New Roman" w:hAnsi="Times New Roman" w:eastAsia="仿宋" w:cs="Times New Roman"/>
          <w:color w:val="auto"/>
          <w:sz w:val="24"/>
          <w:szCs w:val="24"/>
          <w:highlight w:val="none"/>
          <w:lang w:val="en-US" w:eastAsia="zh-CN"/>
        </w:rPr>
        <w:t>损毁临时用地</w:t>
      </w:r>
      <w:r>
        <w:rPr>
          <w:rFonts w:hint="default" w:ascii="Times New Roman" w:hAnsi="Times New Roman" w:eastAsia="仿宋" w:cs="Times New Roman"/>
          <w:color w:val="auto"/>
          <w:sz w:val="24"/>
          <w:szCs w:val="24"/>
          <w:highlight w:val="none"/>
          <w:lang w:eastAsia="zh-CN"/>
        </w:rPr>
        <w:t>进行复垦工程设计。</w:t>
      </w:r>
    </w:p>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color w:val="auto"/>
          <w:highlight w:val="none"/>
          <w:lang w:val="en-US" w:eastAsia="zh-CN"/>
        </w:rPr>
      </w:pPr>
      <w:bookmarkStart w:id="155" w:name="_Toc53225492"/>
      <w:bookmarkStart w:id="156" w:name="_Toc53225602"/>
      <w:bookmarkStart w:id="157" w:name="_Toc18921"/>
      <w:bookmarkStart w:id="158" w:name="_Toc53593082"/>
      <w:bookmarkStart w:id="159" w:name="_Toc19233"/>
      <w:r>
        <w:rPr>
          <w:rFonts w:hint="eastAsia" w:cs="Times New Roman"/>
          <w:color w:val="auto"/>
          <w:highlight w:val="none"/>
          <w:lang w:val="en-US" w:eastAsia="zh-CN"/>
        </w:rPr>
        <w:t>6</w:t>
      </w:r>
      <w:r>
        <w:rPr>
          <w:rFonts w:hint="default" w:ascii="Times New Roman" w:hAnsi="Times New Roman" w:cs="Times New Roman"/>
          <w:color w:val="auto"/>
          <w:highlight w:val="none"/>
          <w:lang w:val="en-US" w:eastAsia="zh-CN"/>
        </w:rPr>
        <w:t>.2复垦工程设计及工程量测算</w:t>
      </w:r>
      <w:bookmarkEnd w:id="155"/>
      <w:bookmarkEnd w:id="156"/>
      <w:bookmarkEnd w:id="157"/>
      <w:bookmarkEnd w:id="158"/>
      <w:bookmarkEnd w:id="159"/>
    </w:p>
    <w:p>
      <w:pPr>
        <w:spacing w:line="360" w:lineRule="auto"/>
        <w:ind w:firstLine="480" w:firstLineChars="200"/>
        <w:rPr>
          <w:rFonts w:hint="default" w:ascii="Times New Roman" w:hAnsi="Times New Roman" w:eastAsia="仿宋" w:cs="Times New Roman"/>
          <w:color w:val="auto"/>
          <w:sz w:val="24"/>
          <w:szCs w:val="24"/>
          <w:highlight w:val="none"/>
          <w:lang w:eastAsia="zh-CN"/>
        </w:rPr>
      </w:pPr>
      <w:bookmarkStart w:id="160" w:name="_Toc53225603"/>
      <w:r>
        <w:rPr>
          <w:rFonts w:hint="default" w:ascii="Times New Roman" w:hAnsi="Times New Roman" w:eastAsia="仿宋" w:cs="Times New Roman"/>
          <w:color w:val="auto"/>
          <w:sz w:val="24"/>
          <w:szCs w:val="24"/>
          <w:highlight w:val="none"/>
          <w:lang w:eastAsia="zh-CN"/>
        </w:rPr>
        <w:t>本项目复垦区为</w:t>
      </w:r>
      <w:r>
        <w:rPr>
          <w:rFonts w:hint="eastAsia" w:ascii="Times New Roman" w:hAnsi="Times New Roman" w:eastAsia="仿宋" w:cs="Times New Roman"/>
          <w:color w:val="auto"/>
          <w:sz w:val="24"/>
          <w:szCs w:val="24"/>
          <w:highlight w:val="none"/>
          <w:lang w:val="en-US" w:eastAsia="zh-CN"/>
        </w:rPr>
        <w:t>施工便道</w:t>
      </w:r>
      <w:r>
        <w:rPr>
          <w:rFonts w:hint="default" w:ascii="Times New Roman" w:hAnsi="Times New Roman" w:eastAsia="仿宋" w:cs="Times New Roman"/>
          <w:color w:val="auto"/>
          <w:sz w:val="24"/>
          <w:szCs w:val="24"/>
          <w:highlight w:val="none"/>
          <w:lang w:eastAsia="zh-CN"/>
        </w:rPr>
        <w:t>，用地</w:t>
      </w:r>
      <w:r>
        <w:rPr>
          <w:rFonts w:hint="default" w:ascii="Times New Roman" w:hAnsi="Times New Roman" w:eastAsia="仿宋" w:cs="Times New Roman"/>
          <w:color w:val="auto"/>
          <w:sz w:val="24"/>
          <w:szCs w:val="24"/>
          <w:highlight w:val="none"/>
          <w:lang w:val="en-US" w:eastAsia="zh-CN"/>
        </w:rPr>
        <w:t>总面积</w:t>
      </w:r>
      <w:r>
        <w:rPr>
          <w:rFonts w:hint="eastAsia" w:ascii="Times New Roman" w:hAnsi="Times New Roman" w:eastAsia="仿宋" w:cs="Times New Roman"/>
          <w:color w:val="auto"/>
          <w:sz w:val="24"/>
          <w:szCs w:val="24"/>
          <w:highlight w:val="none"/>
          <w:lang w:val="en-US" w:eastAsia="zh-CN"/>
        </w:rPr>
        <w:t>2.4296</w:t>
      </w:r>
      <w:r>
        <w:rPr>
          <w:rFonts w:hint="default" w:ascii="Times New Roman" w:hAnsi="Times New Roman" w:eastAsia="仿宋" w:cs="Times New Roman"/>
          <w:color w:val="auto"/>
          <w:sz w:val="24"/>
          <w:szCs w:val="24"/>
          <w:highlight w:val="none"/>
          <w:lang w:eastAsia="zh-CN"/>
        </w:rPr>
        <w:t>公顷，复垦方向</w:t>
      </w:r>
      <w:r>
        <w:rPr>
          <w:rFonts w:hint="default" w:ascii="Times New Roman" w:hAnsi="Times New Roman" w:eastAsia="仿宋" w:cs="Times New Roman"/>
          <w:color w:val="auto"/>
          <w:sz w:val="24"/>
          <w:szCs w:val="24"/>
          <w:highlight w:val="none"/>
          <w:lang w:val="en-US" w:eastAsia="zh-CN"/>
        </w:rPr>
        <w:t>为</w:t>
      </w:r>
      <w:r>
        <w:rPr>
          <w:rFonts w:hint="eastAsia" w:ascii="Times New Roman" w:hAnsi="Times New Roman" w:eastAsia="仿宋" w:cs="Times New Roman"/>
          <w:color w:val="auto"/>
          <w:sz w:val="24"/>
          <w:szCs w:val="24"/>
          <w:highlight w:val="none"/>
          <w:lang w:val="en-US" w:eastAsia="zh-CN"/>
        </w:rPr>
        <w:t>沙地</w:t>
      </w:r>
      <w:r>
        <w:rPr>
          <w:rFonts w:hint="default" w:ascii="Times New Roman" w:hAnsi="Times New Roman" w:eastAsia="仿宋" w:cs="Times New Roman"/>
          <w:color w:val="auto"/>
          <w:sz w:val="24"/>
          <w:szCs w:val="24"/>
          <w:highlight w:val="none"/>
          <w:lang w:eastAsia="zh-CN"/>
        </w:rPr>
        <w:t>。本方案采取的工程措施包括</w:t>
      </w:r>
      <w:r>
        <w:rPr>
          <w:rFonts w:hint="eastAsia" w:ascii="Times New Roman" w:hAnsi="Times New Roman" w:eastAsia="仿宋" w:cs="Times New Roman"/>
          <w:color w:val="auto"/>
          <w:sz w:val="24"/>
          <w:szCs w:val="24"/>
          <w:highlight w:val="none"/>
          <w:lang w:eastAsia="zh-CN"/>
        </w:rPr>
        <w:t>地表固化物的清理、垃圾清运和土地平整</w:t>
      </w:r>
      <w:r>
        <w:rPr>
          <w:rFonts w:hint="default" w:ascii="Times New Roman" w:hAnsi="Times New Roman" w:eastAsia="仿宋" w:cs="Times New Roman"/>
          <w:color w:val="auto"/>
          <w:sz w:val="24"/>
          <w:szCs w:val="24"/>
          <w:highlight w:val="none"/>
          <w:lang w:eastAsia="zh-CN"/>
        </w:rPr>
        <w:t>。</w:t>
      </w:r>
    </w:p>
    <w:p>
      <w:pPr>
        <w:spacing w:line="360" w:lineRule="auto"/>
        <w:ind w:firstLine="482" w:firstLineChars="200"/>
        <w:rPr>
          <w:rFonts w:hint="default" w:ascii="Times New Roman" w:hAnsi="Times New Roman" w:eastAsia="仿宋" w:cs="Times New Roman"/>
          <w:b/>
          <w:bCs/>
          <w:color w:val="auto"/>
          <w:sz w:val="24"/>
          <w:szCs w:val="24"/>
          <w:highlight w:val="none"/>
          <w:lang w:val="en-US" w:eastAsia="zh-CN"/>
        </w:rPr>
      </w:pPr>
      <w:r>
        <w:rPr>
          <w:rFonts w:hint="eastAsia" w:ascii="Times New Roman" w:hAnsi="Times New Roman" w:eastAsia="仿宋" w:cs="Times New Roman"/>
          <w:b/>
          <w:bCs/>
          <w:color w:val="auto"/>
          <w:sz w:val="24"/>
          <w:szCs w:val="24"/>
          <w:highlight w:val="none"/>
          <w:lang w:val="en-US" w:eastAsia="zh-CN"/>
        </w:rPr>
        <w:t>a</w:t>
      </w:r>
      <w:r>
        <w:rPr>
          <w:rFonts w:hint="default" w:ascii="Times New Roman" w:hAnsi="Times New Roman" w:eastAsia="仿宋" w:cs="Times New Roman"/>
          <w:b/>
          <w:bCs/>
          <w:color w:val="auto"/>
          <w:sz w:val="24"/>
          <w:szCs w:val="24"/>
          <w:highlight w:val="none"/>
          <w:lang w:val="en-US" w:eastAsia="zh-CN"/>
        </w:rPr>
        <w:t>）地表固化物的清理</w:t>
      </w:r>
    </w:p>
    <w:p>
      <w:pP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eastAsia="zh-CN"/>
        </w:rPr>
        <w:t>利用机械对硬化场地地表固化物进行清除，根据项目前期计划，</w:t>
      </w:r>
      <w:r>
        <w:rPr>
          <w:rFonts w:hint="default" w:ascii="Times New Roman" w:hAnsi="Times New Roman" w:eastAsia="仿宋" w:cs="Times New Roman"/>
          <w:color w:val="auto"/>
          <w:sz w:val="24"/>
          <w:szCs w:val="24"/>
          <w:highlight w:val="none"/>
          <w:lang w:val="en-US" w:eastAsia="zh-CN"/>
        </w:rPr>
        <w:t>施工便道砂砾石硬化面积</w:t>
      </w:r>
      <w:r>
        <w:rPr>
          <w:rFonts w:hint="eastAsia" w:ascii="Times New Roman" w:hAnsi="Times New Roman" w:eastAsia="仿宋" w:cs="Times New Roman"/>
          <w:color w:val="auto"/>
          <w:sz w:val="24"/>
          <w:szCs w:val="24"/>
          <w:highlight w:val="none"/>
          <w:lang w:val="en-US" w:eastAsia="zh-CN"/>
        </w:rPr>
        <w:t>2.4296</w:t>
      </w:r>
      <w:r>
        <w:rPr>
          <w:rFonts w:hint="default" w:ascii="Times New Roman" w:hAnsi="Times New Roman" w:eastAsia="仿宋" w:cs="Times New Roman"/>
          <w:color w:val="auto"/>
          <w:sz w:val="24"/>
          <w:szCs w:val="24"/>
          <w:highlight w:val="none"/>
          <w:lang w:val="en-US" w:eastAsia="zh-CN"/>
        </w:rPr>
        <w:t>公顷，</w:t>
      </w:r>
      <w:r>
        <w:rPr>
          <w:rFonts w:hint="default" w:ascii="Times New Roman" w:hAnsi="Times New Roman" w:eastAsia="仿宋" w:cs="Times New Roman"/>
          <w:color w:val="auto"/>
          <w:sz w:val="24"/>
          <w:szCs w:val="24"/>
          <w:highlight w:val="none"/>
          <w:lang w:eastAsia="zh-CN"/>
        </w:rPr>
        <w:t>硬化</w:t>
      </w:r>
      <w:r>
        <w:rPr>
          <w:rFonts w:hint="default" w:ascii="Times New Roman" w:hAnsi="Times New Roman" w:eastAsia="仿宋" w:cs="Times New Roman"/>
          <w:color w:val="auto"/>
          <w:sz w:val="24"/>
          <w:szCs w:val="24"/>
          <w:highlight w:val="none"/>
          <w:lang w:val="en-US" w:eastAsia="zh-CN"/>
        </w:rPr>
        <w:t>厚度</w:t>
      </w:r>
      <w:r>
        <w:rPr>
          <w:rFonts w:hint="eastAsia" w:ascii="Times New Roman" w:hAnsi="Times New Roman" w:eastAsia="仿宋" w:cs="Times New Roman"/>
          <w:color w:val="auto"/>
          <w:sz w:val="24"/>
          <w:szCs w:val="24"/>
          <w:highlight w:val="none"/>
          <w:lang w:val="en-US" w:eastAsia="zh-CN"/>
        </w:rPr>
        <w:t>15</w:t>
      </w:r>
      <w:r>
        <w:rPr>
          <w:rFonts w:hint="default" w:ascii="Times New Roman" w:hAnsi="Times New Roman" w:eastAsia="仿宋" w:cs="Times New Roman"/>
          <w:color w:val="auto"/>
          <w:sz w:val="24"/>
          <w:szCs w:val="24"/>
          <w:highlight w:val="none"/>
          <w:lang w:val="en-US" w:eastAsia="zh-CN"/>
        </w:rPr>
        <w:t>厘米，硬化拆除量为</w:t>
      </w:r>
      <w:r>
        <w:rPr>
          <w:rFonts w:hint="eastAsia" w:ascii="Times New Roman" w:hAnsi="Times New Roman" w:eastAsia="仿宋" w:cs="Times New Roman"/>
          <w:color w:val="auto"/>
          <w:sz w:val="24"/>
          <w:szCs w:val="24"/>
          <w:highlight w:val="none"/>
          <w:lang w:val="en-US" w:eastAsia="zh-CN"/>
        </w:rPr>
        <w:t>3644.40</w:t>
      </w:r>
      <w:r>
        <w:rPr>
          <w:rFonts w:hint="default" w:ascii="Times New Roman" w:hAnsi="Times New Roman" w:eastAsia="仿宋" w:cs="Times New Roman"/>
          <w:color w:val="auto"/>
          <w:sz w:val="24"/>
          <w:szCs w:val="24"/>
          <w:highlight w:val="none"/>
          <w:lang w:val="en-US" w:eastAsia="zh-CN"/>
        </w:rPr>
        <w:t>立方米。</w:t>
      </w:r>
    </w:p>
    <w:p>
      <w:pPr>
        <w:pStyle w:val="2"/>
        <w:jc w:val="center"/>
        <w:rPr>
          <w:rFonts w:hint="default"/>
          <w:lang w:val="en-US" w:eastAsia="zh-CN"/>
        </w:rPr>
      </w:pPr>
      <w:r>
        <w:rPr>
          <w:rFonts w:hint="default"/>
          <w:lang w:val="en-US" w:eastAsia="zh-CN"/>
        </w:rPr>
        <w:drawing>
          <wp:inline distT="0" distB="0" distL="114300" distR="114300">
            <wp:extent cx="4568190" cy="972185"/>
            <wp:effectExtent l="0" t="0" r="0" b="0"/>
            <wp:docPr id="25" name="图片 25" descr="1708923188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708923188038"/>
                    <pic:cNvPicPr>
                      <a:picLocks noChangeAspect="1"/>
                    </pic:cNvPicPr>
                  </pic:nvPicPr>
                  <pic:blipFill>
                    <a:blip r:embed="rId19"/>
                    <a:srcRect l="665" t="10662" r="-319" b="33051"/>
                    <a:stretch>
                      <a:fillRect/>
                    </a:stretch>
                  </pic:blipFill>
                  <pic:spPr>
                    <a:xfrm>
                      <a:off x="0" y="0"/>
                      <a:ext cx="4568190" cy="972185"/>
                    </a:xfrm>
                    <a:prstGeom prst="rect">
                      <a:avLst/>
                    </a:prstGeom>
                  </pic:spPr>
                </pic:pic>
              </a:graphicData>
            </a:graphic>
          </wp:inline>
        </w:drawing>
      </w:r>
    </w:p>
    <w:p>
      <w:pPr>
        <w:pStyle w:val="43"/>
        <w:keepNext w:val="0"/>
        <w:keepLines w:val="0"/>
        <w:pageBreakBefore w:val="0"/>
        <w:widowControl/>
        <w:shd w:val="clear"/>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图</w:t>
      </w:r>
      <w:r>
        <w:rPr>
          <w:rFonts w:hint="eastAsia" w:ascii="Times New Roman" w:hAnsi="Times New Roman" w:cs="Times New Roman"/>
          <w:color w:val="auto"/>
          <w:sz w:val="21"/>
          <w:szCs w:val="21"/>
          <w:highlight w:val="none"/>
          <w:lang w:val="en-US" w:eastAsia="zh-CN"/>
        </w:rPr>
        <w:t>6</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 xml:space="preserve"> 地表固化物的清理示意图</w:t>
      </w:r>
    </w:p>
    <w:p>
      <w:pPr>
        <w:spacing w:line="360" w:lineRule="auto"/>
        <w:ind w:firstLine="482" w:firstLineChars="200"/>
        <w:rPr>
          <w:rFonts w:hint="default" w:ascii="Times New Roman" w:hAnsi="Times New Roman" w:eastAsia="仿宋" w:cs="Times New Roman"/>
          <w:b/>
          <w:bCs/>
          <w:color w:val="auto"/>
          <w:sz w:val="24"/>
          <w:szCs w:val="24"/>
          <w:highlight w:val="none"/>
          <w:lang w:val="en-US" w:eastAsia="zh-CN"/>
        </w:rPr>
      </w:pPr>
      <w:r>
        <w:rPr>
          <w:rFonts w:hint="eastAsia" w:ascii="Times New Roman" w:hAnsi="Times New Roman" w:eastAsia="仿宋" w:cs="Times New Roman"/>
          <w:b/>
          <w:bCs/>
          <w:color w:val="auto"/>
          <w:sz w:val="24"/>
          <w:szCs w:val="24"/>
          <w:highlight w:val="none"/>
          <w:lang w:val="en-US" w:eastAsia="zh-CN"/>
        </w:rPr>
        <w:t>b</w:t>
      </w:r>
      <w:r>
        <w:rPr>
          <w:rFonts w:hint="default" w:ascii="Times New Roman" w:hAnsi="Times New Roman" w:eastAsia="仿宋" w:cs="Times New Roman"/>
          <w:b/>
          <w:bCs/>
          <w:color w:val="auto"/>
          <w:sz w:val="24"/>
          <w:szCs w:val="24"/>
          <w:highlight w:val="none"/>
          <w:lang w:val="en-US" w:eastAsia="zh-CN"/>
        </w:rPr>
        <w:t>）垃圾清运</w:t>
      </w:r>
    </w:p>
    <w:p>
      <w:pPr>
        <w:spacing w:line="360" w:lineRule="auto"/>
        <w:ind w:firstLine="480" w:firstLineChars="200"/>
        <w:rPr>
          <w:rFonts w:hint="default" w:ascii="Times New Roman" w:hAnsi="Times New Roman" w:eastAsia="仿宋" w:cs="Times New Roman"/>
          <w:color w:val="auto"/>
          <w:sz w:val="24"/>
          <w:szCs w:val="24"/>
          <w:highlight w:val="none"/>
          <w:lang w:eastAsia="zh-CN"/>
        </w:rPr>
      </w:pPr>
      <w:r>
        <w:rPr>
          <w:rFonts w:hint="default" w:ascii="Times New Roman" w:hAnsi="Times New Roman" w:eastAsia="仿宋" w:cs="Times New Roman"/>
          <w:color w:val="auto"/>
          <w:sz w:val="24"/>
          <w:szCs w:val="24"/>
          <w:highlight w:val="none"/>
          <w:lang w:eastAsia="zh-CN"/>
        </w:rPr>
        <w:t>清运垃圾主要为场地硬化</w:t>
      </w:r>
      <w:r>
        <w:rPr>
          <w:rFonts w:hint="default" w:ascii="Times New Roman" w:hAnsi="Times New Roman" w:eastAsia="仿宋" w:cs="Times New Roman"/>
          <w:color w:val="auto"/>
          <w:sz w:val="24"/>
          <w:szCs w:val="24"/>
          <w:highlight w:val="none"/>
          <w:lang w:val="en-US" w:eastAsia="zh-CN"/>
        </w:rPr>
        <w:t>砂砾石</w:t>
      </w:r>
      <w:r>
        <w:rPr>
          <w:rFonts w:hint="default" w:ascii="Times New Roman" w:hAnsi="Times New Roman" w:eastAsia="仿宋" w:cs="Times New Roman"/>
          <w:color w:val="auto"/>
          <w:sz w:val="24"/>
          <w:szCs w:val="24"/>
          <w:highlight w:val="none"/>
          <w:lang w:eastAsia="zh-CN"/>
        </w:rPr>
        <w:t>产生的，</w:t>
      </w:r>
      <w:r>
        <w:rPr>
          <w:rFonts w:hint="eastAsia" w:ascii="Times New Roman" w:hAnsi="Times New Roman" w:eastAsia="仿宋" w:cs="Times New Roman"/>
          <w:color w:val="auto"/>
          <w:sz w:val="24"/>
          <w:szCs w:val="24"/>
          <w:highlight w:val="none"/>
          <w:lang w:val="en-US" w:eastAsia="zh-CN"/>
        </w:rPr>
        <w:t>清运至公路主线重复利用</w:t>
      </w:r>
      <w:r>
        <w:rPr>
          <w:rFonts w:hint="default" w:ascii="Times New Roman" w:hAnsi="Times New Roman" w:eastAsia="仿宋" w:cs="Times New Roman"/>
          <w:color w:val="auto"/>
          <w:sz w:val="24"/>
          <w:szCs w:val="24"/>
          <w:highlight w:val="none"/>
          <w:lang w:eastAsia="zh-CN"/>
        </w:rPr>
        <w:t>，清运垃圾</w:t>
      </w:r>
      <w:r>
        <w:rPr>
          <w:rFonts w:hint="eastAsia" w:ascii="Times New Roman" w:hAnsi="Times New Roman" w:eastAsia="仿宋" w:cs="Times New Roman"/>
          <w:color w:val="auto"/>
          <w:sz w:val="24"/>
          <w:szCs w:val="24"/>
          <w:highlight w:val="none"/>
          <w:lang w:val="en-US" w:eastAsia="zh-CN"/>
        </w:rPr>
        <w:t>3644.40</w:t>
      </w:r>
      <w:r>
        <w:rPr>
          <w:rFonts w:hint="default" w:ascii="Times New Roman" w:hAnsi="Times New Roman" w:eastAsia="仿宋" w:cs="Times New Roman"/>
          <w:color w:val="auto"/>
          <w:sz w:val="24"/>
          <w:szCs w:val="24"/>
          <w:highlight w:val="none"/>
          <w:lang w:val="en-US" w:eastAsia="zh-CN"/>
        </w:rPr>
        <w:t>立方米</w:t>
      </w:r>
      <w:r>
        <w:rPr>
          <w:rFonts w:hint="default" w:ascii="Times New Roman" w:hAnsi="Times New Roman" w:eastAsia="仿宋" w:cs="Times New Roman"/>
          <w:color w:val="auto"/>
          <w:sz w:val="24"/>
          <w:szCs w:val="24"/>
          <w:highlight w:val="none"/>
          <w:lang w:eastAsia="zh-CN"/>
        </w:rPr>
        <w:t>，</w:t>
      </w:r>
      <w:r>
        <w:rPr>
          <w:rFonts w:hint="default" w:ascii="Times New Roman" w:hAnsi="Times New Roman" w:eastAsia="仿宋" w:cs="Times New Roman"/>
          <w:color w:val="auto"/>
          <w:sz w:val="24"/>
          <w:szCs w:val="24"/>
          <w:highlight w:val="none"/>
          <w:lang w:val="en-US" w:eastAsia="zh-CN"/>
        </w:rPr>
        <w:t>运距</w:t>
      </w:r>
      <w:r>
        <w:rPr>
          <w:rFonts w:hint="eastAsia" w:ascii="Times New Roman" w:hAnsi="Times New Roman" w:eastAsia="仿宋" w:cs="Times New Roman"/>
          <w:color w:val="auto"/>
          <w:sz w:val="24"/>
          <w:szCs w:val="24"/>
          <w:highlight w:val="none"/>
          <w:lang w:val="en-US" w:eastAsia="zh-CN"/>
        </w:rPr>
        <w:t>3</w:t>
      </w:r>
      <w:r>
        <w:rPr>
          <w:rFonts w:hint="default" w:ascii="Times New Roman" w:hAnsi="Times New Roman" w:eastAsia="仿宋" w:cs="Times New Roman"/>
          <w:color w:val="auto"/>
          <w:sz w:val="24"/>
          <w:szCs w:val="24"/>
          <w:highlight w:val="none"/>
          <w:lang w:eastAsia="zh-CN"/>
        </w:rPr>
        <w:t>公里左右。</w:t>
      </w:r>
    </w:p>
    <w:p>
      <w:pPr>
        <w:pStyle w:val="2"/>
        <w:rPr>
          <w:rFonts w:hint="default"/>
          <w:lang w:eastAsia="zh-CN"/>
        </w:rPr>
      </w:pPr>
      <w:r>
        <w:rPr>
          <w:rFonts w:hint="default"/>
          <w:lang w:eastAsia="zh-CN"/>
        </w:rPr>
        <w:drawing>
          <wp:inline distT="0" distB="0" distL="114300" distR="114300">
            <wp:extent cx="5269230" cy="1113155"/>
            <wp:effectExtent l="0" t="0" r="7620" b="10795"/>
            <wp:docPr id="26" name="图片 26" descr="170892347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708923477181"/>
                    <pic:cNvPicPr>
                      <a:picLocks noChangeAspect="1"/>
                    </pic:cNvPicPr>
                  </pic:nvPicPr>
                  <pic:blipFill>
                    <a:blip r:embed="rId20"/>
                    <a:stretch>
                      <a:fillRect/>
                    </a:stretch>
                  </pic:blipFill>
                  <pic:spPr>
                    <a:xfrm>
                      <a:off x="0" y="0"/>
                      <a:ext cx="5269230" cy="1113155"/>
                    </a:xfrm>
                    <a:prstGeom prst="rect">
                      <a:avLst/>
                    </a:prstGeom>
                  </pic:spPr>
                </pic:pic>
              </a:graphicData>
            </a:graphic>
          </wp:inline>
        </w:drawing>
      </w:r>
    </w:p>
    <w:p>
      <w:pPr>
        <w:pStyle w:val="43"/>
        <w:keepNext w:val="0"/>
        <w:keepLines w:val="0"/>
        <w:pageBreakBefore w:val="0"/>
        <w:widowControl/>
        <w:shd w:val="clear"/>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图</w:t>
      </w:r>
      <w:r>
        <w:rPr>
          <w:rFonts w:hint="eastAsia" w:ascii="Times New Roman" w:hAnsi="Times New Roman" w:cs="Times New Roman"/>
          <w:color w:val="auto"/>
          <w:sz w:val="21"/>
          <w:szCs w:val="21"/>
          <w:highlight w:val="none"/>
          <w:lang w:val="en-US" w:eastAsia="zh-CN"/>
        </w:rPr>
        <w:t>6</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 xml:space="preserve"> </w:t>
      </w:r>
      <w:r>
        <w:rPr>
          <w:rFonts w:hint="eastAsia" w:ascii="Times New Roman" w:hAnsi="Times New Roman" w:cs="Times New Roman"/>
          <w:color w:val="auto"/>
          <w:sz w:val="21"/>
          <w:szCs w:val="21"/>
          <w:highlight w:val="none"/>
          <w:lang w:val="en-US" w:eastAsia="zh-CN"/>
        </w:rPr>
        <w:t>垃圾清运</w:t>
      </w:r>
      <w:r>
        <w:rPr>
          <w:rFonts w:hint="default" w:ascii="Times New Roman" w:hAnsi="Times New Roman" w:cs="Times New Roman"/>
          <w:color w:val="auto"/>
          <w:sz w:val="21"/>
          <w:szCs w:val="21"/>
          <w:highlight w:val="none"/>
          <w:lang w:val="en-US" w:eastAsia="zh-CN"/>
        </w:rPr>
        <w:t>示意图</w:t>
      </w:r>
    </w:p>
    <w:p>
      <w:pPr>
        <w:spacing w:line="360" w:lineRule="auto"/>
        <w:ind w:firstLine="482" w:firstLineChars="200"/>
        <w:rPr>
          <w:rFonts w:hint="default" w:ascii="Times New Roman" w:hAnsi="Times New Roman" w:eastAsia="仿宋" w:cs="Times New Roman"/>
          <w:b/>
          <w:bCs/>
          <w:color w:val="auto"/>
          <w:sz w:val="24"/>
          <w:szCs w:val="24"/>
          <w:highlight w:val="none"/>
          <w:lang w:val="en-US" w:eastAsia="zh-CN"/>
        </w:rPr>
      </w:pPr>
      <w:r>
        <w:rPr>
          <w:rFonts w:hint="eastAsia" w:ascii="Times New Roman" w:hAnsi="Times New Roman" w:eastAsia="仿宋" w:cs="Times New Roman"/>
          <w:b/>
          <w:bCs/>
          <w:color w:val="auto"/>
          <w:sz w:val="24"/>
          <w:szCs w:val="24"/>
          <w:highlight w:val="none"/>
          <w:lang w:val="en-US" w:eastAsia="zh-CN"/>
        </w:rPr>
        <w:t>c</w:t>
      </w:r>
      <w:r>
        <w:rPr>
          <w:rFonts w:hint="default" w:ascii="Times New Roman" w:hAnsi="Times New Roman" w:eastAsia="仿宋" w:cs="Times New Roman"/>
          <w:b/>
          <w:bCs/>
          <w:color w:val="auto"/>
          <w:sz w:val="24"/>
          <w:szCs w:val="24"/>
          <w:highlight w:val="none"/>
          <w:lang w:val="en-US" w:eastAsia="zh-CN"/>
        </w:rPr>
        <w:t>）土地平整</w:t>
      </w:r>
    </w:p>
    <w:p>
      <w:pPr>
        <w:spacing w:line="360" w:lineRule="auto"/>
        <w:ind w:firstLine="480" w:firstLineChars="200"/>
        <w:rPr>
          <w:rFonts w:hint="default" w:ascii="Times New Roman" w:hAnsi="Times New Roman" w:eastAsia="仿宋" w:cs="Times New Roman"/>
          <w:color w:val="auto"/>
          <w:sz w:val="24"/>
          <w:szCs w:val="24"/>
          <w:highlight w:val="none"/>
          <w:lang w:eastAsia="zh-CN"/>
        </w:rPr>
      </w:pPr>
      <w:r>
        <w:rPr>
          <w:rFonts w:hint="default" w:ascii="Times New Roman" w:hAnsi="Times New Roman" w:eastAsia="仿宋" w:cs="Times New Roman"/>
          <w:color w:val="auto"/>
          <w:sz w:val="24"/>
          <w:szCs w:val="24"/>
          <w:highlight w:val="none"/>
          <w:lang w:val="en-US" w:eastAsia="zh-CN"/>
        </w:rPr>
        <w:t>施工便道</w:t>
      </w:r>
      <w:r>
        <w:rPr>
          <w:rFonts w:hint="default" w:ascii="Times New Roman" w:hAnsi="Times New Roman" w:eastAsia="仿宋" w:cs="Times New Roman"/>
          <w:color w:val="auto"/>
          <w:sz w:val="24"/>
          <w:szCs w:val="24"/>
          <w:highlight w:val="none"/>
          <w:lang w:eastAsia="zh-CN"/>
        </w:rPr>
        <w:t>来往机械车辆对土地造成压占后，使原有的土地形态发生改变，会使土地的表层起伏不平。为保证复垦措施的及时实施，待主体工程施工结束后，以平整单元内部土方挖填平衡为基础，利用74kw推土机对场地进行平整，推平地面高低不平区域，平整后地面坡度达到复垦质量要求，平整厚度约</w:t>
      </w:r>
      <w:r>
        <w:rPr>
          <w:rFonts w:hint="default" w:ascii="Times New Roman" w:hAnsi="Times New Roman" w:eastAsia="仿宋" w:cs="Times New Roman"/>
          <w:color w:val="auto"/>
          <w:sz w:val="24"/>
          <w:szCs w:val="24"/>
          <w:highlight w:val="none"/>
          <w:lang w:val="en-US" w:eastAsia="zh-CN"/>
        </w:rPr>
        <w:t>20</w:t>
      </w:r>
      <w:r>
        <w:rPr>
          <w:rFonts w:hint="default" w:ascii="Times New Roman" w:hAnsi="Times New Roman" w:eastAsia="仿宋" w:cs="Times New Roman"/>
          <w:color w:val="auto"/>
          <w:sz w:val="24"/>
          <w:szCs w:val="24"/>
          <w:highlight w:val="none"/>
          <w:lang w:eastAsia="zh-CN"/>
        </w:rPr>
        <w:t>cm，土地平整工程量为</w:t>
      </w:r>
      <w:r>
        <w:rPr>
          <w:rFonts w:hint="eastAsia" w:ascii="Times New Roman" w:hAnsi="Times New Roman" w:eastAsia="仿宋" w:cs="Times New Roman"/>
          <w:color w:val="auto"/>
          <w:sz w:val="24"/>
          <w:szCs w:val="24"/>
          <w:highlight w:val="none"/>
          <w:lang w:val="en-US" w:eastAsia="zh-CN"/>
        </w:rPr>
        <w:t>4859.20</w:t>
      </w:r>
      <w:r>
        <w:rPr>
          <w:rFonts w:hint="default" w:ascii="Times New Roman" w:hAnsi="Times New Roman" w:eastAsia="仿宋" w:cs="Times New Roman"/>
          <w:color w:val="auto"/>
          <w:sz w:val="24"/>
          <w:szCs w:val="24"/>
          <w:highlight w:val="none"/>
          <w:lang w:val="en-US" w:eastAsia="zh-CN"/>
        </w:rPr>
        <w:t>立方米</w:t>
      </w:r>
      <w:r>
        <w:rPr>
          <w:rFonts w:hint="default" w:ascii="Times New Roman" w:hAnsi="Times New Roman" w:eastAsia="仿宋"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0" w:firstLineChars="0"/>
        <w:jc w:val="center"/>
        <w:textAlignment w:val="auto"/>
        <w:rPr>
          <w:rFonts w:hint="default"/>
          <w:position w:val="-39"/>
          <w:highlight w:val="none"/>
          <w:lang w:eastAsia="zh-CN"/>
        </w:rPr>
      </w:pPr>
      <w:r>
        <w:rPr>
          <w:rFonts w:hint="default"/>
          <w:position w:val="-39"/>
          <w:highlight w:val="none"/>
          <w:lang w:eastAsia="zh-CN"/>
        </w:rPr>
        <w:drawing>
          <wp:inline distT="0" distB="0" distL="0" distR="0">
            <wp:extent cx="4911725" cy="1258570"/>
            <wp:effectExtent l="0" t="0" r="3175" b="17780"/>
            <wp:docPr id="19" name="IM 22"/>
            <wp:cNvGraphicFramePr/>
            <a:graphic xmlns:a="http://schemas.openxmlformats.org/drawingml/2006/main">
              <a:graphicData uri="http://schemas.openxmlformats.org/drawingml/2006/picture">
                <pic:pic xmlns:pic="http://schemas.openxmlformats.org/drawingml/2006/picture">
                  <pic:nvPicPr>
                    <pic:cNvPr id="19" name="IM 22"/>
                    <pic:cNvPicPr/>
                  </pic:nvPicPr>
                  <pic:blipFill>
                    <a:blip r:embed="rId21"/>
                    <a:stretch>
                      <a:fillRect/>
                    </a:stretch>
                  </pic:blipFill>
                  <pic:spPr>
                    <a:xfrm>
                      <a:off x="0" y="0"/>
                      <a:ext cx="4911979" cy="1258951"/>
                    </a:xfrm>
                    <a:prstGeom prst="rect">
                      <a:avLst/>
                    </a:prstGeom>
                  </pic:spPr>
                </pic:pic>
              </a:graphicData>
            </a:graphic>
          </wp:inline>
        </w:drawing>
      </w:r>
    </w:p>
    <w:p>
      <w:pPr>
        <w:pStyle w:val="43"/>
        <w:keepNext w:val="0"/>
        <w:keepLines w:val="0"/>
        <w:pageBreakBefore w:val="0"/>
        <w:widowControl/>
        <w:shd w:val="clear"/>
        <w:kinsoku/>
        <w:wordWrap/>
        <w:overflowPunct/>
        <w:topLinePunct w:val="0"/>
        <w:autoSpaceDE/>
        <w:autoSpaceDN/>
        <w:bidi w:val="0"/>
        <w:adjustRightInd/>
        <w:snapToGrid/>
        <w:spacing w:line="240" w:lineRule="auto"/>
        <w:ind w:firstLine="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图</w:t>
      </w:r>
      <w:r>
        <w:rPr>
          <w:rFonts w:hint="eastAsia" w:ascii="Times New Roman" w:hAnsi="Times New Roman" w:cs="Times New Roman"/>
          <w:color w:val="auto"/>
          <w:sz w:val="21"/>
          <w:szCs w:val="21"/>
          <w:highlight w:val="none"/>
          <w:lang w:val="en-US" w:eastAsia="zh-CN"/>
        </w:rPr>
        <w:t>6</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 xml:space="preserve"> </w:t>
      </w:r>
      <w:r>
        <w:rPr>
          <w:rFonts w:hint="eastAsia" w:ascii="Times New Roman" w:hAnsi="Times New Roman" w:cs="Times New Roman"/>
          <w:color w:val="auto"/>
          <w:sz w:val="21"/>
          <w:szCs w:val="21"/>
          <w:highlight w:val="none"/>
          <w:lang w:val="en-US" w:eastAsia="zh-CN"/>
        </w:rPr>
        <w:t>土地平整</w:t>
      </w:r>
      <w:r>
        <w:rPr>
          <w:rFonts w:hint="default" w:ascii="Times New Roman" w:hAnsi="Times New Roman" w:cs="Times New Roman"/>
          <w:color w:val="auto"/>
          <w:sz w:val="21"/>
          <w:szCs w:val="21"/>
          <w:highlight w:val="none"/>
          <w:lang w:val="en-US" w:eastAsia="zh-CN"/>
        </w:rPr>
        <w:t>示意图</w:t>
      </w:r>
    </w:p>
    <w:bookmarkEnd w:id="160"/>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color w:val="auto"/>
          <w:highlight w:val="none"/>
          <w:lang w:val="en-US" w:eastAsia="zh-CN"/>
        </w:rPr>
      </w:pPr>
      <w:bookmarkStart w:id="161" w:name="_Toc32168"/>
      <w:bookmarkStart w:id="162" w:name="_Toc53225493"/>
      <w:bookmarkStart w:id="163" w:name="_Toc53593083"/>
      <w:bookmarkStart w:id="164" w:name="_Toc30024"/>
      <w:bookmarkStart w:id="165" w:name="_Toc53225606"/>
      <w:r>
        <w:rPr>
          <w:rFonts w:hint="eastAsia" w:cs="Times New Roman"/>
          <w:color w:val="auto"/>
          <w:highlight w:val="none"/>
          <w:lang w:val="en-US" w:eastAsia="zh-CN"/>
        </w:rPr>
        <w:t>6</w:t>
      </w:r>
      <w:r>
        <w:rPr>
          <w:rFonts w:hint="default" w:ascii="Times New Roman" w:hAnsi="Times New Roman" w:cs="Times New Roman"/>
          <w:color w:val="auto"/>
          <w:highlight w:val="none"/>
          <w:lang w:val="en-US" w:eastAsia="zh-CN"/>
        </w:rPr>
        <w:t>.3监测工程设计及工程量测算</w:t>
      </w:r>
      <w:bookmarkEnd w:id="161"/>
      <w:bookmarkEnd w:id="162"/>
      <w:bookmarkEnd w:id="163"/>
      <w:bookmarkEnd w:id="164"/>
      <w:bookmarkEnd w:id="165"/>
    </w:p>
    <w:p>
      <w:pPr>
        <w:adjustRightInd w:val="0"/>
        <w:snapToGrid w:val="0"/>
        <w:spacing w:after="0" w:line="360" w:lineRule="auto"/>
        <w:ind w:firstLine="480" w:firstLineChars="200"/>
        <w:jc w:val="both"/>
        <w:rPr>
          <w:rFonts w:hint="default" w:ascii="Times New Roman" w:hAnsi="Times New Roman" w:eastAsia="仿宋" w:cs="Times New Roman"/>
          <w:color w:val="000000" w:themeColor="text1"/>
          <w:sz w:val="24"/>
          <w:szCs w:val="24"/>
          <w:highlight w:val="none"/>
          <w:u w:color="000000" w:themeColor="text1"/>
          <w:lang w:eastAsia="zh-CN"/>
          <w14:textFill>
            <w14:solidFill>
              <w14:schemeClr w14:val="tx1"/>
            </w14:solidFill>
          </w14:textFill>
        </w:rPr>
      </w:pPr>
      <w:bookmarkStart w:id="166" w:name="_Toc68881551"/>
      <w:bookmarkStart w:id="167" w:name="_Toc53225495"/>
      <w:bookmarkStart w:id="168" w:name="_Toc272330991"/>
      <w:bookmarkStart w:id="169" w:name="_Toc323225500"/>
      <w:bookmarkStart w:id="170" w:name="_Toc260918503"/>
      <w:bookmarkStart w:id="171" w:name="_Toc53593085"/>
      <w:bookmarkStart w:id="172" w:name="_Toc384127079"/>
      <w:bookmarkStart w:id="173" w:name="_Toc53225608"/>
      <w:bookmarkStart w:id="174" w:name="_Toc31152"/>
      <w:r>
        <w:rPr>
          <w:rFonts w:hint="default" w:ascii="Times New Roman" w:hAnsi="Times New Roman" w:eastAsia="仿宋" w:cs="Times New Roman"/>
          <w:color w:val="000000" w:themeColor="text1"/>
          <w:sz w:val="24"/>
          <w:szCs w:val="24"/>
          <w:highlight w:val="none"/>
          <w:u w:color="000000" w:themeColor="text1"/>
          <w:lang w:eastAsia="zh-CN"/>
          <w14:textFill>
            <w14:solidFill>
              <w14:schemeClr w14:val="tx1"/>
            </w14:solidFill>
          </w14:textFill>
        </w:rPr>
        <w:t>监测措施贯穿于土地损毁预防及施工阶段和土地复垦阶段。土地损毁预防控制与损毁阶段的监测主要在施工建设阶段，纳入项目建设施工监理，严格控制建设过程中的永久用地范围以及施工建设区域，该部分工程纳入主体工程。</w:t>
      </w:r>
    </w:p>
    <w:p>
      <w:pPr>
        <w:adjustRightInd w:val="0"/>
        <w:snapToGrid w:val="0"/>
        <w:spacing w:after="0" w:line="360" w:lineRule="auto"/>
        <w:ind w:firstLine="480" w:firstLineChars="200"/>
        <w:jc w:val="both"/>
        <w:rPr>
          <w:rFonts w:hint="default" w:ascii="Times New Roman" w:hAnsi="Times New Roman" w:eastAsia="仿宋" w:cs="Times New Roman"/>
          <w:color w:val="000000" w:themeColor="text1"/>
          <w:sz w:val="24"/>
          <w:szCs w:val="24"/>
          <w:highlight w:val="none"/>
          <w:u w:color="000000" w:themeColor="text1"/>
          <w:lang w:eastAsia="zh-CN"/>
          <w14:textFill>
            <w14:solidFill>
              <w14:schemeClr w14:val="tx1"/>
            </w14:solidFill>
          </w14:textFill>
        </w:rPr>
      </w:pPr>
      <w:r>
        <w:rPr>
          <w:rFonts w:hint="default" w:ascii="Times New Roman" w:hAnsi="Times New Roman" w:eastAsia="仿宋" w:cs="Times New Roman"/>
          <w:color w:val="000000" w:themeColor="text1"/>
          <w:sz w:val="24"/>
          <w:szCs w:val="24"/>
          <w:highlight w:val="none"/>
          <w:u w:color="000000" w:themeColor="text1"/>
          <w:lang w:eastAsia="zh-CN"/>
          <w14:textFill>
            <w14:solidFill>
              <w14:schemeClr w14:val="tx1"/>
            </w14:solidFill>
          </w14:textFill>
        </w:rPr>
        <w:t>土地复垦阶段监测目的一方面是及时摸清损毁土地状况，采取复垦措施；另一方面是调查复垦土地存在的问题，通过复垦措施的补救，保证复垦土地生态系统的可持续发展。二者的目的均为及时发现问题，及时治理。</w:t>
      </w:r>
    </w:p>
    <w:p>
      <w:pPr>
        <w:adjustRightInd w:val="0"/>
        <w:snapToGrid w:val="0"/>
        <w:spacing w:after="0" w:line="360" w:lineRule="auto"/>
        <w:ind w:firstLine="480" w:firstLineChars="200"/>
        <w:jc w:val="both"/>
        <w:rPr>
          <w:rFonts w:hint="default" w:ascii="Times New Roman" w:hAnsi="Times New Roman" w:eastAsia="仿宋" w:cs="Times New Roman"/>
          <w:color w:val="000000" w:themeColor="text1"/>
          <w:sz w:val="24"/>
          <w:szCs w:val="24"/>
          <w:highlight w:val="none"/>
          <w:u w:color="000000" w:themeColor="text1"/>
          <w:lang w:val="en-US" w:eastAsia="zh-CN"/>
          <w14:textFill>
            <w14:solidFill>
              <w14:schemeClr w14:val="tx1"/>
            </w14:solidFill>
          </w14:textFill>
        </w:rPr>
      </w:pPr>
      <w:r>
        <w:rPr>
          <w:rFonts w:hint="default" w:ascii="Times New Roman" w:hAnsi="Times New Roman" w:eastAsia="仿宋" w:cs="Times New Roman"/>
          <w:color w:val="000000" w:themeColor="text1"/>
          <w:sz w:val="24"/>
          <w:szCs w:val="24"/>
          <w:highlight w:val="none"/>
          <w:u w:color="000000" w:themeColor="text1"/>
          <w:lang w:eastAsia="zh-CN"/>
          <w14:textFill>
            <w14:solidFill>
              <w14:schemeClr w14:val="tx1"/>
            </w14:solidFill>
          </w14:textFill>
        </w:rPr>
        <w:t>该土地复垦项目监测工程已在水土保持方案和环境影响报告书进行了设计，故本方案不再重复计算复垦监测费用。</w:t>
      </w:r>
    </w:p>
    <w:bookmarkEnd w:id="166"/>
    <w:p>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color w:val="auto"/>
          <w:highlight w:val="none"/>
          <w:lang w:val="en-US" w:eastAsia="zh-CN"/>
        </w:rPr>
      </w:pPr>
      <w:bookmarkStart w:id="175" w:name="_Toc3273"/>
      <w:r>
        <w:rPr>
          <w:rFonts w:hint="eastAsia" w:cs="Times New Roman"/>
          <w:color w:val="auto"/>
          <w:highlight w:val="none"/>
          <w:lang w:val="en-US" w:eastAsia="zh-CN"/>
        </w:rPr>
        <w:t>6</w:t>
      </w:r>
      <w:r>
        <w:rPr>
          <w:rFonts w:hint="default" w:ascii="Times New Roman" w:hAnsi="Times New Roman" w:cs="Times New Roman"/>
          <w:color w:val="auto"/>
          <w:highlight w:val="none"/>
          <w:lang w:val="en-US" w:eastAsia="zh-CN"/>
        </w:rPr>
        <w:t>.</w:t>
      </w:r>
      <w:r>
        <w:rPr>
          <w:rFonts w:hint="eastAsia" w:cs="Times New Roman"/>
          <w:color w:val="auto"/>
          <w:highlight w:val="none"/>
          <w:lang w:val="en-US" w:eastAsia="zh-CN"/>
        </w:rPr>
        <w:t>4</w:t>
      </w:r>
      <w:r>
        <w:rPr>
          <w:rFonts w:hint="default" w:ascii="Times New Roman" w:hAnsi="Times New Roman" w:cs="Times New Roman"/>
          <w:color w:val="auto"/>
          <w:highlight w:val="none"/>
          <w:lang w:val="en-US" w:eastAsia="zh-CN"/>
        </w:rPr>
        <w:t>复垦工程量汇总</w:t>
      </w:r>
      <w:bookmarkEnd w:id="167"/>
      <w:bookmarkEnd w:id="168"/>
      <w:bookmarkEnd w:id="169"/>
      <w:bookmarkEnd w:id="170"/>
      <w:bookmarkEnd w:id="171"/>
      <w:bookmarkEnd w:id="172"/>
      <w:bookmarkEnd w:id="173"/>
      <w:bookmarkEnd w:id="174"/>
      <w:bookmarkEnd w:id="175"/>
    </w:p>
    <w:p>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jc w:val="both"/>
        <w:textAlignment w:val="baseline"/>
        <w:rPr>
          <w:rFonts w:hint="default" w:ascii="Times New Roman" w:hAnsi="Times New Roman" w:eastAsia="仿宋_GB2312" w:cs="Times New Roman"/>
          <w:kern w:val="2"/>
          <w:sz w:val="24"/>
          <w:szCs w:val="24"/>
          <w:highlight w:val="none"/>
          <w:lang w:val="en-US" w:eastAsia="zh-CN" w:bidi="ar-SA"/>
        </w:rPr>
      </w:pPr>
      <w:bookmarkStart w:id="176" w:name="OLE_LINK14"/>
      <w:r>
        <w:rPr>
          <w:rFonts w:hint="eastAsia" w:ascii="Times New Roman" w:hAnsi="Times New Roman" w:eastAsia="仿宋_GB2312" w:cs="Times New Roman"/>
          <w:kern w:val="2"/>
          <w:sz w:val="24"/>
          <w:szCs w:val="24"/>
          <w:highlight w:val="none"/>
          <w:lang w:val="en-US" w:eastAsia="zh-CN" w:bidi="ar-SA"/>
        </w:rPr>
        <w:t>G219线岳普湖-英吉沙公路建设项目疏勒段施工便道</w:t>
      </w:r>
      <w:r>
        <w:rPr>
          <w:rFonts w:hint="default" w:ascii="Times New Roman" w:hAnsi="Times New Roman" w:eastAsia="仿宋_GB2312" w:cs="Times New Roman"/>
          <w:kern w:val="2"/>
          <w:sz w:val="24"/>
          <w:szCs w:val="24"/>
          <w:highlight w:val="none"/>
          <w:lang w:val="en-US" w:eastAsia="zh-CN" w:bidi="ar-SA"/>
        </w:rPr>
        <w:t>复垦单元工程量汇总见表</w:t>
      </w:r>
      <w:bookmarkEnd w:id="176"/>
      <w:r>
        <w:rPr>
          <w:rFonts w:hint="default" w:ascii="Times New Roman" w:hAnsi="Times New Roman" w:eastAsia="仿宋_GB2312" w:cs="Times New Roman"/>
          <w:kern w:val="2"/>
          <w:sz w:val="24"/>
          <w:szCs w:val="24"/>
          <w:highlight w:val="none"/>
          <w:lang w:val="en-US" w:eastAsia="zh-CN" w:bidi="ar-SA"/>
        </w:rPr>
        <w:t>。</w:t>
      </w:r>
    </w:p>
    <w:p>
      <w:pPr>
        <w:widowControl w:val="0"/>
        <w:adjustRightInd w:val="0"/>
        <w:snapToGrid w:val="0"/>
        <w:spacing w:line="360" w:lineRule="auto"/>
        <w:ind w:firstLine="0" w:firstLineChars="0"/>
        <w:jc w:val="center"/>
        <w:textAlignment w:val="baseline"/>
        <w:rPr>
          <w:rFonts w:hint="default" w:ascii="Times New Roman" w:hAnsi="Times New Roman" w:eastAsia="黑体" w:cs="Times New Roman"/>
          <w:b w:val="0"/>
          <w:bCs w:val="0"/>
          <w:kern w:val="2"/>
          <w:sz w:val="21"/>
          <w:szCs w:val="24"/>
          <w:highlight w:val="none"/>
          <w:lang w:val="en-US" w:eastAsia="zh-CN" w:bidi="ar-SA"/>
        </w:rPr>
      </w:pPr>
      <w:r>
        <w:rPr>
          <w:rFonts w:hint="default" w:ascii="Times New Roman" w:hAnsi="Times New Roman" w:eastAsia="黑体" w:cs="Times New Roman"/>
          <w:b w:val="0"/>
          <w:bCs w:val="0"/>
          <w:kern w:val="2"/>
          <w:sz w:val="21"/>
          <w:szCs w:val="24"/>
          <w:highlight w:val="none"/>
          <w:lang w:val="en-US" w:eastAsia="zh-CN" w:bidi="ar-SA"/>
        </w:rPr>
        <w:t>表</w:t>
      </w:r>
      <w:r>
        <w:rPr>
          <w:rFonts w:hint="eastAsia" w:ascii="Times New Roman" w:hAnsi="Times New Roman" w:eastAsia="黑体" w:cs="Times New Roman"/>
          <w:b w:val="0"/>
          <w:bCs w:val="0"/>
          <w:kern w:val="2"/>
          <w:sz w:val="21"/>
          <w:szCs w:val="24"/>
          <w:highlight w:val="none"/>
          <w:lang w:val="en-US" w:eastAsia="zh-CN" w:bidi="ar-SA"/>
        </w:rPr>
        <w:t>6</w:t>
      </w:r>
      <w:r>
        <w:rPr>
          <w:rFonts w:hint="default" w:ascii="Times New Roman" w:hAnsi="Times New Roman" w:eastAsia="黑体" w:cs="Times New Roman"/>
          <w:b w:val="0"/>
          <w:bCs w:val="0"/>
          <w:kern w:val="2"/>
          <w:sz w:val="21"/>
          <w:szCs w:val="24"/>
          <w:highlight w:val="none"/>
          <w:lang w:val="en-US" w:eastAsia="zh-CN" w:bidi="ar-SA"/>
        </w:rPr>
        <w:t>-</w:t>
      </w:r>
      <w:r>
        <w:rPr>
          <w:rFonts w:hint="eastAsia" w:ascii="Times New Roman" w:hAnsi="Times New Roman" w:eastAsia="黑体" w:cs="Times New Roman"/>
          <w:b w:val="0"/>
          <w:bCs w:val="0"/>
          <w:kern w:val="2"/>
          <w:sz w:val="21"/>
          <w:szCs w:val="24"/>
          <w:highlight w:val="none"/>
          <w:lang w:val="en-US" w:eastAsia="zh-CN" w:bidi="ar-SA"/>
        </w:rPr>
        <w:t>1</w:t>
      </w:r>
      <w:r>
        <w:rPr>
          <w:rFonts w:hint="default" w:ascii="Times New Roman" w:hAnsi="Times New Roman" w:eastAsia="黑体" w:cs="Times New Roman"/>
          <w:b w:val="0"/>
          <w:bCs w:val="0"/>
          <w:kern w:val="2"/>
          <w:sz w:val="21"/>
          <w:szCs w:val="24"/>
          <w:highlight w:val="none"/>
          <w:lang w:val="en-US" w:eastAsia="zh-CN" w:bidi="ar-SA"/>
        </w:rPr>
        <w:t xml:space="preserve"> 临时用地土地复垦工程量汇总表</w:t>
      </w:r>
    </w:p>
    <w:tbl>
      <w:tblPr>
        <w:tblStyle w:val="22"/>
        <w:tblW w:w="8519"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207"/>
        <w:gridCol w:w="9"/>
        <w:gridCol w:w="1123"/>
        <w:gridCol w:w="3436"/>
        <w:gridCol w:w="1241"/>
        <w:gridCol w:w="15"/>
        <w:gridCol w:w="1481"/>
        <w:gridCol w:w="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gridAfter w:val="1"/>
          <w:wAfter w:w="7" w:type="dxa"/>
          <w:trHeight w:val="351" w:hRule="atLeast"/>
          <w:tblHeader/>
        </w:trPr>
        <w:tc>
          <w:tcPr>
            <w:tcW w:w="120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b/>
                <w:bCs/>
                <w:i w:val="0"/>
                <w:iCs w:val="0"/>
                <w:color w:val="000000"/>
                <w:kern w:val="0"/>
                <w:sz w:val="21"/>
                <w:szCs w:val="21"/>
                <w:highlight w:val="none"/>
                <w:u w:val="none"/>
                <w:lang w:val="en-US" w:eastAsia="zh-CN" w:bidi="ar"/>
              </w:rPr>
            </w:pPr>
            <w:r>
              <w:rPr>
                <w:rFonts w:hint="default" w:ascii="Times New Roman" w:hAnsi="Times New Roman" w:eastAsia="仿宋" w:cs="Times New Roman"/>
                <w:b/>
                <w:bCs/>
                <w:i w:val="0"/>
                <w:iCs w:val="0"/>
                <w:color w:val="000000"/>
                <w:kern w:val="0"/>
                <w:sz w:val="21"/>
                <w:szCs w:val="21"/>
                <w:highlight w:val="none"/>
                <w:u w:val="none"/>
                <w:lang w:val="en-US" w:eastAsia="zh-CN" w:bidi="ar"/>
              </w:rPr>
              <w:t>序号</w:t>
            </w:r>
          </w:p>
        </w:tc>
        <w:tc>
          <w:tcPr>
            <w:tcW w:w="1132" w:type="dxa"/>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b/>
                <w:bCs/>
                <w:i w:val="0"/>
                <w:iCs w:val="0"/>
                <w:color w:val="000000"/>
                <w:kern w:val="0"/>
                <w:sz w:val="21"/>
                <w:szCs w:val="21"/>
                <w:highlight w:val="none"/>
                <w:u w:val="none"/>
                <w:lang w:val="en-US" w:eastAsia="zh-CN" w:bidi="ar"/>
              </w:rPr>
            </w:pPr>
            <w:r>
              <w:rPr>
                <w:rFonts w:hint="default" w:ascii="Times New Roman" w:hAnsi="Times New Roman" w:eastAsia="仿宋" w:cs="Times New Roman"/>
                <w:b/>
                <w:bCs/>
                <w:i w:val="0"/>
                <w:iCs w:val="0"/>
                <w:color w:val="000000"/>
                <w:kern w:val="0"/>
                <w:sz w:val="21"/>
                <w:szCs w:val="21"/>
                <w:highlight w:val="none"/>
                <w:u w:val="none"/>
                <w:lang w:val="en-US" w:eastAsia="zh-CN" w:bidi="ar"/>
              </w:rPr>
              <w:t>定额编号</w:t>
            </w:r>
          </w:p>
        </w:tc>
        <w:tc>
          <w:tcPr>
            <w:tcW w:w="343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b/>
                <w:bCs/>
                <w:i w:val="0"/>
                <w:iCs w:val="0"/>
                <w:color w:val="000000"/>
                <w:kern w:val="0"/>
                <w:sz w:val="21"/>
                <w:szCs w:val="21"/>
                <w:highlight w:val="none"/>
                <w:u w:val="none"/>
                <w:lang w:val="en-US" w:eastAsia="zh-CN" w:bidi="ar"/>
              </w:rPr>
            </w:pPr>
            <w:r>
              <w:rPr>
                <w:rFonts w:hint="default" w:ascii="Times New Roman" w:hAnsi="Times New Roman" w:eastAsia="仿宋" w:cs="Times New Roman"/>
                <w:b/>
                <w:bCs/>
                <w:i w:val="0"/>
                <w:iCs w:val="0"/>
                <w:color w:val="000000"/>
                <w:kern w:val="0"/>
                <w:sz w:val="21"/>
                <w:szCs w:val="21"/>
                <w:highlight w:val="none"/>
                <w:u w:val="none"/>
                <w:lang w:val="en-US" w:eastAsia="zh-CN" w:bidi="ar"/>
              </w:rPr>
              <w:t>分项名称</w:t>
            </w:r>
          </w:p>
        </w:tc>
        <w:tc>
          <w:tcPr>
            <w:tcW w:w="1256" w:type="dxa"/>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b/>
                <w:bCs/>
                <w:i w:val="0"/>
                <w:iCs w:val="0"/>
                <w:color w:val="000000"/>
                <w:kern w:val="0"/>
                <w:sz w:val="21"/>
                <w:szCs w:val="21"/>
                <w:highlight w:val="none"/>
                <w:u w:val="none"/>
                <w:lang w:val="en-US" w:eastAsia="zh-CN" w:bidi="ar"/>
              </w:rPr>
            </w:pPr>
            <w:r>
              <w:rPr>
                <w:rFonts w:hint="default" w:ascii="Times New Roman" w:hAnsi="Times New Roman" w:eastAsia="仿宋" w:cs="Times New Roman"/>
                <w:b/>
                <w:bCs/>
                <w:i w:val="0"/>
                <w:iCs w:val="0"/>
                <w:color w:val="000000"/>
                <w:kern w:val="0"/>
                <w:sz w:val="21"/>
                <w:szCs w:val="21"/>
                <w:highlight w:val="none"/>
                <w:u w:val="none"/>
                <w:lang w:val="en-US" w:eastAsia="zh-CN" w:bidi="ar"/>
              </w:rPr>
              <w:t>计算单位</w:t>
            </w:r>
          </w:p>
        </w:tc>
        <w:tc>
          <w:tcPr>
            <w:tcW w:w="1481"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b/>
                <w:bCs/>
                <w:i w:val="0"/>
                <w:iCs w:val="0"/>
                <w:color w:val="000000"/>
                <w:kern w:val="0"/>
                <w:sz w:val="21"/>
                <w:szCs w:val="21"/>
                <w:highlight w:val="none"/>
                <w:u w:val="none"/>
                <w:lang w:val="en-US" w:eastAsia="zh-CN" w:bidi="ar"/>
              </w:rPr>
            </w:pPr>
            <w:r>
              <w:rPr>
                <w:rFonts w:hint="default" w:ascii="Times New Roman" w:hAnsi="Times New Roman" w:eastAsia="仿宋" w:cs="Times New Roman"/>
                <w:b/>
                <w:bCs/>
                <w:i w:val="0"/>
                <w:iCs w:val="0"/>
                <w:color w:val="000000"/>
                <w:kern w:val="0"/>
                <w:sz w:val="21"/>
                <w:szCs w:val="21"/>
                <w:highlight w:val="none"/>
                <w:u w:val="none"/>
                <w:lang w:val="en-US" w:eastAsia="zh-CN" w:bidi="ar"/>
              </w:rPr>
              <w:t>工程量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70" w:hRule="atLeast"/>
        </w:trPr>
        <w:tc>
          <w:tcPr>
            <w:tcW w:w="1216" w:type="dxa"/>
            <w:gridSpan w:val="2"/>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b/>
                <w:bCs/>
                <w:i w:val="0"/>
                <w:iCs w:val="0"/>
                <w:color w:val="000000"/>
                <w:kern w:val="0"/>
                <w:sz w:val="21"/>
                <w:szCs w:val="21"/>
                <w:highlight w:val="none"/>
                <w:u w:val="none"/>
                <w:lang w:val="en-US" w:eastAsia="zh-CN" w:bidi="ar"/>
              </w:rPr>
              <w:t>一</w:t>
            </w:r>
          </w:p>
        </w:tc>
        <w:tc>
          <w:tcPr>
            <w:tcW w:w="112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b/>
                <w:bCs/>
                <w:i w:val="0"/>
                <w:iCs w:val="0"/>
                <w:color w:val="000000"/>
                <w:kern w:val="0"/>
                <w:sz w:val="21"/>
                <w:szCs w:val="21"/>
                <w:highlight w:val="none"/>
                <w:u w:val="none"/>
                <w:lang w:val="en-US" w:eastAsia="zh-CN" w:bidi="ar"/>
              </w:rPr>
              <w:t>-</w:t>
            </w:r>
          </w:p>
        </w:tc>
        <w:tc>
          <w:tcPr>
            <w:tcW w:w="343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b/>
                <w:bCs/>
                <w:i w:val="0"/>
                <w:iCs w:val="0"/>
                <w:color w:val="000000"/>
                <w:kern w:val="0"/>
                <w:sz w:val="21"/>
                <w:szCs w:val="21"/>
                <w:highlight w:val="none"/>
                <w:u w:val="none"/>
                <w:lang w:val="en-US" w:eastAsia="zh-CN" w:bidi="ar"/>
              </w:rPr>
              <w:t>施工便道</w:t>
            </w:r>
          </w:p>
        </w:tc>
        <w:tc>
          <w:tcPr>
            <w:tcW w:w="124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b/>
                <w:bCs/>
                <w:i w:val="0"/>
                <w:iCs w:val="0"/>
                <w:color w:val="000000"/>
                <w:kern w:val="0"/>
                <w:sz w:val="21"/>
                <w:szCs w:val="21"/>
                <w:highlight w:val="none"/>
                <w:u w:val="none"/>
                <w:lang w:val="en-US" w:eastAsia="zh-CN" w:bidi="ar"/>
              </w:rPr>
              <w:t>hm</w:t>
            </w:r>
            <w:r>
              <w:rPr>
                <w:rFonts w:hint="default" w:ascii="Times New Roman" w:hAnsi="Times New Roman" w:eastAsia="仿宋" w:cs="Times New Roman"/>
                <w:b/>
                <w:bCs/>
                <w:i w:val="0"/>
                <w:iCs w:val="0"/>
                <w:color w:val="000000"/>
                <w:kern w:val="0"/>
                <w:sz w:val="21"/>
                <w:szCs w:val="21"/>
                <w:highlight w:val="none"/>
                <w:u w:val="none"/>
                <w:vertAlign w:val="superscript"/>
                <w:lang w:val="en-US" w:eastAsia="zh-CN" w:bidi="ar"/>
              </w:rPr>
              <w:t>2</w:t>
            </w:r>
          </w:p>
        </w:tc>
        <w:tc>
          <w:tcPr>
            <w:tcW w:w="1503" w:type="dxa"/>
            <w:gridSpan w:val="3"/>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kern w:val="2"/>
                <w:sz w:val="20"/>
                <w:szCs w:val="20"/>
                <w:highlight w:val="none"/>
                <w:u w:val="none"/>
                <w:lang w:val="en-US" w:eastAsia="zh-CN" w:bidi="ar-SA"/>
              </w:rPr>
            </w:pPr>
            <w:r>
              <w:rPr>
                <w:rFonts w:hint="eastAsia" w:ascii="Times New Roman" w:hAnsi="Times New Roman" w:eastAsia="仿宋" w:cs="Times New Roman"/>
                <w:b/>
                <w:bCs/>
                <w:i w:val="0"/>
                <w:iCs w:val="0"/>
                <w:color w:val="000000"/>
                <w:kern w:val="0"/>
                <w:sz w:val="20"/>
                <w:szCs w:val="20"/>
                <w:highlight w:val="none"/>
                <w:u w:val="none"/>
                <w:lang w:val="en-US" w:eastAsia="zh-CN" w:bidi="ar"/>
              </w:rPr>
              <w:t>2.4296</w:t>
            </w:r>
            <w:r>
              <w:rPr>
                <w:rFonts w:hint="default" w:ascii="Times New Roman" w:hAnsi="Times New Roman" w:eastAsia="仿宋" w:cs="Times New Roman"/>
                <w:b/>
                <w:bCs/>
                <w:i w:val="0"/>
                <w:iCs w:val="0"/>
                <w:color w:val="000000"/>
                <w:kern w:val="0"/>
                <w:sz w:val="20"/>
                <w:szCs w:val="20"/>
                <w:highlight w:val="none"/>
                <w:u w:val="none"/>
                <w:lang w:val="en-US" w:eastAsia="zh-CN" w:bidi="ar"/>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70" w:hRule="atLeast"/>
        </w:trPr>
        <w:tc>
          <w:tcPr>
            <w:tcW w:w="1216" w:type="dxa"/>
            <w:gridSpan w:val="2"/>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（一）</w:t>
            </w:r>
          </w:p>
        </w:tc>
        <w:tc>
          <w:tcPr>
            <w:tcW w:w="112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w:t>
            </w:r>
          </w:p>
        </w:tc>
        <w:tc>
          <w:tcPr>
            <w:tcW w:w="343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土壤重构</w:t>
            </w:r>
          </w:p>
        </w:tc>
        <w:tc>
          <w:tcPr>
            <w:tcW w:w="124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w:t>
            </w:r>
          </w:p>
        </w:tc>
        <w:tc>
          <w:tcPr>
            <w:tcW w:w="1503" w:type="dxa"/>
            <w:gridSpan w:val="3"/>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70" w:hRule="atLeast"/>
        </w:trPr>
        <w:tc>
          <w:tcPr>
            <w:tcW w:w="1216" w:type="dxa"/>
            <w:gridSpan w:val="2"/>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eastAsia" w:ascii="Times New Roman" w:hAnsi="Times New Roman" w:eastAsia="仿宋" w:cs="Times New Roman"/>
                <w:i w:val="0"/>
                <w:iCs w:val="0"/>
                <w:color w:val="000000"/>
                <w:kern w:val="0"/>
                <w:sz w:val="21"/>
                <w:szCs w:val="21"/>
                <w:highlight w:val="none"/>
                <w:u w:val="none"/>
                <w:lang w:val="en-US" w:eastAsia="zh-CN" w:bidi="ar"/>
              </w:rPr>
              <w:t>1</w:t>
            </w:r>
          </w:p>
        </w:tc>
        <w:tc>
          <w:tcPr>
            <w:tcW w:w="112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w:t>
            </w:r>
          </w:p>
        </w:tc>
        <w:tc>
          <w:tcPr>
            <w:tcW w:w="343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平整工程</w:t>
            </w:r>
          </w:p>
        </w:tc>
        <w:tc>
          <w:tcPr>
            <w:tcW w:w="124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w:t>
            </w:r>
          </w:p>
        </w:tc>
        <w:tc>
          <w:tcPr>
            <w:tcW w:w="1503" w:type="dxa"/>
            <w:gridSpan w:val="3"/>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70" w:hRule="atLeast"/>
        </w:trPr>
        <w:tc>
          <w:tcPr>
            <w:tcW w:w="1216" w:type="dxa"/>
            <w:gridSpan w:val="2"/>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w:t>
            </w:r>
          </w:p>
        </w:tc>
        <w:tc>
          <w:tcPr>
            <w:tcW w:w="112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10306</w:t>
            </w:r>
          </w:p>
        </w:tc>
        <w:tc>
          <w:tcPr>
            <w:tcW w:w="343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土地平整</w:t>
            </w:r>
          </w:p>
        </w:tc>
        <w:tc>
          <w:tcPr>
            <w:tcW w:w="124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m</w:t>
            </w:r>
            <w:r>
              <w:rPr>
                <w:rFonts w:hint="default" w:ascii="Times New Roman" w:hAnsi="Times New Roman" w:eastAsia="仿宋" w:cs="Times New Roman"/>
                <w:i w:val="0"/>
                <w:iCs w:val="0"/>
                <w:color w:val="000000"/>
                <w:kern w:val="0"/>
                <w:sz w:val="21"/>
                <w:szCs w:val="21"/>
                <w:highlight w:val="none"/>
                <w:u w:val="none"/>
                <w:vertAlign w:val="superscript"/>
                <w:lang w:val="en-US" w:eastAsia="zh-CN" w:bidi="ar"/>
              </w:rPr>
              <w:t>3</w:t>
            </w:r>
          </w:p>
        </w:tc>
        <w:tc>
          <w:tcPr>
            <w:tcW w:w="1503" w:type="dxa"/>
            <w:gridSpan w:val="3"/>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eastAsia" w:ascii="Times New Roman" w:hAnsi="Times New Roman" w:eastAsia="仿宋" w:cs="Times New Roman"/>
                <w:i w:val="0"/>
                <w:iCs w:val="0"/>
                <w:color w:val="000000"/>
                <w:kern w:val="0"/>
                <w:sz w:val="21"/>
                <w:szCs w:val="21"/>
                <w:highlight w:val="none"/>
                <w:u w:val="none"/>
                <w:lang w:val="en-US" w:eastAsia="zh-CN" w:bidi="ar"/>
              </w:rPr>
              <w:t>4859.20</w:t>
            </w:r>
            <w:r>
              <w:rPr>
                <w:rFonts w:hint="default" w:ascii="Times New Roman" w:hAnsi="Times New Roman" w:eastAsia="仿宋" w:cs="Times New Roman"/>
                <w:i w:val="0"/>
                <w:iCs w:val="0"/>
                <w:color w:val="000000"/>
                <w:kern w:val="0"/>
                <w:sz w:val="21"/>
                <w:szCs w:val="21"/>
                <w:highlight w:val="none"/>
                <w:u w:val="none"/>
                <w:lang w:val="en-US" w:eastAsia="zh-CN" w:bidi="ar"/>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70" w:hRule="atLeast"/>
        </w:trPr>
        <w:tc>
          <w:tcPr>
            <w:tcW w:w="1216" w:type="dxa"/>
            <w:gridSpan w:val="2"/>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（二）</w:t>
            </w:r>
          </w:p>
        </w:tc>
        <w:tc>
          <w:tcPr>
            <w:tcW w:w="112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w:t>
            </w:r>
          </w:p>
        </w:tc>
        <w:tc>
          <w:tcPr>
            <w:tcW w:w="343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迹地清理工程</w:t>
            </w:r>
          </w:p>
        </w:tc>
        <w:tc>
          <w:tcPr>
            <w:tcW w:w="124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w:t>
            </w:r>
          </w:p>
        </w:tc>
        <w:tc>
          <w:tcPr>
            <w:tcW w:w="1503" w:type="dxa"/>
            <w:gridSpan w:val="3"/>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70" w:hRule="atLeast"/>
        </w:trPr>
        <w:tc>
          <w:tcPr>
            <w:tcW w:w="1216" w:type="dxa"/>
            <w:gridSpan w:val="2"/>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w:t>
            </w:r>
          </w:p>
        </w:tc>
        <w:tc>
          <w:tcPr>
            <w:tcW w:w="112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10205</w:t>
            </w:r>
          </w:p>
        </w:tc>
        <w:tc>
          <w:tcPr>
            <w:tcW w:w="343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砂砾石路面拆除</w:t>
            </w:r>
          </w:p>
        </w:tc>
        <w:tc>
          <w:tcPr>
            <w:tcW w:w="124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m</w:t>
            </w:r>
            <w:r>
              <w:rPr>
                <w:rFonts w:hint="default" w:ascii="Times New Roman" w:hAnsi="Times New Roman" w:eastAsia="仿宋" w:cs="Times New Roman"/>
                <w:i w:val="0"/>
                <w:iCs w:val="0"/>
                <w:color w:val="000000"/>
                <w:kern w:val="0"/>
                <w:sz w:val="21"/>
                <w:szCs w:val="21"/>
                <w:highlight w:val="none"/>
                <w:u w:val="none"/>
                <w:vertAlign w:val="superscript"/>
                <w:lang w:val="en-US" w:eastAsia="zh-CN" w:bidi="ar"/>
              </w:rPr>
              <w:t>3</w:t>
            </w:r>
          </w:p>
        </w:tc>
        <w:tc>
          <w:tcPr>
            <w:tcW w:w="1503" w:type="dxa"/>
            <w:gridSpan w:val="3"/>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eastAsia" w:ascii="Times New Roman" w:hAnsi="Times New Roman" w:eastAsia="仿宋" w:cs="Times New Roman"/>
                <w:i w:val="0"/>
                <w:iCs w:val="0"/>
                <w:color w:val="000000"/>
                <w:kern w:val="0"/>
                <w:sz w:val="21"/>
                <w:szCs w:val="21"/>
                <w:highlight w:val="none"/>
                <w:u w:val="none"/>
                <w:lang w:val="en-US" w:eastAsia="zh-CN" w:bidi="ar"/>
              </w:rPr>
              <w:t>3644.40</w:t>
            </w:r>
            <w:r>
              <w:rPr>
                <w:rFonts w:hint="default" w:ascii="Times New Roman" w:hAnsi="Times New Roman" w:eastAsia="仿宋" w:cs="Times New Roman"/>
                <w:i w:val="0"/>
                <w:iCs w:val="0"/>
                <w:color w:val="000000"/>
                <w:kern w:val="0"/>
                <w:sz w:val="21"/>
                <w:szCs w:val="21"/>
                <w:highlight w:val="none"/>
                <w:u w:val="none"/>
                <w:lang w:val="en-US" w:eastAsia="zh-CN" w:bidi="ar"/>
              </w:rPr>
              <w:t xml:space="preserve">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70" w:hRule="atLeast"/>
        </w:trPr>
        <w:tc>
          <w:tcPr>
            <w:tcW w:w="1216" w:type="dxa"/>
            <w:gridSpan w:val="2"/>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w:t>
            </w:r>
          </w:p>
        </w:tc>
        <w:tc>
          <w:tcPr>
            <w:tcW w:w="112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eastAsia" w:ascii="Times New Roman" w:hAnsi="Times New Roman" w:eastAsia="仿宋" w:cs="Times New Roman"/>
                <w:i w:val="0"/>
                <w:iCs w:val="0"/>
                <w:color w:val="000000"/>
                <w:kern w:val="0"/>
                <w:sz w:val="21"/>
                <w:szCs w:val="21"/>
                <w:highlight w:val="none"/>
                <w:u w:val="none"/>
                <w:lang w:val="en-US" w:eastAsia="zh-CN" w:bidi="ar"/>
              </w:rPr>
              <w:t>10223</w:t>
            </w:r>
          </w:p>
        </w:tc>
        <w:tc>
          <w:tcPr>
            <w:tcW w:w="343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垃圾清运（运土</w:t>
            </w:r>
            <w:r>
              <w:rPr>
                <w:rFonts w:hint="eastAsia" w:ascii="Times New Roman" w:hAnsi="Times New Roman" w:eastAsia="仿宋" w:cs="Times New Roman"/>
                <w:i w:val="0"/>
                <w:iCs w:val="0"/>
                <w:color w:val="000000"/>
                <w:kern w:val="0"/>
                <w:sz w:val="21"/>
                <w:szCs w:val="21"/>
                <w:highlight w:val="none"/>
                <w:u w:val="none"/>
                <w:lang w:val="en-US" w:eastAsia="zh-CN" w:bidi="ar"/>
              </w:rPr>
              <w:t>3-4km</w:t>
            </w:r>
            <w:r>
              <w:rPr>
                <w:rFonts w:hint="default" w:ascii="Times New Roman" w:hAnsi="Times New Roman" w:eastAsia="仿宋" w:cs="Times New Roman"/>
                <w:i w:val="0"/>
                <w:iCs w:val="0"/>
                <w:color w:val="000000"/>
                <w:kern w:val="0"/>
                <w:sz w:val="21"/>
                <w:szCs w:val="21"/>
                <w:highlight w:val="none"/>
                <w:u w:val="none"/>
                <w:lang w:val="en-US" w:eastAsia="zh-CN" w:bidi="ar"/>
              </w:rPr>
              <w:t>）</w:t>
            </w:r>
          </w:p>
        </w:tc>
        <w:tc>
          <w:tcPr>
            <w:tcW w:w="124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m</w:t>
            </w:r>
            <w:r>
              <w:rPr>
                <w:rFonts w:hint="default" w:ascii="Times New Roman" w:hAnsi="Times New Roman" w:eastAsia="仿宋" w:cs="Times New Roman"/>
                <w:i w:val="0"/>
                <w:iCs w:val="0"/>
                <w:color w:val="000000"/>
                <w:kern w:val="0"/>
                <w:sz w:val="21"/>
                <w:szCs w:val="21"/>
                <w:highlight w:val="none"/>
                <w:u w:val="none"/>
                <w:vertAlign w:val="superscript"/>
                <w:lang w:val="en-US" w:eastAsia="zh-CN" w:bidi="ar"/>
              </w:rPr>
              <w:t>3</w:t>
            </w:r>
          </w:p>
        </w:tc>
        <w:tc>
          <w:tcPr>
            <w:tcW w:w="1503" w:type="dxa"/>
            <w:gridSpan w:val="3"/>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eastAsia" w:ascii="Times New Roman" w:hAnsi="Times New Roman" w:eastAsia="仿宋" w:cs="Times New Roman"/>
                <w:i w:val="0"/>
                <w:iCs w:val="0"/>
                <w:color w:val="000000"/>
                <w:kern w:val="0"/>
                <w:sz w:val="21"/>
                <w:szCs w:val="21"/>
                <w:highlight w:val="none"/>
                <w:u w:val="none"/>
                <w:lang w:val="en-US" w:eastAsia="zh-CN" w:bidi="ar"/>
              </w:rPr>
              <w:t>3644.40</w:t>
            </w:r>
            <w:r>
              <w:rPr>
                <w:rFonts w:hint="default" w:ascii="Times New Roman" w:hAnsi="Times New Roman" w:eastAsia="仿宋" w:cs="Times New Roman"/>
                <w:i w:val="0"/>
                <w:iCs w:val="0"/>
                <w:color w:val="000000"/>
                <w:kern w:val="0"/>
                <w:sz w:val="21"/>
                <w:szCs w:val="21"/>
                <w:highlight w:val="none"/>
                <w:u w:val="none"/>
                <w:lang w:val="en-US" w:eastAsia="zh-CN" w:bidi="ar"/>
              </w:rPr>
              <w:t xml:space="preserve"> </w:t>
            </w:r>
          </w:p>
        </w:tc>
      </w:tr>
    </w:tbl>
    <w:p>
      <w:pPr>
        <w:rPr>
          <w:rFonts w:hint="default" w:ascii="Times New Roman" w:hAnsi="Times New Roman" w:eastAsia="黑体" w:cs="Times New Roman"/>
          <w:b w:val="0"/>
          <w:bCs w:val="0"/>
          <w:kern w:val="2"/>
          <w:sz w:val="21"/>
          <w:szCs w:val="24"/>
          <w:highlight w:val="none"/>
          <w:lang w:val="en-US" w:eastAsia="zh-CN" w:bidi="ar-SA"/>
        </w:rPr>
      </w:pPr>
    </w:p>
    <w:p>
      <w:pPr>
        <w:rPr>
          <w:rFonts w:hint="default" w:ascii="Times New Roman" w:hAnsi="Times New Roman" w:cs="Times New Roman"/>
          <w:color w:val="auto"/>
          <w:highlight w:val="none"/>
          <w:lang w:val="en-US" w:eastAsia="zh-CN"/>
        </w:rPr>
      </w:pPr>
      <w:bookmarkStart w:id="177" w:name="_Toc10492"/>
      <w:r>
        <w:rPr>
          <w:rFonts w:hint="default" w:ascii="Times New Roman" w:hAnsi="Times New Roman" w:cs="Times New Roman"/>
          <w:color w:val="auto"/>
          <w:highlight w:val="none"/>
          <w:lang w:val="en-US" w:eastAsia="zh-CN"/>
        </w:rPr>
        <w:br w:type="page"/>
      </w:r>
    </w:p>
    <w:p>
      <w:pPr>
        <w:pStyle w:val="3"/>
        <w:shd w:val="clear"/>
        <w:rPr>
          <w:rFonts w:hint="default" w:ascii="Times New Roman" w:hAnsi="Times New Roman" w:cs="Times New Roman"/>
          <w:color w:val="auto"/>
          <w:highlight w:val="none"/>
        </w:rPr>
      </w:pPr>
      <w:bookmarkStart w:id="178" w:name="_Toc10263"/>
      <w:r>
        <w:rPr>
          <w:rFonts w:hint="eastAsia" w:cs="Times New Roman"/>
          <w:color w:val="auto"/>
          <w:highlight w:val="none"/>
          <w:lang w:val="en-US" w:eastAsia="zh-CN"/>
        </w:rPr>
        <w:t>7</w:t>
      </w:r>
      <w:r>
        <w:rPr>
          <w:rFonts w:hint="default" w:ascii="Times New Roman" w:hAnsi="Times New Roman" w:cs="Times New Roman"/>
          <w:color w:val="auto"/>
          <w:highlight w:val="none"/>
        </w:rPr>
        <w:t>土地复垦投资估算</w:t>
      </w:r>
      <w:bookmarkEnd w:id="19"/>
      <w:bookmarkEnd w:id="177"/>
      <w:bookmarkEnd w:id="178"/>
    </w:p>
    <w:p>
      <w:pPr>
        <w:pStyle w:val="4"/>
        <w:keepNext/>
        <w:keepLines/>
        <w:pageBreakBefore w:val="0"/>
        <w:widowControl w:val="0"/>
        <w:shd w:val="clear"/>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color w:val="auto"/>
          <w:highlight w:val="none"/>
        </w:rPr>
      </w:pPr>
      <w:bookmarkStart w:id="179" w:name="_Toc1452"/>
      <w:r>
        <w:rPr>
          <w:rFonts w:hint="eastAsia" w:cs="Times New Roman"/>
          <w:color w:val="auto"/>
          <w:highlight w:val="none"/>
          <w:lang w:val="en-US" w:eastAsia="zh-CN"/>
        </w:rPr>
        <w:t>7</w:t>
      </w:r>
      <w:r>
        <w:rPr>
          <w:rFonts w:hint="default" w:ascii="Times New Roman" w:hAnsi="Times New Roman" w:cs="Times New Roman"/>
          <w:color w:val="auto"/>
          <w:highlight w:val="none"/>
        </w:rPr>
        <w:t>.1估算编制原则</w:t>
      </w:r>
      <w:bookmarkEnd w:id="179"/>
    </w:p>
    <w:p>
      <w:pPr>
        <w:shd w:val="clear"/>
        <w:spacing w:line="360" w:lineRule="auto"/>
        <w:ind w:firstLine="480" w:firstLineChars="200"/>
        <w:rPr>
          <w:rFonts w:hint="default" w:ascii="Times New Roman" w:hAnsi="Times New Roman" w:eastAsia="仿宋" w:cs="Times New Roman"/>
          <w:color w:val="auto"/>
          <w:sz w:val="24"/>
          <w:szCs w:val="24"/>
          <w:highlight w:val="none"/>
          <w:lang w:eastAsia="zh-CN"/>
        </w:rPr>
      </w:pPr>
      <w:r>
        <w:rPr>
          <w:rFonts w:hint="default" w:ascii="Times New Roman" w:hAnsi="Times New Roman" w:eastAsia="仿宋" w:cs="Times New Roman"/>
          <w:color w:val="auto"/>
          <w:sz w:val="24"/>
          <w:szCs w:val="24"/>
          <w:highlight w:val="none"/>
          <w:lang w:eastAsia="zh-CN"/>
        </w:rPr>
        <w:t>a）符合国家有关的</w:t>
      </w:r>
      <w:r>
        <w:rPr>
          <w:rFonts w:hint="eastAsia" w:ascii="Times New Roman" w:hAnsi="Times New Roman" w:eastAsia="仿宋" w:cs="Times New Roman"/>
          <w:color w:val="auto"/>
          <w:sz w:val="24"/>
          <w:szCs w:val="24"/>
          <w:highlight w:val="none"/>
          <w:lang w:eastAsia="zh-CN"/>
        </w:rPr>
        <w:t>法律法规</w:t>
      </w:r>
      <w:r>
        <w:rPr>
          <w:rFonts w:hint="default" w:ascii="Times New Roman" w:hAnsi="Times New Roman" w:eastAsia="仿宋" w:cs="Times New Roman"/>
          <w:color w:val="auto"/>
          <w:sz w:val="24"/>
          <w:szCs w:val="24"/>
          <w:highlight w:val="none"/>
          <w:lang w:eastAsia="zh-CN"/>
        </w:rPr>
        <w:t>规定；</w:t>
      </w:r>
    </w:p>
    <w:p>
      <w:pPr>
        <w:shd w:val="clear"/>
        <w:spacing w:line="360" w:lineRule="auto"/>
        <w:ind w:firstLine="480" w:firstLineChars="200"/>
        <w:rPr>
          <w:rFonts w:hint="default" w:ascii="Times New Roman" w:hAnsi="Times New Roman" w:eastAsia="仿宋" w:cs="Times New Roman"/>
          <w:color w:val="auto"/>
          <w:sz w:val="24"/>
          <w:szCs w:val="24"/>
          <w:highlight w:val="none"/>
          <w:lang w:eastAsia="zh-CN"/>
        </w:rPr>
      </w:pPr>
      <w:r>
        <w:rPr>
          <w:rFonts w:hint="default" w:ascii="Times New Roman" w:hAnsi="Times New Roman" w:eastAsia="仿宋" w:cs="Times New Roman"/>
          <w:color w:val="auto"/>
          <w:sz w:val="24"/>
          <w:szCs w:val="24"/>
          <w:highlight w:val="none"/>
          <w:lang w:eastAsia="zh-CN"/>
        </w:rPr>
        <w:t>b）土地复垦投资应</w:t>
      </w:r>
      <w:r>
        <w:rPr>
          <w:rFonts w:hint="eastAsia" w:ascii="Times New Roman" w:hAnsi="Times New Roman" w:eastAsia="仿宋" w:cs="Times New Roman"/>
          <w:color w:val="auto"/>
          <w:sz w:val="24"/>
          <w:szCs w:val="24"/>
          <w:highlight w:val="none"/>
          <w:lang w:eastAsia="zh-CN"/>
        </w:rPr>
        <w:t>计入</w:t>
      </w:r>
      <w:r>
        <w:rPr>
          <w:rFonts w:hint="default" w:ascii="Times New Roman" w:hAnsi="Times New Roman" w:eastAsia="仿宋" w:cs="Times New Roman"/>
          <w:color w:val="auto"/>
          <w:sz w:val="24"/>
          <w:szCs w:val="24"/>
          <w:highlight w:val="none"/>
          <w:lang w:eastAsia="zh-CN"/>
        </w:rPr>
        <w:t>工程总估算中；</w:t>
      </w:r>
    </w:p>
    <w:p>
      <w:pPr>
        <w:shd w:val="clear"/>
        <w:spacing w:line="360" w:lineRule="auto"/>
        <w:ind w:firstLine="480" w:firstLineChars="200"/>
        <w:rPr>
          <w:rFonts w:hint="default" w:ascii="Times New Roman" w:hAnsi="Times New Roman" w:eastAsia="仿宋" w:cs="Times New Roman"/>
          <w:color w:val="auto"/>
          <w:sz w:val="24"/>
          <w:szCs w:val="24"/>
          <w:highlight w:val="none"/>
          <w:lang w:eastAsia="zh-CN"/>
        </w:rPr>
      </w:pPr>
      <w:r>
        <w:rPr>
          <w:rFonts w:hint="default" w:ascii="Times New Roman" w:hAnsi="Times New Roman" w:eastAsia="仿宋" w:cs="Times New Roman"/>
          <w:color w:val="auto"/>
          <w:sz w:val="24"/>
          <w:szCs w:val="24"/>
          <w:highlight w:val="none"/>
          <w:lang w:eastAsia="zh-CN"/>
        </w:rPr>
        <w:t>c）工程建设与复垦措施同步设计、同步投资建设；</w:t>
      </w:r>
    </w:p>
    <w:p>
      <w:pPr>
        <w:shd w:val="clear"/>
        <w:spacing w:line="360" w:lineRule="auto"/>
        <w:ind w:firstLine="480" w:firstLineChars="200"/>
        <w:rPr>
          <w:rFonts w:hint="default" w:ascii="Times New Roman" w:hAnsi="Times New Roman" w:eastAsia="仿宋" w:cs="Times New Roman"/>
          <w:color w:val="auto"/>
          <w:sz w:val="24"/>
          <w:szCs w:val="24"/>
          <w:highlight w:val="none"/>
          <w:lang w:eastAsia="zh-CN"/>
        </w:rPr>
      </w:pPr>
      <w:r>
        <w:rPr>
          <w:rFonts w:hint="default" w:ascii="Times New Roman" w:hAnsi="Times New Roman" w:eastAsia="仿宋" w:cs="Times New Roman"/>
          <w:color w:val="auto"/>
          <w:sz w:val="24"/>
          <w:szCs w:val="24"/>
          <w:highlight w:val="none"/>
          <w:lang w:eastAsia="zh-CN"/>
        </w:rPr>
        <w:t>d）高起点、高标准原则；</w:t>
      </w:r>
    </w:p>
    <w:p>
      <w:pPr>
        <w:shd w:val="clear"/>
        <w:spacing w:line="360" w:lineRule="auto"/>
        <w:ind w:firstLine="480" w:firstLineChars="200"/>
        <w:rPr>
          <w:rFonts w:hint="default" w:ascii="Times New Roman" w:hAnsi="Times New Roman" w:eastAsia="仿宋" w:cs="Times New Roman"/>
          <w:color w:val="auto"/>
          <w:sz w:val="24"/>
          <w:szCs w:val="24"/>
          <w:highlight w:val="none"/>
          <w:lang w:eastAsia="zh-CN"/>
        </w:rPr>
      </w:pPr>
      <w:r>
        <w:rPr>
          <w:rFonts w:hint="default" w:ascii="Times New Roman" w:hAnsi="Times New Roman" w:eastAsia="仿宋" w:cs="Times New Roman"/>
          <w:color w:val="auto"/>
          <w:sz w:val="24"/>
          <w:szCs w:val="24"/>
          <w:highlight w:val="none"/>
          <w:lang w:eastAsia="zh-CN"/>
        </w:rPr>
        <w:t>e）指导价与市场价相结合的原则；</w:t>
      </w:r>
    </w:p>
    <w:p>
      <w:pPr>
        <w:shd w:val="clear"/>
        <w:spacing w:line="360" w:lineRule="auto"/>
        <w:ind w:firstLine="480" w:firstLineChars="200"/>
        <w:rPr>
          <w:rFonts w:hint="default" w:ascii="Times New Roman" w:hAnsi="Times New Roman" w:eastAsia="仿宋" w:cs="Times New Roman"/>
          <w:color w:val="auto"/>
          <w:sz w:val="24"/>
          <w:szCs w:val="24"/>
          <w:highlight w:val="none"/>
          <w:lang w:eastAsia="zh-CN"/>
        </w:rPr>
      </w:pPr>
      <w:r>
        <w:rPr>
          <w:rFonts w:hint="default" w:ascii="Times New Roman" w:hAnsi="Times New Roman" w:eastAsia="仿宋" w:cs="Times New Roman"/>
          <w:color w:val="auto"/>
          <w:sz w:val="24"/>
          <w:szCs w:val="24"/>
          <w:highlight w:val="none"/>
          <w:lang w:eastAsia="zh-CN"/>
        </w:rPr>
        <w:t>f）科学、合理、高效</w:t>
      </w:r>
      <w:r>
        <w:rPr>
          <w:rFonts w:hint="eastAsia" w:ascii="Times New Roman" w:hAnsi="Times New Roman" w:eastAsia="仿宋" w:cs="Times New Roman"/>
          <w:color w:val="auto"/>
          <w:sz w:val="24"/>
          <w:szCs w:val="24"/>
          <w:highlight w:val="none"/>
          <w:lang w:eastAsia="zh-CN"/>
        </w:rPr>
        <w:t>地</w:t>
      </w:r>
      <w:r>
        <w:rPr>
          <w:rFonts w:hint="default" w:ascii="Times New Roman" w:hAnsi="Times New Roman" w:eastAsia="仿宋" w:cs="Times New Roman"/>
          <w:color w:val="auto"/>
          <w:sz w:val="24"/>
          <w:szCs w:val="24"/>
          <w:highlight w:val="none"/>
          <w:lang w:eastAsia="zh-CN"/>
        </w:rPr>
        <w:t>原则。</w:t>
      </w:r>
    </w:p>
    <w:p>
      <w:pPr>
        <w:pStyle w:val="4"/>
        <w:keepNext/>
        <w:keepLines/>
        <w:pageBreakBefore w:val="0"/>
        <w:widowControl w:val="0"/>
        <w:shd w:val="clear"/>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color w:val="auto"/>
          <w:highlight w:val="none"/>
        </w:rPr>
      </w:pPr>
      <w:bookmarkStart w:id="180" w:name="_Toc8097"/>
      <w:r>
        <w:rPr>
          <w:rFonts w:hint="eastAsia" w:cs="Times New Roman"/>
          <w:color w:val="auto"/>
          <w:highlight w:val="none"/>
          <w:lang w:val="en-US" w:eastAsia="zh-CN"/>
        </w:rPr>
        <w:t>7</w:t>
      </w:r>
      <w:r>
        <w:rPr>
          <w:rFonts w:hint="default" w:ascii="Times New Roman" w:hAnsi="Times New Roman" w:cs="Times New Roman"/>
          <w:color w:val="auto"/>
          <w:highlight w:val="none"/>
        </w:rPr>
        <w:t>.2编制依据</w:t>
      </w:r>
      <w:bookmarkEnd w:id="180"/>
    </w:p>
    <w:p>
      <w:pPr>
        <w:shd w:val="clear"/>
        <w:spacing w:line="360" w:lineRule="auto"/>
        <w:ind w:firstLine="480" w:firstLineChars="200"/>
        <w:rPr>
          <w:rFonts w:hint="eastAsia" w:ascii="仿宋" w:hAnsi="仿宋" w:eastAsia="仿宋" w:cs="仿宋"/>
          <w:color w:val="auto"/>
          <w:sz w:val="24"/>
          <w:szCs w:val="24"/>
          <w:highlight w:val="none"/>
          <w:lang w:eastAsia="zh-CN"/>
        </w:rPr>
      </w:pPr>
      <w:bookmarkStart w:id="181" w:name="_Toc384127084"/>
      <w:r>
        <w:rPr>
          <w:rFonts w:hint="eastAsia" w:ascii="仿宋" w:hAnsi="仿宋" w:eastAsia="仿宋" w:cs="仿宋"/>
          <w:color w:val="auto"/>
          <w:sz w:val="24"/>
          <w:szCs w:val="24"/>
          <w:highlight w:val="none"/>
          <w:lang w:eastAsia="zh-CN"/>
        </w:rPr>
        <w:t>a）《土地复垦方案编制规程》（TD/T1031.1-2011）；</w:t>
      </w:r>
    </w:p>
    <w:p>
      <w:pPr>
        <w:shd w:val="clea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b</w:t>
      </w:r>
      <w:r>
        <w:rPr>
          <w:rFonts w:hint="eastAsia" w:ascii="仿宋" w:hAnsi="仿宋" w:eastAsia="仿宋" w:cs="仿宋"/>
          <w:color w:val="auto"/>
          <w:sz w:val="24"/>
          <w:szCs w:val="24"/>
          <w:highlight w:val="none"/>
          <w:lang w:eastAsia="zh-CN"/>
        </w:rPr>
        <w:t>）财政部、</w:t>
      </w:r>
      <w:r>
        <w:rPr>
          <w:rFonts w:hint="eastAsia" w:ascii="仿宋" w:hAnsi="仿宋" w:eastAsia="仿宋" w:cs="仿宋"/>
          <w:color w:val="auto"/>
          <w:sz w:val="24"/>
          <w:szCs w:val="24"/>
          <w:highlight w:val="none"/>
          <w:lang w:val="en-US" w:eastAsia="zh-CN"/>
        </w:rPr>
        <w:t>原</w:t>
      </w:r>
      <w:r>
        <w:rPr>
          <w:rFonts w:hint="eastAsia" w:ascii="仿宋" w:hAnsi="仿宋" w:eastAsia="仿宋" w:cs="仿宋"/>
          <w:color w:val="auto"/>
          <w:sz w:val="24"/>
          <w:szCs w:val="24"/>
          <w:highlight w:val="none"/>
          <w:lang w:eastAsia="zh-CN"/>
        </w:rPr>
        <w:t>国土资源部《土地开发整理项目预算编制规定》（2012年2月）；</w:t>
      </w:r>
    </w:p>
    <w:p>
      <w:pPr>
        <w:shd w:val="clea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c</w:t>
      </w:r>
      <w:r>
        <w:rPr>
          <w:rFonts w:hint="eastAsia" w:ascii="仿宋" w:hAnsi="仿宋" w:eastAsia="仿宋" w:cs="仿宋"/>
          <w:color w:val="auto"/>
          <w:sz w:val="24"/>
          <w:szCs w:val="24"/>
          <w:highlight w:val="none"/>
          <w:lang w:eastAsia="zh-CN"/>
        </w:rPr>
        <w:t>）财政部、</w:t>
      </w:r>
      <w:r>
        <w:rPr>
          <w:rFonts w:hint="eastAsia" w:ascii="仿宋" w:hAnsi="仿宋" w:eastAsia="仿宋" w:cs="仿宋"/>
          <w:color w:val="auto"/>
          <w:sz w:val="24"/>
          <w:szCs w:val="24"/>
          <w:highlight w:val="none"/>
          <w:lang w:val="en-US" w:eastAsia="zh-CN"/>
        </w:rPr>
        <w:t>原</w:t>
      </w:r>
      <w:r>
        <w:rPr>
          <w:rFonts w:hint="eastAsia" w:ascii="仿宋" w:hAnsi="仿宋" w:eastAsia="仿宋" w:cs="仿宋"/>
          <w:color w:val="auto"/>
          <w:sz w:val="24"/>
          <w:szCs w:val="24"/>
          <w:highlight w:val="none"/>
          <w:lang w:eastAsia="zh-CN"/>
        </w:rPr>
        <w:t>国土资源部《土地开发整理项目预算定额》（2012年2月）；</w:t>
      </w:r>
    </w:p>
    <w:p>
      <w:pPr>
        <w:shd w:val="clea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d</w:t>
      </w:r>
      <w:r>
        <w:rPr>
          <w:rFonts w:hint="eastAsia" w:ascii="仿宋" w:hAnsi="仿宋" w:eastAsia="仿宋" w:cs="仿宋"/>
          <w:color w:val="auto"/>
          <w:sz w:val="24"/>
          <w:szCs w:val="24"/>
          <w:highlight w:val="none"/>
          <w:lang w:eastAsia="zh-CN"/>
        </w:rPr>
        <w:t>）财政部、</w:t>
      </w:r>
      <w:r>
        <w:rPr>
          <w:rFonts w:hint="eastAsia" w:ascii="仿宋" w:hAnsi="仿宋" w:eastAsia="仿宋" w:cs="仿宋"/>
          <w:color w:val="auto"/>
          <w:sz w:val="24"/>
          <w:szCs w:val="24"/>
          <w:highlight w:val="none"/>
          <w:lang w:val="en-US" w:eastAsia="zh-CN"/>
        </w:rPr>
        <w:t>原</w:t>
      </w:r>
      <w:r>
        <w:rPr>
          <w:rFonts w:hint="eastAsia" w:ascii="仿宋" w:hAnsi="仿宋" w:eastAsia="仿宋" w:cs="仿宋"/>
          <w:color w:val="auto"/>
          <w:sz w:val="24"/>
          <w:szCs w:val="24"/>
          <w:highlight w:val="none"/>
          <w:lang w:eastAsia="zh-CN"/>
        </w:rPr>
        <w:t>国土资源部《土地开发整理项目施工机械台班费定额》（2012年2月）；</w:t>
      </w:r>
    </w:p>
    <w:p>
      <w:pPr>
        <w:shd w:val="clea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e）</w:t>
      </w:r>
      <w:r>
        <w:rPr>
          <w:rFonts w:hint="eastAsia" w:ascii="仿宋" w:hAnsi="仿宋" w:eastAsia="仿宋" w:cs="仿宋"/>
          <w:color w:val="auto"/>
          <w:sz w:val="24"/>
          <w:szCs w:val="24"/>
          <w:highlight w:val="none"/>
          <w:lang w:val="en-US" w:eastAsia="zh-CN"/>
        </w:rPr>
        <w:t>原</w:t>
      </w:r>
      <w:r>
        <w:rPr>
          <w:rFonts w:hint="eastAsia" w:ascii="仿宋" w:hAnsi="仿宋" w:eastAsia="仿宋" w:cs="仿宋"/>
          <w:color w:val="auto"/>
          <w:sz w:val="24"/>
          <w:szCs w:val="24"/>
          <w:highlight w:val="none"/>
          <w:lang w:eastAsia="zh-CN"/>
        </w:rPr>
        <w:t>国土资源部土地整理中心《土地复垦方案编制实务》（2011年）；</w:t>
      </w:r>
    </w:p>
    <w:p>
      <w:pPr>
        <w:shd w:val="clear"/>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f）《财政部、</w:t>
      </w:r>
      <w:r>
        <w:rPr>
          <w:rFonts w:hint="eastAsia" w:ascii="仿宋" w:hAnsi="仿宋" w:eastAsia="仿宋" w:cs="仿宋"/>
          <w:color w:val="auto"/>
          <w:sz w:val="24"/>
          <w:szCs w:val="24"/>
          <w:highlight w:val="none"/>
          <w:lang w:val="en-US" w:eastAsia="zh-CN"/>
        </w:rPr>
        <w:t>原</w:t>
      </w:r>
      <w:r>
        <w:rPr>
          <w:rFonts w:hint="eastAsia" w:ascii="仿宋" w:hAnsi="仿宋" w:eastAsia="仿宋" w:cs="仿宋"/>
          <w:color w:val="auto"/>
          <w:sz w:val="24"/>
          <w:szCs w:val="24"/>
          <w:highlight w:val="none"/>
          <w:lang w:eastAsia="zh-CN"/>
        </w:rPr>
        <w:t>国土资源部关于印发土地开发整理项目预算定额标准的通知》，财综〔2011〕128号；</w:t>
      </w:r>
    </w:p>
    <w:p>
      <w:pPr>
        <w:shd w:val="clea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g</w:t>
      </w:r>
      <w:r>
        <w:rPr>
          <w:rFonts w:hint="eastAsia" w:ascii="仿宋" w:hAnsi="仿宋" w:eastAsia="仿宋" w:cs="仿宋"/>
          <w:color w:val="auto"/>
          <w:sz w:val="24"/>
          <w:szCs w:val="24"/>
          <w:highlight w:val="none"/>
          <w:lang w:eastAsia="zh-CN"/>
        </w:rPr>
        <w:t>）《关于加强基本建设大中型项目概算中“价差预备费”管理的有关通知》（计投资﹝1999﹞1340号）；</w:t>
      </w:r>
    </w:p>
    <w:p>
      <w:pPr>
        <w:shd w:val="clear"/>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h</w:t>
      </w:r>
      <w:r>
        <w:rPr>
          <w:rFonts w:hint="eastAsia" w:ascii="仿宋" w:hAnsi="仿宋" w:eastAsia="仿宋" w:cs="仿宋"/>
          <w:color w:val="auto"/>
          <w:sz w:val="24"/>
          <w:szCs w:val="24"/>
          <w:highlight w:val="none"/>
          <w:lang w:eastAsia="zh-CN"/>
        </w:rPr>
        <w:t>）《关于调整我区建设工程计价依据增值税税率的通知》（新建标〔2019〕4号）；</w:t>
      </w:r>
    </w:p>
    <w:p>
      <w:pPr>
        <w:shd w:val="clear"/>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i）《新疆维吾尔自治区土地整治项目补充预算定额（试行）》（新财综</w:t>
      </w:r>
      <w:r>
        <w:rPr>
          <w:rFonts w:hint="eastAsia" w:ascii="仿宋" w:hAnsi="仿宋" w:eastAsia="仿宋" w:cs="仿宋"/>
          <w:color w:val="auto"/>
          <w:sz w:val="24"/>
          <w:szCs w:val="24"/>
          <w:highlight w:val="none"/>
          <w:lang w:eastAsia="zh-CN"/>
        </w:rPr>
        <w:t>〔2019〕</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号</w:t>
      </w:r>
      <w:r>
        <w:rPr>
          <w:rFonts w:hint="eastAsia" w:ascii="仿宋" w:hAnsi="仿宋" w:eastAsia="仿宋" w:cs="仿宋"/>
          <w:color w:val="auto"/>
          <w:sz w:val="24"/>
          <w:szCs w:val="24"/>
          <w:highlight w:val="none"/>
          <w:lang w:val="en-US" w:eastAsia="zh-CN"/>
        </w:rPr>
        <w:t>）；</w:t>
      </w:r>
    </w:p>
    <w:p>
      <w:pPr>
        <w:shd w:val="clear"/>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j）</w:t>
      </w:r>
      <w:r>
        <w:rPr>
          <w:rFonts w:hint="eastAsia" w:ascii="仿宋" w:hAnsi="仿宋" w:eastAsia="仿宋" w:cs="仿宋"/>
          <w:color w:val="auto"/>
          <w:sz w:val="24"/>
          <w:szCs w:val="24"/>
          <w:highlight w:val="none"/>
          <w:lang w:eastAsia="zh-CN"/>
        </w:rPr>
        <w:t>《新疆水利水电工程设计概（估）预算编制规定》（新水建管﹝2005﹞108 号）；</w:t>
      </w:r>
    </w:p>
    <w:p>
      <w:pPr>
        <w:shd w:val="clea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k</w:t>
      </w:r>
      <w:r>
        <w:rPr>
          <w:rFonts w:hint="eastAsia" w:ascii="仿宋" w:hAnsi="仿宋" w:eastAsia="仿宋" w:cs="仿宋"/>
          <w:color w:val="auto"/>
          <w:sz w:val="24"/>
          <w:szCs w:val="24"/>
          <w:highlight w:val="none"/>
          <w:lang w:eastAsia="zh-CN"/>
        </w:rPr>
        <w:t>）新疆工程建设标准造价信息网发布的2023年11月喀什地区</w:t>
      </w:r>
      <w:r>
        <w:rPr>
          <w:rFonts w:hint="eastAsia" w:ascii="仿宋" w:hAnsi="仿宋" w:eastAsia="仿宋" w:cs="仿宋"/>
          <w:color w:val="auto"/>
          <w:sz w:val="24"/>
          <w:szCs w:val="24"/>
          <w:highlight w:val="none"/>
          <w:lang w:val="en-US" w:eastAsia="zh-CN"/>
        </w:rPr>
        <w:t>定额材料价格</w:t>
      </w:r>
      <w:r>
        <w:rPr>
          <w:rFonts w:hint="eastAsia" w:ascii="仿宋" w:hAnsi="仿宋" w:eastAsia="仿宋" w:cs="仿宋"/>
          <w:color w:val="auto"/>
          <w:sz w:val="24"/>
          <w:szCs w:val="24"/>
          <w:highlight w:val="none"/>
          <w:lang w:eastAsia="zh-CN"/>
        </w:rPr>
        <w:t>以及实地调查价格。</w:t>
      </w:r>
    </w:p>
    <w:bookmarkEnd w:id="181"/>
    <w:p>
      <w:pPr>
        <w:pStyle w:val="4"/>
        <w:keepNext/>
        <w:keepLines/>
        <w:pageBreakBefore w:val="0"/>
        <w:widowControl w:val="0"/>
        <w:shd w:val="clear"/>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color w:val="auto"/>
          <w:highlight w:val="none"/>
        </w:rPr>
      </w:pPr>
      <w:bookmarkStart w:id="182" w:name="_Toc13844"/>
      <w:r>
        <w:rPr>
          <w:rFonts w:hint="eastAsia" w:cs="Times New Roman"/>
          <w:color w:val="auto"/>
          <w:highlight w:val="none"/>
          <w:lang w:val="en-US" w:eastAsia="zh-CN"/>
        </w:rPr>
        <w:t>7</w:t>
      </w:r>
      <w:r>
        <w:rPr>
          <w:rFonts w:hint="default" w:ascii="Times New Roman" w:hAnsi="Times New Roman" w:cs="Times New Roman"/>
          <w:color w:val="auto"/>
          <w:highlight w:val="none"/>
        </w:rPr>
        <w:t>.3基础单价编制</w:t>
      </w:r>
      <w:bookmarkEnd w:id="182"/>
    </w:p>
    <w:p>
      <w:pPr>
        <w:shd w:val="clear"/>
        <w:spacing w:line="360" w:lineRule="auto"/>
        <w:ind w:firstLine="480" w:firstLineChars="200"/>
        <w:rPr>
          <w:rFonts w:hint="eastAsia" w:ascii="仿宋" w:hAnsi="仿宋" w:eastAsia="仿宋" w:cs="仿宋"/>
          <w:color w:val="auto"/>
          <w:sz w:val="24"/>
          <w:szCs w:val="24"/>
          <w:highlight w:val="none"/>
          <w:lang w:eastAsia="zh-CN"/>
        </w:rPr>
      </w:pPr>
      <w:bookmarkStart w:id="183" w:name="_Toc156638137"/>
      <w:r>
        <w:rPr>
          <w:rFonts w:hint="eastAsia" w:ascii="仿宋" w:hAnsi="仿宋" w:eastAsia="仿宋" w:cs="仿宋"/>
          <w:color w:val="auto"/>
          <w:sz w:val="24"/>
          <w:szCs w:val="24"/>
          <w:highlight w:val="none"/>
          <w:lang w:eastAsia="zh-CN"/>
        </w:rPr>
        <w:t>a）人工单价计算</w:t>
      </w:r>
      <w:bookmarkEnd w:id="183"/>
    </w:p>
    <w:p>
      <w:pPr>
        <w:shd w:val="clea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人工预算单价按财政部经济建设司、</w:t>
      </w:r>
      <w:r>
        <w:rPr>
          <w:rFonts w:hint="eastAsia" w:ascii="仿宋" w:hAnsi="仿宋" w:eastAsia="仿宋" w:cs="仿宋"/>
          <w:color w:val="auto"/>
          <w:sz w:val="24"/>
          <w:szCs w:val="24"/>
          <w:highlight w:val="none"/>
          <w:lang w:val="en-US" w:eastAsia="zh-CN"/>
        </w:rPr>
        <w:t>原</w:t>
      </w:r>
      <w:r>
        <w:rPr>
          <w:rFonts w:hint="eastAsia" w:ascii="仿宋" w:hAnsi="仿宋" w:eastAsia="仿宋" w:cs="仿宋"/>
          <w:color w:val="auto"/>
          <w:sz w:val="24"/>
          <w:szCs w:val="24"/>
          <w:highlight w:val="none"/>
          <w:lang w:eastAsia="zh-CN"/>
        </w:rPr>
        <w:t>国土资源部财务司2011年新预算标准《土地开发整理项目预算定额》（财综〔2011〕128号）和《土地复垦方案编制实务》（2011年）中人工费的计算办法确定。</w:t>
      </w:r>
      <w:r>
        <w:rPr>
          <w:rFonts w:hint="eastAsia" w:ascii="仿宋" w:hAnsi="仿宋" w:eastAsia="仿宋" w:cs="仿宋"/>
          <w:color w:val="auto"/>
          <w:sz w:val="24"/>
          <w:szCs w:val="24"/>
          <w:highlight w:val="none"/>
          <w:lang w:val="en-US" w:eastAsia="zh-CN"/>
        </w:rPr>
        <w:t>策勒县</w:t>
      </w:r>
      <w:r>
        <w:rPr>
          <w:rFonts w:hint="eastAsia" w:ascii="仿宋" w:hAnsi="仿宋" w:eastAsia="仿宋" w:cs="仿宋"/>
          <w:color w:val="auto"/>
          <w:sz w:val="24"/>
          <w:szCs w:val="24"/>
          <w:highlight w:val="none"/>
          <w:lang w:eastAsia="zh-CN"/>
        </w:rPr>
        <w:t>属于十一类工资区，工资系数为1.1304，依据《财政部、</w:t>
      </w:r>
      <w:r>
        <w:rPr>
          <w:rFonts w:hint="eastAsia" w:ascii="仿宋" w:hAnsi="仿宋" w:eastAsia="仿宋" w:cs="仿宋"/>
          <w:color w:val="auto"/>
          <w:sz w:val="24"/>
          <w:szCs w:val="24"/>
          <w:highlight w:val="none"/>
          <w:lang w:val="en-US" w:eastAsia="zh-CN"/>
        </w:rPr>
        <w:t>原</w:t>
      </w:r>
      <w:r>
        <w:rPr>
          <w:rFonts w:hint="eastAsia" w:ascii="仿宋" w:hAnsi="仿宋" w:eastAsia="仿宋" w:cs="仿宋"/>
          <w:color w:val="auto"/>
          <w:sz w:val="24"/>
          <w:szCs w:val="24"/>
          <w:highlight w:val="none"/>
          <w:lang w:eastAsia="zh-CN"/>
        </w:rPr>
        <w:t>国土资源部关于印发&lt;土地开发整理项目预算定额标准&gt;的通知》财综〔2011〕128号文有关精神，最终确定本方案甲类工月基本工资标准为540元，乙类工基本工资标准为445元。</w:t>
      </w:r>
      <w:r>
        <w:rPr>
          <w:rFonts w:hint="eastAsia" w:ascii="仿宋" w:hAnsi="仿宋" w:eastAsia="仿宋" w:cs="仿宋"/>
          <w:color w:val="auto"/>
          <w:sz w:val="24"/>
          <w:szCs w:val="24"/>
          <w:highlight w:val="none"/>
          <w:lang w:val="en-US" w:eastAsia="zh-CN"/>
        </w:rPr>
        <w:t>疏勒县</w:t>
      </w:r>
      <w:r>
        <w:rPr>
          <w:rFonts w:hint="eastAsia" w:ascii="仿宋" w:hAnsi="仿宋" w:eastAsia="仿宋" w:cs="仿宋"/>
          <w:color w:val="auto"/>
          <w:sz w:val="24"/>
          <w:szCs w:val="24"/>
          <w:highlight w:val="none"/>
          <w:lang w:eastAsia="zh-CN"/>
        </w:rPr>
        <w:t>为</w:t>
      </w:r>
      <w:r>
        <w:rPr>
          <w:rFonts w:hint="eastAsia" w:ascii="仿宋" w:hAnsi="仿宋" w:eastAsia="仿宋" w:cs="仿宋"/>
          <w:color w:val="auto"/>
          <w:sz w:val="24"/>
          <w:szCs w:val="24"/>
          <w:highlight w:val="none"/>
          <w:lang w:val="en-US" w:eastAsia="zh-CN"/>
        </w:rPr>
        <w:t>三</w:t>
      </w:r>
      <w:r>
        <w:rPr>
          <w:rFonts w:hint="eastAsia" w:ascii="仿宋" w:hAnsi="仿宋" w:eastAsia="仿宋" w:cs="仿宋"/>
          <w:color w:val="auto"/>
          <w:sz w:val="24"/>
          <w:szCs w:val="24"/>
          <w:highlight w:val="none"/>
          <w:lang w:eastAsia="zh-CN"/>
        </w:rPr>
        <w:t>类地区生活补贴费地区，地区生活费补贴为</w:t>
      </w:r>
      <w:r>
        <w:rPr>
          <w:rFonts w:hint="eastAsia" w:ascii="仿宋" w:hAnsi="仿宋" w:eastAsia="仿宋" w:cs="仿宋"/>
          <w:color w:val="auto"/>
          <w:sz w:val="24"/>
          <w:szCs w:val="24"/>
          <w:highlight w:val="none"/>
          <w:lang w:val="en-US" w:eastAsia="zh-CN"/>
        </w:rPr>
        <w:t>73</w:t>
      </w:r>
      <w:r>
        <w:rPr>
          <w:rFonts w:hint="eastAsia" w:ascii="仿宋" w:hAnsi="仿宋" w:eastAsia="仿宋" w:cs="仿宋"/>
          <w:color w:val="auto"/>
          <w:sz w:val="24"/>
          <w:szCs w:val="24"/>
          <w:highlight w:val="none"/>
          <w:lang w:eastAsia="zh-CN"/>
        </w:rPr>
        <w:t>元/月。最终确定G219线岳普湖-英吉沙公路建设项目疏勒段施工便道土地复垦时的人工单价计算表。</w:t>
      </w:r>
    </w:p>
    <w:p>
      <w:pPr>
        <w:pStyle w:val="43"/>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w:t>
      </w:r>
      <w:r>
        <w:rPr>
          <w:rFonts w:hint="eastAsia" w:ascii="Times New Roman" w:hAnsi="Times New Roman" w:cs="Times New Roman"/>
          <w:color w:val="auto"/>
          <w:highlight w:val="none"/>
          <w:lang w:val="en-US" w:eastAsia="zh-CN"/>
        </w:rPr>
        <w:t>7</w:t>
      </w:r>
      <w:r>
        <w:rPr>
          <w:rFonts w:hint="default" w:ascii="Times New Roman" w:hAnsi="Times New Roman" w:cs="Times New Roman"/>
          <w:color w:val="auto"/>
          <w:highlight w:val="none"/>
          <w:lang w:val="en-US" w:eastAsia="zh-CN"/>
        </w:rPr>
        <w:t>-1人工费日单价计算表</w:t>
      </w:r>
    </w:p>
    <w:tbl>
      <w:tblPr>
        <w:tblStyle w:val="22"/>
        <w:tblW w:w="83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876"/>
        <w:gridCol w:w="2787"/>
        <w:gridCol w:w="3633"/>
        <w:gridCol w:w="108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25" w:hRule="atLeast"/>
          <w:tblHeader/>
        </w:trPr>
        <w:tc>
          <w:tcPr>
            <w:tcW w:w="876"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地区类别</w:t>
            </w:r>
          </w:p>
        </w:tc>
        <w:tc>
          <w:tcPr>
            <w:tcW w:w="2787"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新疆</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十一类、</w:t>
            </w:r>
            <w:r>
              <w:rPr>
                <w:rFonts w:hint="default" w:ascii="Times New Roman" w:hAnsi="Times New Roman" w:eastAsia="宋体" w:cs="Times New Roman"/>
                <w:color w:val="auto"/>
                <w:kern w:val="0"/>
                <w:sz w:val="21"/>
                <w:szCs w:val="21"/>
                <w:highlight w:val="none"/>
                <w:lang w:val="en-US" w:eastAsia="zh-CN"/>
              </w:rPr>
              <w:t>四</w:t>
            </w:r>
            <w:r>
              <w:rPr>
                <w:rFonts w:hint="default" w:ascii="Times New Roman" w:hAnsi="Times New Roman" w:eastAsia="宋体" w:cs="Times New Roman"/>
                <w:color w:val="auto"/>
                <w:kern w:val="0"/>
                <w:sz w:val="21"/>
                <w:szCs w:val="21"/>
                <w:highlight w:val="none"/>
              </w:rPr>
              <w:t>类区</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地区</w:t>
            </w:r>
          </w:p>
        </w:tc>
        <w:tc>
          <w:tcPr>
            <w:tcW w:w="3633"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定额人工等级</w:t>
            </w:r>
          </w:p>
        </w:tc>
        <w:tc>
          <w:tcPr>
            <w:tcW w:w="1089"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金额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25" w:hRule="atLeast"/>
        </w:trPr>
        <w:tc>
          <w:tcPr>
            <w:tcW w:w="876"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序号</w:t>
            </w:r>
          </w:p>
        </w:tc>
        <w:tc>
          <w:tcPr>
            <w:tcW w:w="2787"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w:t>
            </w:r>
          </w:p>
        </w:tc>
        <w:tc>
          <w:tcPr>
            <w:tcW w:w="3633"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计算式</w:t>
            </w:r>
          </w:p>
        </w:tc>
        <w:tc>
          <w:tcPr>
            <w:tcW w:w="1089"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单价</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元</w:t>
            </w:r>
            <w:r>
              <w:rPr>
                <w:rFonts w:hint="default" w:ascii="Times New Roman" w:hAnsi="Times New Roman" w:eastAsia="宋体" w:cs="Times New Roman"/>
                <w:color w:val="auto"/>
                <w:kern w:val="0"/>
                <w:sz w:val="21"/>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25" w:hRule="atLeast"/>
        </w:trPr>
        <w:tc>
          <w:tcPr>
            <w:tcW w:w="876"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c>
          <w:tcPr>
            <w:tcW w:w="2787"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基本工资</w:t>
            </w:r>
          </w:p>
        </w:tc>
        <w:tc>
          <w:tcPr>
            <w:tcW w:w="3633"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540.00</w:t>
            </w:r>
            <w:r>
              <w:rPr>
                <w:rFonts w:hint="default" w:ascii="Times New Roman" w:hAnsi="Times New Roman" w:eastAsia="宋体" w:cs="Times New Roman"/>
                <w:color w:val="auto"/>
                <w:kern w:val="0"/>
                <w:sz w:val="21"/>
                <w:szCs w:val="21"/>
                <w:highlight w:val="none"/>
                <w:lang w:val="en-US" w:eastAsia="zh-CN"/>
              </w:rPr>
              <w:t>×</w:t>
            </w:r>
            <w:r>
              <w:rPr>
                <w:rFonts w:hint="eastAsia" w:ascii="Times New Roman" w:hAnsi="Times New Roman" w:eastAsia="宋体" w:cs="Times New Roman"/>
                <w:color w:val="auto"/>
                <w:kern w:val="0"/>
                <w:sz w:val="21"/>
                <w:szCs w:val="21"/>
                <w:highlight w:val="none"/>
                <w:lang w:val="en-US" w:eastAsia="zh-CN"/>
              </w:rPr>
              <w:t>1.1304</w:t>
            </w:r>
            <w:r>
              <w:rPr>
                <w:rFonts w:hint="default" w:ascii="Times New Roman" w:hAnsi="Times New Roman" w:eastAsia="宋体" w:cs="Times New Roman"/>
                <w:color w:val="auto"/>
                <w:kern w:val="0"/>
                <w:sz w:val="21"/>
                <w:szCs w:val="21"/>
                <w:highlight w:val="none"/>
                <w:lang w:val="en-US" w:eastAsia="zh-CN"/>
              </w:rPr>
              <w:t>×12÷(250-10)</w:t>
            </w:r>
          </w:p>
        </w:tc>
        <w:tc>
          <w:tcPr>
            <w:tcW w:w="1089"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30.52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25" w:hRule="atLeast"/>
        </w:trPr>
        <w:tc>
          <w:tcPr>
            <w:tcW w:w="876"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w:t>
            </w:r>
          </w:p>
        </w:tc>
        <w:tc>
          <w:tcPr>
            <w:tcW w:w="2787"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辅助工资</w:t>
            </w:r>
          </w:p>
        </w:tc>
        <w:tc>
          <w:tcPr>
            <w:tcW w:w="3633"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p>
        </w:tc>
        <w:tc>
          <w:tcPr>
            <w:tcW w:w="1089"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25" w:hRule="atLeast"/>
        </w:trPr>
        <w:tc>
          <w:tcPr>
            <w:tcW w:w="876"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⑴</w:t>
            </w:r>
          </w:p>
        </w:tc>
        <w:tc>
          <w:tcPr>
            <w:tcW w:w="2787"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地区津贴</w:t>
            </w:r>
          </w:p>
        </w:tc>
        <w:tc>
          <w:tcPr>
            <w:tcW w:w="3633"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73</w:t>
            </w:r>
            <w:r>
              <w:rPr>
                <w:rFonts w:hint="default" w:ascii="Times New Roman" w:hAnsi="Times New Roman" w:eastAsia="宋体" w:cs="Times New Roman"/>
                <w:color w:val="auto"/>
                <w:kern w:val="0"/>
                <w:sz w:val="21"/>
                <w:szCs w:val="21"/>
                <w:highlight w:val="none"/>
                <w:lang w:val="en-US" w:eastAsia="zh-CN"/>
              </w:rPr>
              <w:t>×12÷(250-10）</w:t>
            </w:r>
          </w:p>
        </w:tc>
        <w:tc>
          <w:tcPr>
            <w:tcW w:w="1089"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25" w:hRule="atLeast"/>
        </w:trPr>
        <w:tc>
          <w:tcPr>
            <w:tcW w:w="876"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⑵</w:t>
            </w:r>
          </w:p>
        </w:tc>
        <w:tc>
          <w:tcPr>
            <w:tcW w:w="2787"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施工津贴</w:t>
            </w:r>
          </w:p>
        </w:tc>
        <w:tc>
          <w:tcPr>
            <w:tcW w:w="3633"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3.50</w:t>
            </w:r>
            <w:r>
              <w:rPr>
                <w:rFonts w:hint="default" w:ascii="Times New Roman" w:hAnsi="Times New Roman" w:eastAsia="宋体" w:cs="Times New Roman"/>
                <w:color w:val="auto"/>
                <w:kern w:val="0"/>
                <w:sz w:val="21"/>
                <w:szCs w:val="21"/>
                <w:highlight w:val="none"/>
                <w:lang w:val="en-US" w:eastAsia="zh-CN"/>
              </w:rPr>
              <w:t>×365×0.95÷（250-10）</w:t>
            </w:r>
          </w:p>
        </w:tc>
        <w:tc>
          <w:tcPr>
            <w:tcW w:w="1089"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25" w:hRule="atLeast"/>
        </w:trPr>
        <w:tc>
          <w:tcPr>
            <w:tcW w:w="876"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⑶</w:t>
            </w:r>
          </w:p>
        </w:tc>
        <w:tc>
          <w:tcPr>
            <w:tcW w:w="2787"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夜餐津贴</w:t>
            </w:r>
          </w:p>
        </w:tc>
        <w:tc>
          <w:tcPr>
            <w:tcW w:w="3633"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4.50+3.50）÷2×0.20</w:t>
            </w:r>
          </w:p>
        </w:tc>
        <w:tc>
          <w:tcPr>
            <w:tcW w:w="1089"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25" w:hRule="atLeast"/>
        </w:trPr>
        <w:tc>
          <w:tcPr>
            <w:tcW w:w="876"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⑷</w:t>
            </w:r>
          </w:p>
        </w:tc>
        <w:tc>
          <w:tcPr>
            <w:tcW w:w="2787"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节日加班津贴</w:t>
            </w:r>
          </w:p>
        </w:tc>
        <w:tc>
          <w:tcPr>
            <w:tcW w:w="3633"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30.520</w:t>
            </w:r>
            <w:r>
              <w:rPr>
                <w:rFonts w:hint="default" w:ascii="Times New Roman" w:hAnsi="Times New Roman" w:eastAsia="宋体" w:cs="Times New Roman"/>
                <w:color w:val="auto"/>
                <w:kern w:val="0"/>
                <w:sz w:val="21"/>
                <w:szCs w:val="21"/>
                <w:highlight w:val="none"/>
                <w:lang w:val="en-US" w:eastAsia="zh-CN"/>
              </w:rPr>
              <w:t>×(3-1)×11÷250×0.35</w:t>
            </w:r>
          </w:p>
        </w:tc>
        <w:tc>
          <w:tcPr>
            <w:tcW w:w="1089"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0.94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25" w:hRule="atLeast"/>
        </w:trPr>
        <w:tc>
          <w:tcPr>
            <w:tcW w:w="876"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w:t>
            </w:r>
          </w:p>
        </w:tc>
        <w:tc>
          <w:tcPr>
            <w:tcW w:w="2787"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工资附加费</w:t>
            </w:r>
          </w:p>
        </w:tc>
        <w:tc>
          <w:tcPr>
            <w:tcW w:w="3633"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p>
        </w:tc>
        <w:tc>
          <w:tcPr>
            <w:tcW w:w="1089"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20.28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25" w:hRule="atLeast"/>
        </w:trPr>
        <w:tc>
          <w:tcPr>
            <w:tcW w:w="876"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⑴</w:t>
            </w:r>
          </w:p>
        </w:tc>
        <w:tc>
          <w:tcPr>
            <w:tcW w:w="2787"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职工福利基金</w:t>
            </w:r>
          </w:p>
        </w:tc>
        <w:tc>
          <w:tcPr>
            <w:tcW w:w="3633"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（30.52+10.45）×14%</w:t>
            </w:r>
          </w:p>
        </w:tc>
        <w:tc>
          <w:tcPr>
            <w:tcW w:w="1089"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5.74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25" w:hRule="atLeast"/>
        </w:trPr>
        <w:tc>
          <w:tcPr>
            <w:tcW w:w="876"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⑵</w:t>
            </w:r>
          </w:p>
        </w:tc>
        <w:tc>
          <w:tcPr>
            <w:tcW w:w="2787"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工会经费</w:t>
            </w:r>
          </w:p>
        </w:tc>
        <w:tc>
          <w:tcPr>
            <w:tcW w:w="3633"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（30.52+10.45）×2%</w:t>
            </w:r>
          </w:p>
        </w:tc>
        <w:tc>
          <w:tcPr>
            <w:tcW w:w="1089"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0.82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25" w:hRule="atLeast"/>
        </w:trPr>
        <w:tc>
          <w:tcPr>
            <w:tcW w:w="876"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⑶</w:t>
            </w:r>
          </w:p>
        </w:tc>
        <w:tc>
          <w:tcPr>
            <w:tcW w:w="2787"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养老保险费</w:t>
            </w:r>
          </w:p>
        </w:tc>
        <w:tc>
          <w:tcPr>
            <w:tcW w:w="3633"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（30.52+10.45）×20%</w:t>
            </w:r>
          </w:p>
        </w:tc>
        <w:tc>
          <w:tcPr>
            <w:tcW w:w="1089"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8.19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25" w:hRule="atLeast"/>
        </w:trPr>
        <w:tc>
          <w:tcPr>
            <w:tcW w:w="876"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⑷</w:t>
            </w:r>
          </w:p>
        </w:tc>
        <w:tc>
          <w:tcPr>
            <w:tcW w:w="2787"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医疗保险费</w:t>
            </w:r>
          </w:p>
        </w:tc>
        <w:tc>
          <w:tcPr>
            <w:tcW w:w="3633"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（30.52+10.45）×4%</w:t>
            </w:r>
          </w:p>
        </w:tc>
        <w:tc>
          <w:tcPr>
            <w:tcW w:w="1089"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1.64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25" w:hRule="atLeast"/>
        </w:trPr>
        <w:tc>
          <w:tcPr>
            <w:tcW w:w="876"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⑸</w:t>
            </w:r>
          </w:p>
        </w:tc>
        <w:tc>
          <w:tcPr>
            <w:tcW w:w="2787"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工伤保险费</w:t>
            </w:r>
          </w:p>
        </w:tc>
        <w:tc>
          <w:tcPr>
            <w:tcW w:w="3633"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（30.52+10.45）×1.5%</w:t>
            </w:r>
          </w:p>
        </w:tc>
        <w:tc>
          <w:tcPr>
            <w:tcW w:w="1089"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0.61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25" w:hRule="atLeast"/>
        </w:trPr>
        <w:tc>
          <w:tcPr>
            <w:tcW w:w="876"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⑹</w:t>
            </w:r>
          </w:p>
        </w:tc>
        <w:tc>
          <w:tcPr>
            <w:tcW w:w="2787"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职工失业保险基金</w:t>
            </w:r>
          </w:p>
        </w:tc>
        <w:tc>
          <w:tcPr>
            <w:tcW w:w="3633"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（30.52+10.45）×2%</w:t>
            </w:r>
          </w:p>
        </w:tc>
        <w:tc>
          <w:tcPr>
            <w:tcW w:w="1089"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0.82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25" w:hRule="atLeast"/>
        </w:trPr>
        <w:tc>
          <w:tcPr>
            <w:tcW w:w="876"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⑺</w:t>
            </w:r>
          </w:p>
        </w:tc>
        <w:tc>
          <w:tcPr>
            <w:tcW w:w="2787"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住房公积金</w:t>
            </w:r>
          </w:p>
        </w:tc>
        <w:tc>
          <w:tcPr>
            <w:tcW w:w="3633"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（30.52+10.45）×6%</w:t>
            </w:r>
          </w:p>
        </w:tc>
        <w:tc>
          <w:tcPr>
            <w:tcW w:w="1089"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2.46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25" w:hRule="atLeast"/>
        </w:trPr>
        <w:tc>
          <w:tcPr>
            <w:tcW w:w="876"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w:t>
            </w:r>
          </w:p>
        </w:tc>
        <w:tc>
          <w:tcPr>
            <w:tcW w:w="2787"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人工工日预算单价</w:t>
            </w:r>
          </w:p>
        </w:tc>
        <w:tc>
          <w:tcPr>
            <w:tcW w:w="3633"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基本工资＋辅助工资＋工资附加费</w:t>
            </w:r>
          </w:p>
        </w:tc>
        <w:tc>
          <w:tcPr>
            <w:tcW w:w="1089"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61.25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25" w:hRule="atLeast"/>
          <w:tblHeader/>
        </w:trPr>
        <w:tc>
          <w:tcPr>
            <w:tcW w:w="876"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地区类别</w:t>
            </w:r>
          </w:p>
        </w:tc>
        <w:tc>
          <w:tcPr>
            <w:tcW w:w="2787"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新疆</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十一类、二类区</w:t>
            </w:r>
            <w:r>
              <w:rPr>
                <w:rFonts w:hint="eastAsia"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地区</w:t>
            </w:r>
          </w:p>
        </w:tc>
        <w:tc>
          <w:tcPr>
            <w:tcW w:w="3633"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定额人工等级</w:t>
            </w:r>
          </w:p>
        </w:tc>
        <w:tc>
          <w:tcPr>
            <w:tcW w:w="1089"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金额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25" w:hRule="atLeast"/>
        </w:trPr>
        <w:tc>
          <w:tcPr>
            <w:tcW w:w="876"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序号</w:t>
            </w:r>
          </w:p>
        </w:tc>
        <w:tc>
          <w:tcPr>
            <w:tcW w:w="2787"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项目</w:t>
            </w:r>
          </w:p>
        </w:tc>
        <w:tc>
          <w:tcPr>
            <w:tcW w:w="3633"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计算式</w:t>
            </w:r>
          </w:p>
        </w:tc>
        <w:tc>
          <w:tcPr>
            <w:tcW w:w="1089"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单价</w:t>
            </w:r>
            <w:r>
              <w:rPr>
                <w:rFonts w:hint="eastAsia"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元</w:t>
            </w:r>
            <w:r>
              <w:rPr>
                <w:rFonts w:hint="eastAsia" w:ascii="Times New Roman" w:hAnsi="Times New Roman" w:eastAsia="宋体" w:cs="Times New Roman"/>
                <w:color w:val="auto"/>
                <w:kern w:val="0"/>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25" w:hRule="atLeast"/>
        </w:trPr>
        <w:tc>
          <w:tcPr>
            <w:tcW w:w="876"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c>
          <w:tcPr>
            <w:tcW w:w="2787"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基本工资</w:t>
            </w:r>
          </w:p>
        </w:tc>
        <w:tc>
          <w:tcPr>
            <w:tcW w:w="3633"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445×1.1304×12÷240</w:t>
            </w:r>
          </w:p>
        </w:tc>
        <w:tc>
          <w:tcPr>
            <w:tcW w:w="1089"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25" w:hRule="atLeast"/>
        </w:trPr>
        <w:tc>
          <w:tcPr>
            <w:tcW w:w="876"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w:t>
            </w:r>
          </w:p>
        </w:tc>
        <w:tc>
          <w:tcPr>
            <w:tcW w:w="2787"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辅助工资</w:t>
            </w:r>
          </w:p>
        </w:tc>
        <w:tc>
          <w:tcPr>
            <w:tcW w:w="3633"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p>
        </w:tc>
        <w:tc>
          <w:tcPr>
            <w:tcW w:w="1089"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7.07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25" w:hRule="atLeast"/>
        </w:trPr>
        <w:tc>
          <w:tcPr>
            <w:tcW w:w="876"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⑴</w:t>
            </w:r>
          </w:p>
        </w:tc>
        <w:tc>
          <w:tcPr>
            <w:tcW w:w="2787"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地区津贴</w:t>
            </w:r>
          </w:p>
        </w:tc>
        <w:tc>
          <w:tcPr>
            <w:tcW w:w="3633"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73</w:t>
            </w:r>
            <w:r>
              <w:rPr>
                <w:rFonts w:hint="default" w:ascii="Times New Roman" w:hAnsi="Times New Roman" w:eastAsia="宋体" w:cs="Times New Roman"/>
                <w:color w:val="auto"/>
                <w:kern w:val="0"/>
                <w:sz w:val="21"/>
                <w:szCs w:val="21"/>
                <w:highlight w:val="none"/>
                <w:lang w:val="en-US" w:eastAsia="zh-CN"/>
              </w:rPr>
              <w:t>×12÷(250-10）</w:t>
            </w:r>
          </w:p>
        </w:tc>
        <w:tc>
          <w:tcPr>
            <w:tcW w:w="1089"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25" w:hRule="atLeast"/>
        </w:trPr>
        <w:tc>
          <w:tcPr>
            <w:tcW w:w="876"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⑵</w:t>
            </w:r>
          </w:p>
        </w:tc>
        <w:tc>
          <w:tcPr>
            <w:tcW w:w="2787"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施工津贴</w:t>
            </w:r>
          </w:p>
        </w:tc>
        <w:tc>
          <w:tcPr>
            <w:tcW w:w="3633"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2.00</w:t>
            </w:r>
            <w:r>
              <w:rPr>
                <w:rFonts w:hint="default" w:ascii="Times New Roman" w:hAnsi="Times New Roman" w:eastAsia="宋体" w:cs="Times New Roman"/>
                <w:color w:val="auto"/>
                <w:kern w:val="0"/>
                <w:sz w:val="21"/>
                <w:szCs w:val="21"/>
                <w:highlight w:val="none"/>
                <w:lang w:val="en-US" w:eastAsia="zh-CN"/>
              </w:rPr>
              <w:t>×365×0.95÷（250-10）</w:t>
            </w:r>
          </w:p>
        </w:tc>
        <w:tc>
          <w:tcPr>
            <w:tcW w:w="1089"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2.89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25" w:hRule="atLeast"/>
        </w:trPr>
        <w:tc>
          <w:tcPr>
            <w:tcW w:w="876"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⑶</w:t>
            </w:r>
          </w:p>
        </w:tc>
        <w:tc>
          <w:tcPr>
            <w:tcW w:w="2787"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夜餐津贴</w:t>
            </w:r>
          </w:p>
        </w:tc>
        <w:tc>
          <w:tcPr>
            <w:tcW w:w="3633"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rPr>
              <w:t>4.50+3.50）÷2×0.05</w:t>
            </w:r>
          </w:p>
        </w:tc>
        <w:tc>
          <w:tcPr>
            <w:tcW w:w="1089"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25" w:hRule="atLeast"/>
        </w:trPr>
        <w:tc>
          <w:tcPr>
            <w:tcW w:w="876"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⑷</w:t>
            </w:r>
          </w:p>
        </w:tc>
        <w:tc>
          <w:tcPr>
            <w:tcW w:w="2787"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节日加班津贴</w:t>
            </w:r>
          </w:p>
        </w:tc>
        <w:tc>
          <w:tcPr>
            <w:tcW w:w="3633"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25.15×2×11÷250×0.15</w:t>
            </w:r>
          </w:p>
        </w:tc>
        <w:tc>
          <w:tcPr>
            <w:tcW w:w="1089"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25" w:hRule="atLeast"/>
        </w:trPr>
        <w:tc>
          <w:tcPr>
            <w:tcW w:w="876"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w:t>
            </w:r>
          </w:p>
        </w:tc>
        <w:tc>
          <w:tcPr>
            <w:tcW w:w="2787"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工资附加费</w:t>
            </w:r>
          </w:p>
        </w:tc>
        <w:tc>
          <w:tcPr>
            <w:tcW w:w="3633"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p>
        </w:tc>
        <w:tc>
          <w:tcPr>
            <w:tcW w:w="1089"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15.95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25" w:hRule="atLeast"/>
        </w:trPr>
        <w:tc>
          <w:tcPr>
            <w:tcW w:w="876"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⑴</w:t>
            </w:r>
          </w:p>
        </w:tc>
        <w:tc>
          <w:tcPr>
            <w:tcW w:w="2787"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职工福利基金</w:t>
            </w:r>
          </w:p>
        </w:tc>
        <w:tc>
          <w:tcPr>
            <w:tcW w:w="3633"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（25.15+7.07）×14%</w:t>
            </w:r>
          </w:p>
        </w:tc>
        <w:tc>
          <w:tcPr>
            <w:tcW w:w="1089"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25" w:hRule="atLeast"/>
        </w:trPr>
        <w:tc>
          <w:tcPr>
            <w:tcW w:w="876"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⑵</w:t>
            </w:r>
          </w:p>
        </w:tc>
        <w:tc>
          <w:tcPr>
            <w:tcW w:w="2787"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工会经费</w:t>
            </w:r>
          </w:p>
        </w:tc>
        <w:tc>
          <w:tcPr>
            <w:tcW w:w="3633"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（25.15+7.07）×2%</w:t>
            </w:r>
          </w:p>
        </w:tc>
        <w:tc>
          <w:tcPr>
            <w:tcW w:w="1089"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0.64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25" w:hRule="atLeast"/>
        </w:trPr>
        <w:tc>
          <w:tcPr>
            <w:tcW w:w="876"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⑶</w:t>
            </w:r>
          </w:p>
        </w:tc>
        <w:tc>
          <w:tcPr>
            <w:tcW w:w="2787"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养老保险费</w:t>
            </w:r>
          </w:p>
        </w:tc>
        <w:tc>
          <w:tcPr>
            <w:tcW w:w="3633"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（25.15+7.07）×20%</w:t>
            </w:r>
          </w:p>
        </w:tc>
        <w:tc>
          <w:tcPr>
            <w:tcW w:w="1089"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25" w:hRule="atLeast"/>
        </w:trPr>
        <w:tc>
          <w:tcPr>
            <w:tcW w:w="876"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⑷</w:t>
            </w:r>
          </w:p>
        </w:tc>
        <w:tc>
          <w:tcPr>
            <w:tcW w:w="2787"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医疗保险费</w:t>
            </w:r>
          </w:p>
        </w:tc>
        <w:tc>
          <w:tcPr>
            <w:tcW w:w="3633"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（25.15+7.07）×4%</w:t>
            </w:r>
          </w:p>
        </w:tc>
        <w:tc>
          <w:tcPr>
            <w:tcW w:w="1089"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1.29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25" w:hRule="atLeast"/>
        </w:trPr>
        <w:tc>
          <w:tcPr>
            <w:tcW w:w="876"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⑸</w:t>
            </w:r>
          </w:p>
        </w:tc>
        <w:tc>
          <w:tcPr>
            <w:tcW w:w="2787"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工伤保险费</w:t>
            </w:r>
          </w:p>
        </w:tc>
        <w:tc>
          <w:tcPr>
            <w:tcW w:w="3633"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（25.15+7.07）×1.5%</w:t>
            </w:r>
          </w:p>
        </w:tc>
        <w:tc>
          <w:tcPr>
            <w:tcW w:w="1089"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25" w:hRule="atLeast"/>
        </w:trPr>
        <w:tc>
          <w:tcPr>
            <w:tcW w:w="876"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⑹</w:t>
            </w:r>
          </w:p>
        </w:tc>
        <w:tc>
          <w:tcPr>
            <w:tcW w:w="2787"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职工失业保险基金</w:t>
            </w:r>
          </w:p>
        </w:tc>
        <w:tc>
          <w:tcPr>
            <w:tcW w:w="3633"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（25.15+7.07）×2%</w:t>
            </w:r>
          </w:p>
        </w:tc>
        <w:tc>
          <w:tcPr>
            <w:tcW w:w="1089"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0.64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25" w:hRule="atLeast"/>
        </w:trPr>
        <w:tc>
          <w:tcPr>
            <w:tcW w:w="876"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⑺</w:t>
            </w:r>
          </w:p>
        </w:tc>
        <w:tc>
          <w:tcPr>
            <w:tcW w:w="2787"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住房公积金</w:t>
            </w:r>
          </w:p>
        </w:tc>
        <w:tc>
          <w:tcPr>
            <w:tcW w:w="3633"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（25.15+7.07）×6%</w:t>
            </w:r>
          </w:p>
        </w:tc>
        <w:tc>
          <w:tcPr>
            <w:tcW w:w="1089"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1.93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25" w:hRule="atLeast"/>
        </w:trPr>
        <w:tc>
          <w:tcPr>
            <w:tcW w:w="876"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w:t>
            </w:r>
          </w:p>
        </w:tc>
        <w:tc>
          <w:tcPr>
            <w:tcW w:w="2787" w:type="dxa"/>
            <w:shd w:val="clear" w:color="auto" w:fill="auto"/>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人工工日预算单价</w:t>
            </w:r>
          </w:p>
        </w:tc>
        <w:tc>
          <w:tcPr>
            <w:tcW w:w="3633"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基本工资＋辅助工资＋工资附加费</w:t>
            </w:r>
          </w:p>
        </w:tc>
        <w:tc>
          <w:tcPr>
            <w:tcW w:w="1089" w:type="dxa"/>
            <w:shd w:val="clear" w:color="auto" w:fill="auto"/>
            <w:noWrap/>
            <w:vAlign w:val="center"/>
          </w:tcPr>
          <w:p>
            <w:pPr>
              <w:widowControl/>
              <w:shd w:val="clear"/>
              <w:spacing w:line="0" w:lineRule="atLeas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48.17</w:t>
            </w:r>
          </w:p>
        </w:tc>
      </w:tr>
    </w:tbl>
    <w:p>
      <w:pPr>
        <w:shd w:val="clea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b）主要材料预算价格</w:t>
      </w:r>
    </w:p>
    <w:p>
      <w:pPr>
        <w:shd w:val="clea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1）施工用电价格：</w:t>
      </w:r>
    </w:p>
    <w:p>
      <w:pPr>
        <w:shd w:val="clea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施工用电为自发用电与电网供电相结合，其中自发电占20%，基础电价为0.</w:t>
      </w:r>
      <w:r>
        <w:rPr>
          <w:rFonts w:hint="eastAsia" w:ascii="仿宋" w:hAnsi="仿宋" w:eastAsia="仿宋" w:cs="仿宋"/>
          <w:color w:val="auto"/>
          <w:sz w:val="24"/>
          <w:szCs w:val="24"/>
          <w:highlight w:val="none"/>
          <w:lang w:val="en-US" w:eastAsia="zh-CN"/>
        </w:rPr>
        <w:t>50</w:t>
      </w:r>
      <w:r>
        <w:rPr>
          <w:rFonts w:hint="eastAsia" w:ascii="仿宋" w:hAnsi="仿宋" w:eastAsia="仿宋" w:cs="仿宋"/>
          <w:color w:val="auto"/>
          <w:sz w:val="24"/>
          <w:szCs w:val="24"/>
          <w:highlight w:val="none"/>
          <w:lang w:eastAsia="zh-CN"/>
        </w:rPr>
        <w:t>元每千瓦时，计算</w:t>
      </w:r>
    </w:p>
    <w:p>
      <w:pPr>
        <w:shd w:val="clea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电价=</w:t>
      </w:r>
      <w:r>
        <w:rPr>
          <w:rFonts w:hint="eastAsia" w:ascii="仿宋" w:hAnsi="仿宋" w:eastAsia="仿宋" w:cs="仿宋"/>
          <w:color w:val="auto"/>
          <w:sz w:val="24"/>
          <w:szCs w:val="24"/>
          <w:highlight w:val="none"/>
          <w:lang w:val="en-US" w:eastAsia="zh-CN"/>
        </w:rPr>
        <w:t>1.104</w:t>
      </w:r>
      <w:r>
        <w:rPr>
          <w:rFonts w:hint="eastAsia" w:ascii="仿宋" w:hAnsi="仿宋" w:eastAsia="仿宋" w:cs="仿宋"/>
          <w:color w:val="auto"/>
          <w:sz w:val="24"/>
          <w:szCs w:val="24"/>
          <w:highlight w:val="none"/>
          <w:lang w:eastAsia="zh-CN"/>
        </w:rPr>
        <w:t>（小时/千瓦）。</w:t>
      </w:r>
    </w:p>
    <w:p>
      <w:pPr>
        <w:shd w:val="clea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2）施工用水价格</w:t>
      </w:r>
    </w:p>
    <w:p>
      <w:pPr>
        <w:shd w:val="clea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施工用水用单级17千瓦的离心式水泵供水。</w:t>
      </w:r>
    </w:p>
    <w:p>
      <w:pPr>
        <w:shd w:val="clea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经计算施工用水的工地预算价</w:t>
      </w:r>
    </w:p>
    <w:p>
      <w:pPr>
        <w:shd w:val="clea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水价=</w:t>
      </w:r>
      <w:r>
        <w:rPr>
          <w:rFonts w:hint="eastAsia" w:ascii="仿宋" w:hAnsi="仿宋" w:eastAsia="仿宋" w:cs="仿宋"/>
          <w:color w:val="auto"/>
          <w:sz w:val="24"/>
          <w:szCs w:val="24"/>
          <w:highlight w:val="none"/>
          <w:lang w:val="en-US" w:eastAsia="zh-CN"/>
        </w:rPr>
        <w:t>1.138</w:t>
      </w:r>
      <w:r>
        <w:rPr>
          <w:rFonts w:hint="eastAsia" w:ascii="仿宋" w:hAnsi="仿宋" w:eastAsia="仿宋" w:cs="仿宋"/>
          <w:color w:val="auto"/>
          <w:sz w:val="24"/>
          <w:szCs w:val="24"/>
          <w:highlight w:val="none"/>
          <w:lang w:eastAsia="zh-CN"/>
        </w:rPr>
        <w:t>（元/立方米）。</w:t>
      </w:r>
    </w:p>
    <w:p>
      <w:pPr>
        <w:shd w:val="clea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3）施工用风价格</w:t>
      </w:r>
    </w:p>
    <w:p>
      <w:pPr>
        <w:shd w:val="clea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施工用风采用移动式9立方米/分钟的电动空气压缩机供应。</w:t>
      </w:r>
    </w:p>
    <w:p>
      <w:pPr>
        <w:shd w:val="clea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经计算施工用风的工地预算价</w:t>
      </w:r>
    </w:p>
    <w:p>
      <w:pPr>
        <w:shd w:val="clea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风价=</w:t>
      </w:r>
      <w:r>
        <w:rPr>
          <w:rFonts w:hint="eastAsia" w:ascii="仿宋" w:hAnsi="仿宋" w:eastAsia="仿宋" w:cs="仿宋"/>
          <w:color w:val="auto"/>
          <w:sz w:val="24"/>
          <w:szCs w:val="24"/>
          <w:highlight w:val="none"/>
          <w:lang w:val="en-US" w:eastAsia="zh-CN"/>
        </w:rPr>
        <w:t>0.408</w:t>
      </w:r>
      <w:r>
        <w:rPr>
          <w:rFonts w:hint="eastAsia" w:ascii="仿宋" w:hAnsi="仿宋" w:eastAsia="仿宋" w:cs="仿宋"/>
          <w:color w:val="auto"/>
          <w:sz w:val="24"/>
          <w:szCs w:val="24"/>
          <w:highlight w:val="none"/>
          <w:lang w:eastAsia="zh-CN"/>
        </w:rPr>
        <w:t>（元/立方米）。</w:t>
      </w:r>
    </w:p>
    <w:p>
      <w:pPr>
        <w:shd w:val="clea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c）主要材料价格</w:t>
      </w:r>
    </w:p>
    <w:p>
      <w:pPr>
        <w:shd w:val="clea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材料预算价格=（材料原价+包装费+运杂费）×（1+采购及保管费率）+运输保险费</w:t>
      </w:r>
    </w:p>
    <w:p>
      <w:pPr>
        <w:shd w:val="clea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其中：运杂费考虑了材料、运距以及单位距离运输费用其计算结果见附表。</w:t>
      </w:r>
    </w:p>
    <w:p>
      <w:pPr>
        <w:shd w:val="clea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根据“财综〔2011〕128号”对主要材料进行限价，当主要材料预算价格等于或小于“主材规定价格表”中所列的规定价格时，直接计入工程施工费单价；当主要材料预算价格大于“主材规定价格表”中所列的规定价格时，超出限价部分单独计算材料价差（只计取材料费和税金），不参与取费。本方案中对汽油、柴油进行限价，汽油取5000元/吨，柴油4500元/吨。</w:t>
      </w:r>
    </w:p>
    <w:p>
      <w:pPr>
        <w:pStyle w:val="4"/>
        <w:keepNext/>
        <w:keepLines/>
        <w:pageBreakBefore w:val="0"/>
        <w:widowControl w:val="0"/>
        <w:shd w:val="clear"/>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color w:val="auto"/>
          <w:highlight w:val="none"/>
        </w:rPr>
      </w:pPr>
      <w:bookmarkStart w:id="184" w:name="_Toc4210"/>
      <w:bookmarkStart w:id="185" w:name="_Toc384127085"/>
      <w:r>
        <w:rPr>
          <w:rFonts w:hint="eastAsia" w:cs="Times New Roman"/>
          <w:color w:val="auto"/>
          <w:highlight w:val="none"/>
          <w:lang w:val="en-US" w:eastAsia="zh-CN"/>
        </w:rPr>
        <w:t>7</w:t>
      </w:r>
      <w:r>
        <w:rPr>
          <w:rFonts w:hint="default" w:ascii="Times New Roman" w:hAnsi="Times New Roman" w:cs="Times New Roman"/>
          <w:color w:val="auto"/>
          <w:highlight w:val="none"/>
        </w:rPr>
        <w:t>.4费用构成及计算标准</w:t>
      </w:r>
      <w:bookmarkEnd w:id="184"/>
      <w:bookmarkEnd w:id="185"/>
    </w:p>
    <w:p>
      <w:pPr>
        <w:shd w:val="clea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根据《土地复垦方案编制规程》、《土地开发整理项目预算定额标准》及结合本项目的实际情况，确定本项目土地复垦费用包括工程施工费、设备费、其他费用（前期工作费、工程监理费、竣工验收费、业主管理费）、监测与管护费以及预备费（基本预备费和价差预备费）。</w:t>
      </w:r>
    </w:p>
    <w:p>
      <w:pPr>
        <w:shd w:val="clea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Ⅰ工程施工费</w:t>
      </w:r>
    </w:p>
    <w:p>
      <w:pPr>
        <w:shd w:val="clea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根据《土地复垦方案编制规程》规定，工程施工费由直接费、间接费、利润、税金4项组成。</w:t>
      </w:r>
    </w:p>
    <w:p>
      <w:pPr>
        <w:shd w:val="clea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a.直接费</w:t>
      </w:r>
    </w:p>
    <w:p>
      <w:pPr>
        <w:shd w:val="clea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直接费指工程施工过程中直接消耗在工程项目上的活劳动和物化劳动。由直接工程费、措施费组成。</w:t>
      </w:r>
    </w:p>
    <w:p>
      <w:pPr>
        <w:shd w:val="clea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（1）直接工程费</w:t>
      </w:r>
    </w:p>
    <w:p>
      <w:pPr>
        <w:shd w:val="clea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直接工程费由人工费、材料费、施工机械使用费组成。</w:t>
      </w:r>
    </w:p>
    <w:p>
      <w:pPr>
        <w:shd w:val="clea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人工费=定额工程量（工时）×定人工预算单价（元/工时）</w:t>
      </w:r>
    </w:p>
    <w:p>
      <w:pPr>
        <w:shd w:val="clea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材料费=定额材料用量×材料预算单价</w:t>
      </w:r>
    </w:p>
    <w:p>
      <w:pPr>
        <w:shd w:val="clea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施工机械使用费=定额机械使用量（台时）×施工机械台时费</w:t>
      </w:r>
    </w:p>
    <w:p>
      <w:pPr>
        <w:shd w:val="clea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其他费用=定额百分比×（人工费+材料费+机械使用费）</w:t>
      </w:r>
    </w:p>
    <w:p>
      <w:pPr>
        <w:shd w:val="clea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（2）措施费</w:t>
      </w:r>
    </w:p>
    <w:p>
      <w:pPr>
        <w:shd w:val="clear"/>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措施费包括临时设施费、冬季施工增加费、夜间施工增加费、施工辅助费、特殊地区施工增加费和安全施工措施费，计算基础为直接工程费。</w:t>
      </w:r>
    </w:p>
    <w:p>
      <w:pPr>
        <w:shd w:val="clear"/>
        <w:spacing w:line="360" w:lineRule="auto"/>
        <w:ind w:firstLine="480" w:firstLineChars="200"/>
        <w:rPr>
          <w:rFonts w:hint="default" w:ascii="Times New Roman" w:hAnsi="Times New Roman" w:eastAsia="仿宋_GB2312" w:cs="Times New Roman"/>
          <w:color w:val="auto"/>
          <w:sz w:val="24"/>
          <w:szCs w:val="24"/>
          <w:highlight w:val="none"/>
          <w:lang w:eastAsia="zh-CN"/>
        </w:rPr>
      </w:pPr>
      <w:r>
        <w:rPr>
          <w:rFonts w:hint="eastAsia" w:ascii="仿宋" w:hAnsi="仿宋" w:eastAsia="仿宋" w:cs="仿宋"/>
          <w:color w:val="auto"/>
          <w:sz w:val="24"/>
          <w:szCs w:val="24"/>
          <w:highlight w:val="none"/>
          <w:lang w:eastAsia="zh-CN"/>
        </w:rPr>
        <w:fldChar w:fldCharType="begin"/>
      </w:r>
      <w:r>
        <w:rPr>
          <w:rFonts w:hint="eastAsia" w:ascii="仿宋" w:hAnsi="仿宋" w:eastAsia="仿宋" w:cs="仿宋"/>
          <w:color w:val="auto"/>
          <w:sz w:val="24"/>
          <w:szCs w:val="24"/>
          <w:highlight w:val="none"/>
          <w:lang w:eastAsia="zh-CN"/>
        </w:rPr>
        <w:instrText xml:space="preserve">= 1 \* GB3</w:instrText>
      </w:r>
      <w:r>
        <w:rPr>
          <w:rFonts w:hint="eastAsia" w:ascii="仿宋" w:hAnsi="仿宋" w:eastAsia="仿宋" w:cs="仿宋"/>
          <w:color w:val="auto"/>
          <w:sz w:val="24"/>
          <w:szCs w:val="24"/>
          <w:highlight w:val="none"/>
          <w:lang w:eastAsia="zh-CN"/>
        </w:rPr>
        <w:fldChar w:fldCharType="separate"/>
      </w:r>
      <w:r>
        <w:rPr>
          <w:rFonts w:hint="eastAsia" w:ascii="仿宋" w:hAnsi="仿宋" w:eastAsia="仿宋" w:cs="仿宋"/>
          <w:color w:val="auto"/>
          <w:sz w:val="24"/>
          <w:szCs w:val="24"/>
          <w:highlight w:val="none"/>
          <w:lang w:eastAsia="zh-CN"/>
        </w:rPr>
        <w:t>①</w:t>
      </w:r>
      <w:r>
        <w:rPr>
          <w:rFonts w:hint="eastAsia" w:ascii="仿宋" w:hAnsi="仿宋" w:eastAsia="仿宋" w:cs="仿宋"/>
          <w:color w:val="auto"/>
          <w:sz w:val="24"/>
          <w:szCs w:val="24"/>
          <w:highlight w:val="none"/>
          <w:lang w:eastAsia="zh-CN"/>
        </w:rPr>
        <w:fldChar w:fldCharType="end"/>
      </w:r>
      <w:r>
        <w:rPr>
          <w:rFonts w:hint="eastAsia" w:ascii="仿宋" w:hAnsi="仿宋" w:eastAsia="仿宋" w:cs="仿宋"/>
          <w:color w:val="auto"/>
          <w:sz w:val="24"/>
          <w:szCs w:val="24"/>
          <w:highlight w:val="none"/>
          <w:lang w:eastAsia="zh-CN"/>
        </w:rPr>
        <w:t>临时设施费。指施工企业为进行工程施工所必须搭设的生活和生产用地临时建筑物、构筑物和其他临时设施费用等。临时设施费用包括：临时设施的搭设、</w:t>
      </w:r>
      <w:r>
        <w:rPr>
          <w:rFonts w:hint="default" w:ascii="Times New Roman" w:hAnsi="Times New Roman" w:eastAsia="仿宋_GB2312" w:cs="Times New Roman"/>
          <w:color w:val="auto"/>
          <w:sz w:val="24"/>
          <w:szCs w:val="24"/>
          <w:highlight w:val="none"/>
          <w:lang w:eastAsia="zh-CN"/>
        </w:rPr>
        <w:t>维修、拆除费或摊销费。根据不同的工程性质，临时设施费率见表</w:t>
      </w:r>
      <w:r>
        <w:rPr>
          <w:rFonts w:hint="eastAsia" w:ascii="Times New Roman" w:hAnsi="Times New Roman" w:eastAsia="仿宋_GB2312" w:cs="Times New Roman"/>
          <w:color w:val="auto"/>
          <w:sz w:val="24"/>
          <w:szCs w:val="24"/>
          <w:highlight w:val="none"/>
          <w:lang w:val="en-US" w:eastAsia="zh-CN"/>
        </w:rPr>
        <w:t>7</w:t>
      </w:r>
      <w:r>
        <w:rPr>
          <w:rFonts w:hint="default" w:ascii="Times New Roman" w:hAnsi="Times New Roman" w:eastAsia="仿宋_GB2312" w:cs="Times New Roman"/>
          <w:color w:val="auto"/>
          <w:sz w:val="24"/>
          <w:szCs w:val="24"/>
          <w:highlight w:val="none"/>
          <w:lang w:eastAsia="zh-CN"/>
        </w:rPr>
        <w:t>-</w:t>
      </w:r>
      <w:r>
        <w:rPr>
          <w:rFonts w:hint="default" w:ascii="Times New Roman" w:hAnsi="Times New Roman" w:eastAsia="仿宋_GB2312" w:cs="Times New Roman"/>
          <w:color w:val="auto"/>
          <w:sz w:val="24"/>
          <w:szCs w:val="24"/>
          <w:highlight w:val="none"/>
          <w:lang w:val="en-US" w:eastAsia="zh-CN"/>
        </w:rPr>
        <w:t>2</w:t>
      </w:r>
      <w:r>
        <w:rPr>
          <w:rFonts w:hint="default" w:ascii="Times New Roman" w:hAnsi="Times New Roman" w:eastAsia="仿宋_GB2312" w:cs="Times New Roman"/>
          <w:color w:val="auto"/>
          <w:sz w:val="24"/>
          <w:szCs w:val="24"/>
          <w:highlight w:val="none"/>
          <w:lang w:eastAsia="zh-CN"/>
        </w:rPr>
        <w:t>。</w:t>
      </w:r>
    </w:p>
    <w:p>
      <w:pPr>
        <w:pStyle w:val="43"/>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w:t>
      </w:r>
      <w:r>
        <w:rPr>
          <w:rFonts w:hint="eastAsia" w:ascii="Times New Roman" w:hAnsi="Times New Roman" w:cs="Times New Roman"/>
          <w:color w:val="auto"/>
          <w:highlight w:val="none"/>
          <w:lang w:val="en-US" w:eastAsia="zh-CN"/>
        </w:rPr>
        <w:t>7</w:t>
      </w:r>
      <w:r>
        <w:rPr>
          <w:rFonts w:hint="default" w:ascii="Times New Roman" w:hAnsi="Times New Roman" w:cs="Times New Roman"/>
          <w:color w:val="auto"/>
          <w:highlight w:val="none"/>
          <w:lang w:val="en-US" w:eastAsia="zh-CN"/>
        </w:rPr>
        <w:t>-2临时设施费费率表</w:t>
      </w:r>
    </w:p>
    <w:tbl>
      <w:tblPr>
        <w:tblStyle w:val="22"/>
        <w:tblW w:w="851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9"/>
        <w:gridCol w:w="2536"/>
        <w:gridCol w:w="2536"/>
        <w:gridCol w:w="25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909"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序号</w:t>
            </w:r>
          </w:p>
        </w:tc>
        <w:tc>
          <w:tcPr>
            <w:tcW w:w="2536"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工程类别</w:t>
            </w:r>
          </w:p>
        </w:tc>
        <w:tc>
          <w:tcPr>
            <w:tcW w:w="2536"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计算基础</w:t>
            </w:r>
          </w:p>
        </w:tc>
        <w:tc>
          <w:tcPr>
            <w:tcW w:w="2538"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临时设施费费率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09"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w:t>
            </w:r>
          </w:p>
        </w:tc>
        <w:tc>
          <w:tcPr>
            <w:tcW w:w="2536"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土方工程</w:t>
            </w:r>
          </w:p>
        </w:tc>
        <w:tc>
          <w:tcPr>
            <w:tcW w:w="2536"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直接工程费</w:t>
            </w:r>
          </w:p>
        </w:tc>
        <w:tc>
          <w:tcPr>
            <w:tcW w:w="2538"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09"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w:t>
            </w:r>
          </w:p>
        </w:tc>
        <w:tc>
          <w:tcPr>
            <w:tcW w:w="2536"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石方工程</w:t>
            </w:r>
          </w:p>
        </w:tc>
        <w:tc>
          <w:tcPr>
            <w:tcW w:w="2536"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直接工程费</w:t>
            </w:r>
          </w:p>
        </w:tc>
        <w:tc>
          <w:tcPr>
            <w:tcW w:w="2538"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09"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w:t>
            </w:r>
          </w:p>
        </w:tc>
        <w:tc>
          <w:tcPr>
            <w:tcW w:w="2536"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砌体工程</w:t>
            </w:r>
          </w:p>
        </w:tc>
        <w:tc>
          <w:tcPr>
            <w:tcW w:w="2536"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直接工程费</w:t>
            </w:r>
          </w:p>
        </w:tc>
        <w:tc>
          <w:tcPr>
            <w:tcW w:w="2538"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09"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w:t>
            </w:r>
          </w:p>
        </w:tc>
        <w:tc>
          <w:tcPr>
            <w:tcW w:w="2536"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混凝土工程</w:t>
            </w:r>
          </w:p>
        </w:tc>
        <w:tc>
          <w:tcPr>
            <w:tcW w:w="2536"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直接工程费</w:t>
            </w:r>
          </w:p>
        </w:tc>
        <w:tc>
          <w:tcPr>
            <w:tcW w:w="2538"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09"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w:t>
            </w:r>
          </w:p>
        </w:tc>
        <w:tc>
          <w:tcPr>
            <w:tcW w:w="2536"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农用井工程</w:t>
            </w:r>
          </w:p>
        </w:tc>
        <w:tc>
          <w:tcPr>
            <w:tcW w:w="2536"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直接工程费</w:t>
            </w:r>
          </w:p>
        </w:tc>
        <w:tc>
          <w:tcPr>
            <w:tcW w:w="2538"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09"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w:t>
            </w:r>
          </w:p>
        </w:tc>
        <w:tc>
          <w:tcPr>
            <w:tcW w:w="2536"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其他工程</w:t>
            </w:r>
          </w:p>
        </w:tc>
        <w:tc>
          <w:tcPr>
            <w:tcW w:w="2536"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直接工程费</w:t>
            </w:r>
          </w:p>
        </w:tc>
        <w:tc>
          <w:tcPr>
            <w:tcW w:w="2538"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09"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7</w:t>
            </w:r>
          </w:p>
        </w:tc>
        <w:tc>
          <w:tcPr>
            <w:tcW w:w="2536"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安装工程</w:t>
            </w:r>
          </w:p>
        </w:tc>
        <w:tc>
          <w:tcPr>
            <w:tcW w:w="2536"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直接工程费</w:t>
            </w:r>
          </w:p>
        </w:tc>
        <w:tc>
          <w:tcPr>
            <w:tcW w:w="2538"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w:t>
            </w:r>
          </w:p>
        </w:tc>
      </w:tr>
    </w:tbl>
    <w:p>
      <w:pPr>
        <w:shd w:val="clear"/>
        <w:adjustRightInd w:val="0"/>
        <w:snapToGrid w:val="0"/>
        <w:spacing w:line="360" w:lineRule="auto"/>
        <w:ind w:firstLine="420" w:firstLineChars="200"/>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eastAsia="zh-CN"/>
        </w:rPr>
        <w:t>注：其他工程指除上述工程以外的工程，如防渗、架线工程及PVC管、混凝土管安装等；安装工程：包括设备及金属结构件（钢管、铸铁管等）安装工程。</w:t>
      </w:r>
    </w:p>
    <w:p>
      <w:pPr>
        <w:shd w:val="clear"/>
        <w:spacing w:line="360" w:lineRule="auto"/>
        <w:ind w:firstLine="480" w:firstLineChars="200"/>
        <w:rPr>
          <w:rFonts w:hint="default" w:ascii="仿宋" w:hAnsi="仿宋" w:eastAsia="仿宋" w:cs="仿宋"/>
          <w:color w:val="auto"/>
          <w:kern w:val="0"/>
          <w:sz w:val="24"/>
          <w:szCs w:val="24"/>
          <w:highlight w:val="none"/>
          <w:lang w:eastAsia="zh-CN"/>
        </w:rPr>
      </w:pPr>
      <w:r>
        <w:rPr>
          <w:rFonts w:hint="default" w:ascii="仿宋" w:hAnsi="仿宋" w:eastAsia="仿宋" w:cs="仿宋"/>
          <w:color w:val="auto"/>
          <w:kern w:val="0"/>
          <w:sz w:val="24"/>
          <w:szCs w:val="24"/>
          <w:highlight w:val="none"/>
          <w:lang w:eastAsia="zh-CN"/>
        </w:rPr>
        <w:fldChar w:fldCharType="begin"/>
      </w:r>
      <w:r>
        <w:rPr>
          <w:rFonts w:hint="default" w:ascii="仿宋" w:hAnsi="仿宋" w:eastAsia="仿宋" w:cs="仿宋"/>
          <w:color w:val="auto"/>
          <w:kern w:val="0"/>
          <w:sz w:val="24"/>
          <w:szCs w:val="24"/>
          <w:highlight w:val="none"/>
          <w:lang w:eastAsia="zh-CN"/>
        </w:rPr>
        <w:instrText xml:space="preserve">= 2 \* GB3</w:instrText>
      </w:r>
      <w:r>
        <w:rPr>
          <w:rFonts w:hint="default" w:ascii="仿宋" w:hAnsi="仿宋" w:eastAsia="仿宋" w:cs="仿宋"/>
          <w:color w:val="auto"/>
          <w:kern w:val="0"/>
          <w:sz w:val="24"/>
          <w:szCs w:val="24"/>
          <w:highlight w:val="none"/>
          <w:lang w:eastAsia="zh-CN"/>
        </w:rPr>
        <w:fldChar w:fldCharType="separate"/>
      </w:r>
      <w:r>
        <w:rPr>
          <w:rFonts w:hint="default" w:ascii="仿宋" w:hAnsi="仿宋" w:eastAsia="仿宋" w:cs="仿宋"/>
          <w:color w:val="auto"/>
          <w:kern w:val="0"/>
          <w:sz w:val="24"/>
          <w:szCs w:val="24"/>
          <w:highlight w:val="none"/>
          <w:lang w:eastAsia="zh-CN"/>
        </w:rPr>
        <w:t>②</w:t>
      </w:r>
      <w:r>
        <w:rPr>
          <w:rFonts w:hint="default" w:ascii="仿宋" w:hAnsi="仿宋" w:eastAsia="仿宋" w:cs="仿宋"/>
          <w:color w:val="auto"/>
          <w:kern w:val="0"/>
          <w:sz w:val="24"/>
          <w:szCs w:val="24"/>
          <w:highlight w:val="none"/>
          <w:lang w:eastAsia="zh-CN"/>
        </w:rPr>
        <w:fldChar w:fldCharType="end"/>
      </w:r>
      <w:r>
        <w:rPr>
          <w:rFonts w:hint="default" w:ascii="仿宋" w:hAnsi="仿宋" w:eastAsia="仿宋" w:cs="仿宋"/>
          <w:color w:val="auto"/>
          <w:kern w:val="0"/>
          <w:sz w:val="24"/>
          <w:szCs w:val="24"/>
          <w:highlight w:val="none"/>
          <w:lang w:eastAsia="zh-CN"/>
        </w:rPr>
        <w:t>冬雨季施工增加费。指冬雨季施工期间为保证工程质量所需增加的费用。根据不同的地区，按直接工程费的百分率计算，费率确定为0.7%～1.5%。本项目的费率确定为1.1%。</w:t>
      </w:r>
    </w:p>
    <w:p>
      <w:pPr>
        <w:shd w:val="clear"/>
        <w:spacing w:line="360" w:lineRule="auto"/>
        <w:ind w:firstLine="480" w:firstLineChars="200"/>
        <w:rPr>
          <w:rFonts w:hint="default" w:ascii="仿宋" w:hAnsi="仿宋" w:eastAsia="仿宋" w:cs="仿宋"/>
          <w:color w:val="auto"/>
          <w:kern w:val="0"/>
          <w:sz w:val="24"/>
          <w:szCs w:val="24"/>
          <w:highlight w:val="none"/>
          <w:lang w:eastAsia="zh-CN"/>
        </w:rPr>
      </w:pPr>
      <w:r>
        <w:rPr>
          <w:rFonts w:hint="default" w:ascii="仿宋" w:hAnsi="仿宋" w:eastAsia="仿宋" w:cs="仿宋"/>
          <w:color w:val="auto"/>
          <w:kern w:val="0"/>
          <w:sz w:val="24"/>
          <w:szCs w:val="24"/>
          <w:highlight w:val="none"/>
          <w:lang w:eastAsia="zh-CN"/>
        </w:rPr>
        <w:fldChar w:fldCharType="begin"/>
      </w:r>
      <w:r>
        <w:rPr>
          <w:rFonts w:hint="default" w:ascii="仿宋" w:hAnsi="仿宋" w:eastAsia="仿宋" w:cs="仿宋"/>
          <w:color w:val="auto"/>
          <w:kern w:val="0"/>
          <w:sz w:val="24"/>
          <w:szCs w:val="24"/>
          <w:highlight w:val="none"/>
          <w:lang w:eastAsia="zh-CN"/>
        </w:rPr>
        <w:instrText xml:space="preserve">= 3 \* GB3</w:instrText>
      </w:r>
      <w:r>
        <w:rPr>
          <w:rFonts w:hint="default" w:ascii="仿宋" w:hAnsi="仿宋" w:eastAsia="仿宋" w:cs="仿宋"/>
          <w:color w:val="auto"/>
          <w:kern w:val="0"/>
          <w:sz w:val="24"/>
          <w:szCs w:val="24"/>
          <w:highlight w:val="none"/>
          <w:lang w:eastAsia="zh-CN"/>
        </w:rPr>
        <w:fldChar w:fldCharType="separate"/>
      </w:r>
      <w:r>
        <w:rPr>
          <w:rFonts w:hint="default" w:ascii="仿宋" w:hAnsi="仿宋" w:eastAsia="仿宋" w:cs="仿宋"/>
          <w:color w:val="auto"/>
          <w:kern w:val="0"/>
          <w:sz w:val="24"/>
          <w:szCs w:val="24"/>
          <w:highlight w:val="none"/>
          <w:lang w:eastAsia="zh-CN"/>
        </w:rPr>
        <w:t>③</w:t>
      </w:r>
      <w:r>
        <w:rPr>
          <w:rFonts w:hint="default" w:ascii="仿宋" w:hAnsi="仿宋" w:eastAsia="仿宋" w:cs="仿宋"/>
          <w:color w:val="auto"/>
          <w:kern w:val="0"/>
          <w:sz w:val="24"/>
          <w:szCs w:val="24"/>
          <w:highlight w:val="none"/>
          <w:lang w:eastAsia="zh-CN"/>
        </w:rPr>
        <w:fldChar w:fldCharType="end"/>
      </w:r>
      <w:r>
        <w:rPr>
          <w:rFonts w:hint="default" w:ascii="仿宋" w:hAnsi="仿宋" w:eastAsia="仿宋" w:cs="仿宋"/>
          <w:color w:val="auto"/>
          <w:kern w:val="0"/>
          <w:sz w:val="24"/>
          <w:szCs w:val="24"/>
          <w:highlight w:val="none"/>
          <w:lang w:eastAsia="zh-CN"/>
        </w:rPr>
        <w:t>夜间施工增加费</w:t>
      </w:r>
    </w:p>
    <w:p>
      <w:pPr>
        <w:shd w:val="clear"/>
        <w:spacing w:line="360" w:lineRule="auto"/>
        <w:ind w:firstLine="480" w:firstLineChars="200"/>
        <w:rPr>
          <w:rFonts w:hint="default" w:ascii="仿宋" w:hAnsi="仿宋" w:eastAsia="仿宋" w:cs="仿宋"/>
          <w:color w:val="auto"/>
          <w:kern w:val="0"/>
          <w:sz w:val="24"/>
          <w:szCs w:val="24"/>
          <w:highlight w:val="none"/>
          <w:lang w:eastAsia="zh-CN"/>
        </w:rPr>
      </w:pPr>
      <w:r>
        <w:rPr>
          <w:rFonts w:hint="default" w:ascii="仿宋" w:hAnsi="仿宋" w:eastAsia="仿宋" w:cs="仿宋"/>
          <w:color w:val="auto"/>
          <w:kern w:val="0"/>
          <w:sz w:val="24"/>
          <w:szCs w:val="24"/>
          <w:highlight w:val="none"/>
          <w:lang w:eastAsia="zh-CN"/>
        </w:rPr>
        <w:t>本项目不计夜间施工增加费。</w:t>
      </w:r>
    </w:p>
    <w:p>
      <w:pPr>
        <w:shd w:val="clear"/>
        <w:spacing w:line="360" w:lineRule="auto"/>
        <w:ind w:firstLine="480" w:firstLineChars="200"/>
        <w:rPr>
          <w:rFonts w:hint="default" w:ascii="仿宋" w:hAnsi="仿宋" w:eastAsia="仿宋" w:cs="仿宋"/>
          <w:color w:val="auto"/>
          <w:kern w:val="0"/>
          <w:sz w:val="24"/>
          <w:szCs w:val="24"/>
          <w:highlight w:val="none"/>
          <w:lang w:eastAsia="zh-CN"/>
        </w:rPr>
      </w:pPr>
      <w:r>
        <w:rPr>
          <w:rFonts w:hint="default" w:ascii="仿宋" w:hAnsi="仿宋" w:eastAsia="仿宋" w:cs="仿宋"/>
          <w:color w:val="auto"/>
          <w:kern w:val="0"/>
          <w:sz w:val="24"/>
          <w:szCs w:val="24"/>
          <w:highlight w:val="none"/>
          <w:lang w:eastAsia="zh-CN"/>
        </w:rPr>
        <w:fldChar w:fldCharType="begin"/>
      </w:r>
      <w:r>
        <w:rPr>
          <w:rFonts w:hint="default" w:ascii="仿宋" w:hAnsi="仿宋" w:eastAsia="仿宋" w:cs="仿宋"/>
          <w:color w:val="auto"/>
          <w:kern w:val="0"/>
          <w:sz w:val="24"/>
          <w:szCs w:val="24"/>
          <w:highlight w:val="none"/>
          <w:lang w:eastAsia="zh-CN"/>
        </w:rPr>
        <w:instrText xml:space="preserve">= 4 \* GB3</w:instrText>
      </w:r>
      <w:r>
        <w:rPr>
          <w:rFonts w:hint="default" w:ascii="仿宋" w:hAnsi="仿宋" w:eastAsia="仿宋" w:cs="仿宋"/>
          <w:color w:val="auto"/>
          <w:kern w:val="0"/>
          <w:sz w:val="24"/>
          <w:szCs w:val="24"/>
          <w:highlight w:val="none"/>
          <w:lang w:eastAsia="zh-CN"/>
        </w:rPr>
        <w:fldChar w:fldCharType="separate"/>
      </w:r>
      <w:r>
        <w:rPr>
          <w:rFonts w:hint="default" w:ascii="仿宋" w:hAnsi="仿宋" w:eastAsia="仿宋" w:cs="仿宋"/>
          <w:color w:val="auto"/>
          <w:kern w:val="0"/>
          <w:sz w:val="24"/>
          <w:szCs w:val="24"/>
          <w:highlight w:val="none"/>
          <w:lang w:eastAsia="zh-CN"/>
        </w:rPr>
        <w:t>④</w:t>
      </w:r>
      <w:r>
        <w:rPr>
          <w:rFonts w:hint="default" w:ascii="仿宋" w:hAnsi="仿宋" w:eastAsia="仿宋" w:cs="仿宋"/>
          <w:color w:val="auto"/>
          <w:kern w:val="0"/>
          <w:sz w:val="24"/>
          <w:szCs w:val="24"/>
          <w:highlight w:val="none"/>
          <w:lang w:eastAsia="zh-CN"/>
        </w:rPr>
        <w:fldChar w:fldCharType="end"/>
      </w:r>
      <w:r>
        <w:rPr>
          <w:rFonts w:hint="default" w:ascii="仿宋" w:hAnsi="仿宋" w:eastAsia="仿宋" w:cs="仿宋"/>
          <w:color w:val="auto"/>
          <w:kern w:val="0"/>
          <w:sz w:val="24"/>
          <w:szCs w:val="24"/>
          <w:highlight w:val="none"/>
          <w:lang w:eastAsia="zh-CN"/>
        </w:rPr>
        <w:t>施工辅助费。包括二次搬运费、已完工程及设备保护费、施工排水及降水费、检验试验费、工程定位复测费、工程点交等费用。该项目施工辅助费按直接工程费的百分率计取，其中安装工程为1.00%，建筑工程为0.70%。</w:t>
      </w:r>
    </w:p>
    <w:p>
      <w:pPr>
        <w:shd w:val="clear"/>
        <w:spacing w:line="360" w:lineRule="auto"/>
        <w:ind w:firstLine="480" w:firstLineChars="200"/>
        <w:rPr>
          <w:rFonts w:hint="default" w:ascii="仿宋" w:hAnsi="仿宋" w:eastAsia="仿宋" w:cs="仿宋"/>
          <w:color w:val="auto"/>
          <w:kern w:val="0"/>
          <w:sz w:val="24"/>
          <w:szCs w:val="24"/>
          <w:highlight w:val="none"/>
          <w:lang w:eastAsia="zh-CN"/>
        </w:rPr>
      </w:pPr>
      <w:r>
        <w:rPr>
          <w:rFonts w:hint="default" w:ascii="仿宋" w:hAnsi="仿宋" w:eastAsia="仿宋" w:cs="仿宋"/>
          <w:color w:val="auto"/>
          <w:kern w:val="0"/>
          <w:sz w:val="24"/>
          <w:szCs w:val="24"/>
          <w:highlight w:val="none"/>
          <w:lang w:eastAsia="zh-CN"/>
        </w:rPr>
        <w:fldChar w:fldCharType="begin"/>
      </w:r>
      <w:r>
        <w:rPr>
          <w:rFonts w:hint="default" w:ascii="仿宋" w:hAnsi="仿宋" w:eastAsia="仿宋" w:cs="仿宋"/>
          <w:color w:val="auto"/>
          <w:kern w:val="0"/>
          <w:sz w:val="24"/>
          <w:szCs w:val="24"/>
          <w:highlight w:val="none"/>
          <w:lang w:eastAsia="zh-CN"/>
        </w:rPr>
        <w:instrText xml:space="preserve">= 5 \* GB3</w:instrText>
      </w:r>
      <w:r>
        <w:rPr>
          <w:rFonts w:hint="default" w:ascii="仿宋" w:hAnsi="仿宋" w:eastAsia="仿宋" w:cs="仿宋"/>
          <w:color w:val="auto"/>
          <w:kern w:val="0"/>
          <w:sz w:val="24"/>
          <w:szCs w:val="24"/>
          <w:highlight w:val="none"/>
          <w:lang w:eastAsia="zh-CN"/>
        </w:rPr>
        <w:fldChar w:fldCharType="separate"/>
      </w:r>
      <w:r>
        <w:rPr>
          <w:rFonts w:hint="default" w:ascii="仿宋" w:hAnsi="仿宋" w:eastAsia="仿宋" w:cs="仿宋"/>
          <w:color w:val="auto"/>
          <w:kern w:val="0"/>
          <w:sz w:val="24"/>
          <w:szCs w:val="24"/>
          <w:highlight w:val="none"/>
          <w:lang w:eastAsia="zh-CN"/>
        </w:rPr>
        <w:t>⑤</w:t>
      </w:r>
      <w:r>
        <w:rPr>
          <w:rFonts w:hint="default" w:ascii="仿宋" w:hAnsi="仿宋" w:eastAsia="仿宋" w:cs="仿宋"/>
          <w:color w:val="auto"/>
          <w:kern w:val="0"/>
          <w:sz w:val="24"/>
          <w:szCs w:val="24"/>
          <w:highlight w:val="none"/>
          <w:lang w:eastAsia="zh-CN"/>
        </w:rPr>
        <w:fldChar w:fldCharType="end"/>
      </w:r>
      <w:r>
        <w:rPr>
          <w:rFonts w:hint="default" w:ascii="仿宋" w:hAnsi="仿宋" w:eastAsia="仿宋" w:cs="仿宋"/>
          <w:color w:val="auto"/>
          <w:kern w:val="0"/>
          <w:sz w:val="24"/>
          <w:szCs w:val="24"/>
          <w:highlight w:val="none"/>
          <w:lang w:eastAsia="zh-CN"/>
        </w:rPr>
        <w:t>特殊地区施工增加费</w:t>
      </w:r>
    </w:p>
    <w:p>
      <w:pPr>
        <w:shd w:val="clear"/>
        <w:spacing w:line="360" w:lineRule="auto"/>
        <w:ind w:firstLine="480" w:firstLineChars="200"/>
        <w:rPr>
          <w:rFonts w:hint="default" w:ascii="仿宋" w:hAnsi="仿宋" w:eastAsia="仿宋" w:cs="仿宋"/>
          <w:color w:val="auto"/>
          <w:kern w:val="0"/>
          <w:sz w:val="24"/>
          <w:szCs w:val="24"/>
          <w:highlight w:val="none"/>
          <w:lang w:eastAsia="zh-CN"/>
        </w:rPr>
      </w:pPr>
      <w:r>
        <w:rPr>
          <w:rFonts w:hint="default" w:ascii="仿宋" w:hAnsi="仿宋" w:eastAsia="仿宋" w:cs="仿宋"/>
          <w:color w:val="auto"/>
          <w:kern w:val="0"/>
          <w:sz w:val="24"/>
          <w:szCs w:val="24"/>
          <w:highlight w:val="none"/>
          <w:lang w:eastAsia="zh-CN"/>
        </w:rPr>
        <w:t>高海拔地区的高程增加费，按规定直接计入定额；其他特殊增加费（如酷热、风沙等），按工程所在地区规定的标准计算，地方没有规定的不得计算此项费用。</w:t>
      </w:r>
    </w:p>
    <w:p>
      <w:pPr>
        <w:shd w:val="clear"/>
        <w:spacing w:line="360" w:lineRule="auto"/>
        <w:ind w:firstLine="480" w:firstLineChars="200"/>
        <w:rPr>
          <w:rFonts w:hint="default" w:ascii="仿宋" w:hAnsi="仿宋" w:eastAsia="仿宋" w:cs="仿宋"/>
          <w:color w:val="auto"/>
          <w:kern w:val="0"/>
          <w:sz w:val="24"/>
          <w:szCs w:val="24"/>
          <w:highlight w:val="none"/>
          <w:lang w:eastAsia="zh-CN"/>
        </w:rPr>
      </w:pPr>
      <w:r>
        <w:rPr>
          <w:rFonts w:hint="default" w:ascii="仿宋" w:hAnsi="仿宋" w:eastAsia="仿宋" w:cs="仿宋"/>
          <w:color w:val="auto"/>
          <w:kern w:val="0"/>
          <w:sz w:val="24"/>
          <w:szCs w:val="24"/>
          <w:highlight w:val="none"/>
          <w:lang w:eastAsia="zh-CN"/>
        </w:rPr>
        <w:fldChar w:fldCharType="begin"/>
      </w:r>
      <w:r>
        <w:rPr>
          <w:rFonts w:hint="default" w:ascii="仿宋" w:hAnsi="仿宋" w:eastAsia="仿宋" w:cs="仿宋"/>
          <w:color w:val="auto"/>
          <w:kern w:val="0"/>
          <w:sz w:val="24"/>
          <w:szCs w:val="24"/>
          <w:highlight w:val="none"/>
          <w:lang w:eastAsia="zh-CN"/>
        </w:rPr>
        <w:instrText xml:space="preserve">= 6 \* GB3</w:instrText>
      </w:r>
      <w:r>
        <w:rPr>
          <w:rFonts w:hint="default" w:ascii="仿宋" w:hAnsi="仿宋" w:eastAsia="仿宋" w:cs="仿宋"/>
          <w:color w:val="auto"/>
          <w:kern w:val="0"/>
          <w:sz w:val="24"/>
          <w:szCs w:val="24"/>
          <w:highlight w:val="none"/>
          <w:lang w:eastAsia="zh-CN"/>
        </w:rPr>
        <w:fldChar w:fldCharType="separate"/>
      </w:r>
      <w:r>
        <w:rPr>
          <w:rFonts w:hint="default" w:ascii="仿宋" w:hAnsi="仿宋" w:eastAsia="仿宋" w:cs="仿宋"/>
          <w:color w:val="auto"/>
          <w:kern w:val="0"/>
          <w:sz w:val="24"/>
          <w:szCs w:val="24"/>
          <w:highlight w:val="none"/>
          <w:lang w:eastAsia="zh-CN"/>
        </w:rPr>
        <w:t>⑥</w:t>
      </w:r>
      <w:r>
        <w:rPr>
          <w:rFonts w:hint="default" w:ascii="仿宋" w:hAnsi="仿宋" w:eastAsia="仿宋" w:cs="仿宋"/>
          <w:color w:val="auto"/>
          <w:kern w:val="0"/>
          <w:sz w:val="24"/>
          <w:szCs w:val="24"/>
          <w:highlight w:val="none"/>
          <w:lang w:eastAsia="zh-CN"/>
        </w:rPr>
        <w:fldChar w:fldCharType="end"/>
      </w:r>
      <w:r>
        <w:rPr>
          <w:rFonts w:hint="default" w:ascii="仿宋" w:hAnsi="仿宋" w:eastAsia="仿宋" w:cs="仿宋"/>
          <w:color w:val="auto"/>
          <w:kern w:val="0"/>
          <w:sz w:val="24"/>
          <w:szCs w:val="24"/>
          <w:highlight w:val="none"/>
          <w:lang w:eastAsia="zh-CN"/>
        </w:rPr>
        <w:t>安全施工措施费</w:t>
      </w:r>
    </w:p>
    <w:p>
      <w:pPr>
        <w:shd w:val="clear"/>
        <w:spacing w:line="360" w:lineRule="auto"/>
        <w:ind w:firstLine="480" w:firstLineChars="200"/>
        <w:rPr>
          <w:rFonts w:hint="default" w:ascii="仿宋" w:hAnsi="仿宋" w:eastAsia="仿宋" w:cs="仿宋"/>
          <w:color w:val="auto"/>
          <w:kern w:val="0"/>
          <w:sz w:val="24"/>
          <w:szCs w:val="24"/>
          <w:highlight w:val="none"/>
          <w:lang w:eastAsia="zh-CN"/>
        </w:rPr>
      </w:pPr>
      <w:r>
        <w:rPr>
          <w:rFonts w:hint="default" w:ascii="仿宋" w:hAnsi="仿宋" w:eastAsia="仿宋" w:cs="仿宋"/>
          <w:color w:val="auto"/>
          <w:kern w:val="0"/>
          <w:sz w:val="24"/>
          <w:szCs w:val="24"/>
          <w:highlight w:val="none"/>
          <w:lang w:eastAsia="zh-CN"/>
        </w:rPr>
        <w:t>按直接工程费</w:t>
      </w:r>
      <w:r>
        <w:rPr>
          <w:rFonts w:hint="default" w:ascii="仿宋" w:hAnsi="仿宋" w:eastAsia="仿宋" w:cs="仿宋"/>
          <w:color w:val="auto"/>
          <w:kern w:val="0"/>
          <w:sz w:val="24"/>
          <w:szCs w:val="24"/>
          <w:highlight w:val="none"/>
          <w:lang w:val="en-US" w:eastAsia="zh-CN"/>
        </w:rPr>
        <w:t>的</w:t>
      </w:r>
      <w:r>
        <w:rPr>
          <w:rFonts w:hint="default" w:ascii="仿宋" w:hAnsi="仿宋" w:eastAsia="仿宋" w:cs="仿宋"/>
          <w:color w:val="auto"/>
          <w:kern w:val="0"/>
          <w:sz w:val="24"/>
          <w:szCs w:val="24"/>
          <w:highlight w:val="none"/>
          <w:lang w:eastAsia="zh-CN"/>
        </w:rPr>
        <w:t>百分率计算，其中：安装工程为0.3%，建筑工程为0.2%。</w:t>
      </w:r>
    </w:p>
    <w:p>
      <w:pPr>
        <w:shd w:val="clear"/>
        <w:spacing w:line="360" w:lineRule="auto"/>
        <w:ind w:firstLine="480" w:firstLineChars="200"/>
        <w:rPr>
          <w:rFonts w:hint="default" w:ascii="仿宋" w:hAnsi="仿宋" w:eastAsia="仿宋" w:cs="仿宋"/>
          <w:color w:val="auto"/>
          <w:kern w:val="0"/>
          <w:sz w:val="24"/>
          <w:szCs w:val="24"/>
          <w:highlight w:val="none"/>
          <w:lang w:eastAsia="zh-CN"/>
        </w:rPr>
      </w:pPr>
      <w:r>
        <w:rPr>
          <w:rFonts w:hint="default" w:ascii="仿宋" w:hAnsi="仿宋" w:eastAsia="仿宋" w:cs="仿宋"/>
          <w:color w:val="auto"/>
          <w:kern w:val="0"/>
          <w:sz w:val="24"/>
          <w:szCs w:val="24"/>
          <w:highlight w:val="none"/>
          <w:lang w:eastAsia="zh-CN"/>
        </w:rPr>
        <w:t>b.间接费</w:t>
      </w:r>
    </w:p>
    <w:p>
      <w:pPr>
        <w:shd w:val="clear"/>
        <w:spacing w:line="360" w:lineRule="auto"/>
        <w:ind w:firstLine="480" w:firstLineChars="200"/>
        <w:rPr>
          <w:rFonts w:hint="default" w:ascii="仿宋" w:hAnsi="仿宋" w:eastAsia="仿宋" w:cs="仿宋"/>
          <w:color w:val="auto"/>
          <w:kern w:val="0"/>
          <w:sz w:val="24"/>
          <w:szCs w:val="24"/>
          <w:highlight w:val="none"/>
          <w:lang w:eastAsia="zh-CN"/>
        </w:rPr>
      </w:pPr>
      <w:r>
        <w:rPr>
          <w:rFonts w:hint="default" w:ascii="仿宋" w:hAnsi="仿宋" w:eastAsia="仿宋" w:cs="仿宋"/>
          <w:color w:val="auto"/>
          <w:kern w:val="0"/>
          <w:sz w:val="24"/>
          <w:szCs w:val="24"/>
          <w:highlight w:val="none"/>
          <w:lang w:eastAsia="zh-CN"/>
        </w:rPr>
        <w:t>间接费由规费和企业管理费组成，以直接费为计费基础，乘以费率得到。取费费率见表</w:t>
      </w:r>
      <w:r>
        <w:rPr>
          <w:rFonts w:hint="eastAsia" w:ascii="仿宋" w:hAnsi="仿宋" w:eastAsia="仿宋" w:cs="仿宋"/>
          <w:color w:val="auto"/>
          <w:kern w:val="0"/>
          <w:sz w:val="24"/>
          <w:szCs w:val="24"/>
          <w:highlight w:val="none"/>
          <w:lang w:val="en-US" w:eastAsia="zh-CN"/>
        </w:rPr>
        <w:t>7</w:t>
      </w:r>
      <w:r>
        <w:rPr>
          <w:rFonts w:hint="default" w:ascii="仿宋" w:hAnsi="仿宋" w:eastAsia="仿宋" w:cs="仿宋"/>
          <w:color w:val="auto"/>
          <w:kern w:val="0"/>
          <w:sz w:val="24"/>
          <w:szCs w:val="24"/>
          <w:highlight w:val="none"/>
          <w:lang w:eastAsia="zh-CN"/>
        </w:rPr>
        <w:t>-</w:t>
      </w:r>
      <w:r>
        <w:rPr>
          <w:rFonts w:hint="default" w:ascii="仿宋" w:hAnsi="仿宋" w:eastAsia="仿宋" w:cs="仿宋"/>
          <w:color w:val="auto"/>
          <w:kern w:val="0"/>
          <w:sz w:val="24"/>
          <w:szCs w:val="24"/>
          <w:highlight w:val="none"/>
          <w:lang w:val="en-US" w:eastAsia="zh-CN"/>
        </w:rPr>
        <w:t>3</w:t>
      </w:r>
      <w:r>
        <w:rPr>
          <w:rFonts w:hint="default" w:ascii="仿宋" w:hAnsi="仿宋" w:eastAsia="仿宋" w:cs="仿宋"/>
          <w:color w:val="auto"/>
          <w:kern w:val="0"/>
          <w:sz w:val="24"/>
          <w:szCs w:val="24"/>
          <w:highlight w:val="none"/>
          <w:lang w:eastAsia="zh-CN"/>
        </w:rPr>
        <w:t>。</w:t>
      </w:r>
    </w:p>
    <w:p>
      <w:pP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br w:type="page"/>
      </w:r>
    </w:p>
    <w:p>
      <w:pPr>
        <w:pStyle w:val="43"/>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w:t>
      </w:r>
      <w:r>
        <w:rPr>
          <w:rFonts w:hint="eastAsia" w:ascii="Times New Roman" w:hAnsi="Times New Roman" w:cs="Times New Roman"/>
          <w:color w:val="auto"/>
          <w:highlight w:val="none"/>
          <w:lang w:val="en-US" w:eastAsia="zh-CN"/>
        </w:rPr>
        <w:t>7</w:t>
      </w:r>
      <w:r>
        <w:rPr>
          <w:rFonts w:hint="default" w:ascii="Times New Roman" w:hAnsi="Times New Roman" w:cs="Times New Roman"/>
          <w:color w:val="auto"/>
          <w:highlight w:val="none"/>
          <w:lang w:val="en-US" w:eastAsia="zh-CN"/>
        </w:rPr>
        <w:t>-3间接费费率表</w:t>
      </w:r>
    </w:p>
    <w:tbl>
      <w:tblPr>
        <w:tblStyle w:val="22"/>
        <w:tblW w:w="852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511"/>
        <w:gridCol w:w="2184"/>
        <w:gridCol w:w="28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511"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工程类别</w:t>
            </w:r>
          </w:p>
        </w:tc>
        <w:tc>
          <w:tcPr>
            <w:tcW w:w="2184"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计算基础</w:t>
            </w:r>
          </w:p>
        </w:tc>
        <w:tc>
          <w:tcPr>
            <w:tcW w:w="2827"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间接费率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511"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土方工程</w:t>
            </w:r>
          </w:p>
        </w:tc>
        <w:tc>
          <w:tcPr>
            <w:tcW w:w="2184"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直接费</w:t>
            </w:r>
          </w:p>
        </w:tc>
        <w:tc>
          <w:tcPr>
            <w:tcW w:w="2827"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511"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石方工程</w:t>
            </w:r>
          </w:p>
        </w:tc>
        <w:tc>
          <w:tcPr>
            <w:tcW w:w="2184"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直接费</w:t>
            </w:r>
          </w:p>
        </w:tc>
        <w:tc>
          <w:tcPr>
            <w:tcW w:w="2827"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511"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砌体工程</w:t>
            </w:r>
          </w:p>
        </w:tc>
        <w:tc>
          <w:tcPr>
            <w:tcW w:w="2184"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直接费</w:t>
            </w:r>
          </w:p>
        </w:tc>
        <w:tc>
          <w:tcPr>
            <w:tcW w:w="2827"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511"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混凝土工程</w:t>
            </w:r>
          </w:p>
        </w:tc>
        <w:tc>
          <w:tcPr>
            <w:tcW w:w="2184"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直接费</w:t>
            </w:r>
          </w:p>
        </w:tc>
        <w:tc>
          <w:tcPr>
            <w:tcW w:w="2827"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511"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农用井工程</w:t>
            </w:r>
          </w:p>
        </w:tc>
        <w:tc>
          <w:tcPr>
            <w:tcW w:w="2184"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直接费</w:t>
            </w:r>
          </w:p>
        </w:tc>
        <w:tc>
          <w:tcPr>
            <w:tcW w:w="2827"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511"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其他工程</w:t>
            </w:r>
          </w:p>
        </w:tc>
        <w:tc>
          <w:tcPr>
            <w:tcW w:w="2184"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直接费</w:t>
            </w:r>
          </w:p>
        </w:tc>
        <w:tc>
          <w:tcPr>
            <w:tcW w:w="2827"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3511"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安装工程</w:t>
            </w:r>
          </w:p>
        </w:tc>
        <w:tc>
          <w:tcPr>
            <w:tcW w:w="2184"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人工费</w:t>
            </w:r>
          </w:p>
        </w:tc>
        <w:tc>
          <w:tcPr>
            <w:tcW w:w="2827" w:type="dxa"/>
            <w:tcBorders>
              <w:tl2br w:val="nil"/>
              <w:tr2bl w:val="nil"/>
            </w:tcBorders>
            <w:vAlign w:val="center"/>
          </w:tcPr>
          <w:p>
            <w:pPr>
              <w:pStyle w:val="40"/>
              <w:shd w:val="clear"/>
              <w:adjustRightInd w:val="0"/>
              <w:snapToGrid w:val="0"/>
              <w:ind w:firstLine="0" w:firstLineChars="0"/>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65%</w:t>
            </w:r>
          </w:p>
        </w:tc>
      </w:tr>
    </w:tbl>
    <w:p>
      <w:pPr>
        <w:shd w:val="clear"/>
        <w:spacing w:line="360" w:lineRule="auto"/>
        <w:ind w:firstLine="480" w:firstLineChars="200"/>
        <w:rPr>
          <w:rFonts w:hint="default" w:ascii="仿宋" w:hAnsi="仿宋" w:eastAsia="仿宋" w:cs="仿宋"/>
          <w:color w:val="auto"/>
          <w:kern w:val="0"/>
          <w:sz w:val="24"/>
          <w:szCs w:val="24"/>
          <w:highlight w:val="none"/>
          <w:lang w:eastAsia="zh-CN"/>
        </w:rPr>
      </w:pPr>
      <w:r>
        <w:rPr>
          <w:rFonts w:hint="default" w:ascii="仿宋" w:hAnsi="仿宋" w:eastAsia="仿宋" w:cs="仿宋"/>
          <w:color w:val="auto"/>
          <w:kern w:val="0"/>
          <w:sz w:val="24"/>
          <w:szCs w:val="24"/>
          <w:highlight w:val="none"/>
          <w:lang w:eastAsia="zh-CN"/>
        </w:rPr>
        <w:t>c.利润</w:t>
      </w:r>
    </w:p>
    <w:p>
      <w:pPr>
        <w:shd w:val="clear"/>
        <w:spacing w:line="360" w:lineRule="auto"/>
        <w:ind w:firstLine="480" w:firstLineChars="200"/>
        <w:rPr>
          <w:rFonts w:hint="default" w:ascii="仿宋" w:hAnsi="仿宋" w:eastAsia="仿宋" w:cs="仿宋"/>
          <w:color w:val="auto"/>
          <w:kern w:val="0"/>
          <w:sz w:val="24"/>
          <w:szCs w:val="24"/>
          <w:highlight w:val="none"/>
          <w:lang w:eastAsia="zh-CN"/>
        </w:rPr>
      </w:pPr>
      <w:r>
        <w:rPr>
          <w:rFonts w:hint="default" w:ascii="仿宋" w:hAnsi="仿宋" w:eastAsia="仿宋" w:cs="仿宋"/>
          <w:color w:val="auto"/>
          <w:kern w:val="0"/>
          <w:sz w:val="24"/>
          <w:szCs w:val="24"/>
          <w:highlight w:val="none"/>
          <w:lang w:eastAsia="zh-CN"/>
        </w:rPr>
        <w:t>按直接费与间接费之和计算，利润率取3%。计算公式为：</w:t>
      </w:r>
    </w:p>
    <w:p>
      <w:pPr>
        <w:shd w:val="clear"/>
        <w:spacing w:line="360" w:lineRule="auto"/>
        <w:ind w:firstLine="480" w:firstLineChars="200"/>
        <w:rPr>
          <w:rFonts w:hint="default" w:ascii="仿宋" w:hAnsi="仿宋" w:eastAsia="仿宋" w:cs="仿宋"/>
          <w:color w:val="auto"/>
          <w:kern w:val="0"/>
          <w:sz w:val="24"/>
          <w:szCs w:val="24"/>
          <w:highlight w:val="none"/>
          <w:lang w:eastAsia="zh-CN"/>
        </w:rPr>
      </w:pPr>
      <w:r>
        <w:rPr>
          <w:rFonts w:hint="default" w:ascii="仿宋" w:hAnsi="仿宋" w:eastAsia="仿宋" w:cs="仿宋"/>
          <w:color w:val="auto"/>
          <w:kern w:val="0"/>
          <w:sz w:val="24"/>
          <w:szCs w:val="24"/>
          <w:highlight w:val="none"/>
          <w:lang w:eastAsia="zh-CN"/>
        </w:rPr>
        <w:t>利润=（直接费＋间接费）×利润率</w:t>
      </w:r>
    </w:p>
    <w:p>
      <w:pPr>
        <w:shd w:val="clear"/>
        <w:spacing w:line="360" w:lineRule="auto"/>
        <w:ind w:firstLine="480" w:firstLineChars="200"/>
        <w:rPr>
          <w:rFonts w:hint="default" w:ascii="仿宋" w:hAnsi="仿宋" w:eastAsia="仿宋" w:cs="仿宋"/>
          <w:color w:val="auto"/>
          <w:kern w:val="0"/>
          <w:sz w:val="24"/>
          <w:szCs w:val="24"/>
          <w:highlight w:val="none"/>
          <w:lang w:eastAsia="zh-CN"/>
        </w:rPr>
      </w:pPr>
      <w:r>
        <w:rPr>
          <w:rFonts w:hint="default" w:ascii="仿宋" w:hAnsi="仿宋" w:eastAsia="仿宋" w:cs="仿宋"/>
          <w:color w:val="auto"/>
          <w:kern w:val="0"/>
          <w:sz w:val="24"/>
          <w:szCs w:val="24"/>
          <w:highlight w:val="none"/>
          <w:lang w:eastAsia="zh-CN"/>
        </w:rPr>
        <w:t>d.税金</w:t>
      </w:r>
    </w:p>
    <w:p>
      <w:pPr>
        <w:shd w:val="clear"/>
        <w:spacing w:line="360" w:lineRule="auto"/>
        <w:ind w:firstLine="480" w:firstLineChars="200"/>
        <w:rPr>
          <w:rFonts w:hint="default" w:ascii="仿宋" w:hAnsi="仿宋" w:eastAsia="仿宋" w:cs="仿宋"/>
          <w:color w:val="auto"/>
          <w:kern w:val="0"/>
          <w:sz w:val="24"/>
          <w:szCs w:val="24"/>
          <w:highlight w:val="none"/>
          <w:lang w:eastAsia="zh-CN"/>
        </w:rPr>
      </w:pPr>
      <w:r>
        <w:rPr>
          <w:rFonts w:hint="default" w:ascii="仿宋" w:hAnsi="仿宋" w:eastAsia="仿宋" w:cs="仿宋"/>
          <w:color w:val="auto"/>
          <w:kern w:val="0"/>
          <w:sz w:val="24"/>
          <w:szCs w:val="24"/>
          <w:highlight w:val="none"/>
          <w:lang w:eastAsia="zh-CN"/>
        </w:rPr>
        <w:t>税金取费基数为直接工程费、间接费与利润三项之和，费率按</w:t>
      </w:r>
      <w:r>
        <w:rPr>
          <w:rFonts w:hint="default" w:ascii="仿宋" w:hAnsi="仿宋" w:eastAsia="仿宋" w:cs="仿宋"/>
          <w:color w:val="auto"/>
          <w:kern w:val="0"/>
          <w:sz w:val="24"/>
          <w:szCs w:val="24"/>
          <w:highlight w:val="none"/>
          <w:lang w:val="en-US" w:eastAsia="zh-CN"/>
        </w:rPr>
        <w:t>9</w:t>
      </w:r>
      <w:r>
        <w:rPr>
          <w:rFonts w:hint="default" w:ascii="仿宋" w:hAnsi="仿宋" w:eastAsia="仿宋" w:cs="仿宋"/>
          <w:color w:val="auto"/>
          <w:kern w:val="0"/>
          <w:sz w:val="24"/>
          <w:szCs w:val="24"/>
          <w:highlight w:val="none"/>
          <w:lang w:eastAsia="zh-CN"/>
        </w:rPr>
        <w:t>%计取。</w:t>
      </w:r>
    </w:p>
    <w:p>
      <w:pPr>
        <w:shd w:val="clear"/>
        <w:spacing w:line="360" w:lineRule="auto"/>
        <w:ind w:firstLine="480" w:firstLineChars="200"/>
        <w:rPr>
          <w:rFonts w:hint="default" w:ascii="仿宋" w:hAnsi="仿宋" w:eastAsia="仿宋" w:cs="仿宋"/>
          <w:color w:val="auto"/>
          <w:kern w:val="0"/>
          <w:sz w:val="24"/>
          <w:szCs w:val="24"/>
          <w:highlight w:val="none"/>
          <w:lang w:eastAsia="zh-CN"/>
        </w:rPr>
      </w:pPr>
      <w:r>
        <w:rPr>
          <w:rFonts w:hint="default" w:ascii="仿宋" w:hAnsi="仿宋" w:eastAsia="仿宋" w:cs="仿宋"/>
          <w:color w:val="auto"/>
          <w:kern w:val="0"/>
          <w:sz w:val="24"/>
          <w:szCs w:val="24"/>
          <w:highlight w:val="none"/>
          <w:lang w:eastAsia="zh-CN"/>
        </w:rPr>
        <w:t>税金=（直接费＋间接费＋利润）×综合税率</w:t>
      </w:r>
    </w:p>
    <w:p>
      <w:pPr>
        <w:shd w:val="clear"/>
        <w:spacing w:line="360" w:lineRule="auto"/>
        <w:ind w:firstLine="480" w:firstLineChars="200"/>
        <w:rPr>
          <w:rFonts w:hint="default" w:ascii="仿宋" w:hAnsi="仿宋" w:eastAsia="仿宋" w:cs="仿宋"/>
          <w:color w:val="auto"/>
          <w:kern w:val="0"/>
          <w:sz w:val="24"/>
          <w:szCs w:val="24"/>
          <w:highlight w:val="none"/>
          <w:lang w:eastAsia="zh-CN"/>
        </w:rPr>
      </w:pPr>
      <w:r>
        <w:rPr>
          <w:rFonts w:hint="default" w:ascii="仿宋" w:hAnsi="仿宋" w:eastAsia="仿宋" w:cs="仿宋"/>
          <w:color w:val="auto"/>
          <w:kern w:val="0"/>
          <w:sz w:val="24"/>
          <w:szCs w:val="24"/>
          <w:highlight w:val="none"/>
          <w:lang w:eastAsia="zh-CN"/>
        </w:rPr>
        <w:t>Ⅱ设备购置费</w:t>
      </w:r>
    </w:p>
    <w:p>
      <w:pPr>
        <w:shd w:val="clear"/>
        <w:spacing w:line="360" w:lineRule="auto"/>
        <w:ind w:firstLine="480" w:firstLineChars="200"/>
        <w:rPr>
          <w:rFonts w:hint="default" w:ascii="仿宋" w:hAnsi="仿宋" w:eastAsia="仿宋" w:cs="仿宋"/>
          <w:color w:val="auto"/>
          <w:kern w:val="0"/>
          <w:sz w:val="24"/>
          <w:szCs w:val="24"/>
          <w:highlight w:val="none"/>
          <w:lang w:eastAsia="zh-CN"/>
        </w:rPr>
      </w:pPr>
      <w:r>
        <w:rPr>
          <w:rFonts w:hint="default" w:ascii="仿宋" w:hAnsi="仿宋" w:eastAsia="仿宋" w:cs="仿宋"/>
          <w:color w:val="auto"/>
          <w:kern w:val="0"/>
          <w:sz w:val="24"/>
          <w:szCs w:val="24"/>
          <w:highlight w:val="none"/>
          <w:lang w:eastAsia="zh-CN"/>
        </w:rPr>
        <w:t>按照工程具体情况，本方案不涉及设备费。</w:t>
      </w:r>
    </w:p>
    <w:p>
      <w:pPr>
        <w:shd w:val="clear"/>
        <w:spacing w:line="360" w:lineRule="auto"/>
        <w:ind w:firstLine="480" w:firstLineChars="200"/>
        <w:rPr>
          <w:rFonts w:hint="default" w:ascii="仿宋" w:hAnsi="仿宋" w:eastAsia="仿宋" w:cs="仿宋"/>
          <w:color w:val="auto"/>
          <w:kern w:val="0"/>
          <w:sz w:val="24"/>
          <w:szCs w:val="24"/>
          <w:highlight w:val="none"/>
          <w:lang w:eastAsia="zh-CN"/>
        </w:rPr>
      </w:pPr>
      <w:r>
        <w:rPr>
          <w:rFonts w:hint="default" w:ascii="仿宋" w:hAnsi="仿宋" w:eastAsia="仿宋" w:cs="仿宋"/>
          <w:color w:val="auto"/>
          <w:kern w:val="0"/>
          <w:sz w:val="24"/>
          <w:szCs w:val="24"/>
          <w:highlight w:val="none"/>
          <w:lang w:eastAsia="zh-CN"/>
        </w:rPr>
        <w:t>Ⅲ其他费用</w:t>
      </w:r>
    </w:p>
    <w:p>
      <w:pPr>
        <w:shd w:val="clear"/>
        <w:spacing w:line="360" w:lineRule="auto"/>
        <w:ind w:firstLine="480" w:firstLineChars="200"/>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eastAsia="zh-CN"/>
        </w:rPr>
        <w:t>其他费用包括前期工作费、工程监理费、拆迁补偿费、竣工验收费和业主管理费，</w:t>
      </w:r>
      <w:r>
        <w:rPr>
          <w:rFonts w:hint="eastAsia" w:ascii="仿宋" w:hAnsi="仿宋" w:eastAsia="仿宋" w:cs="仿宋"/>
          <w:color w:val="auto"/>
          <w:kern w:val="0"/>
          <w:sz w:val="24"/>
          <w:szCs w:val="24"/>
          <w:highlight w:val="none"/>
          <w:lang w:val="en-US" w:eastAsia="zh-CN"/>
        </w:rPr>
        <w:t>由于</w:t>
      </w:r>
      <w:r>
        <w:rPr>
          <w:rFonts w:hint="eastAsia" w:ascii="仿宋" w:hAnsi="仿宋" w:eastAsia="仿宋" w:cs="仿宋"/>
          <w:color w:val="auto"/>
          <w:kern w:val="0"/>
          <w:sz w:val="24"/>
          <w:szCs w:val="24"/>
          <w:highlight w:val="none"/>
          <w:lang w:eastAsia="zh-CN"/>
        </w:rPr>
        <w:t>本项目后期由项目单位自行实施不产生其他费用。</w:t>
      </w:r>
    </w:p>
    <w:p>
      <w:pPr>
        <w:shd w:val="clear"/>
        <w:spacing w:line="360" w:lineRule="auto"/>
        <w:ind w:firstLine="480" w:firstLineChars="200"/>
        <w:rPr>
          <w:rFonts w:hint="default" w:ascii="仿宋" w:hAnsi="仿宋" w:eastAsia="仿宋" w:cs="仿宋"/>
          <w:color w:val="auto"/>
          <w:kern w:val="0"/>
          <w:sz w:val="24"/>
          <w:szCs w:val="24"/>
          <w:highlight w:val="none"/>
          <w:lang w:eastAsia="zh-CN"/>
        </w:rPr>
      </w:pPr>
      <w:r>
        <w:rPr>
          <w:rFonts w:hint="default" w:ascii="仿宋" w:hAnsi="仿宋" w:eastAsia="仿宋" w:cs="仿宋"/>
          <w:color w:val="auto"/>
          <w:kern w:val="0"/>
          <w:sz w:val="24"/>
          <w:szCs w:val="24"/>
          <w:highlight w:val="none"/>
          <w:lang w:eastAsia="zh-CN"/>
        </w:rPr>
        <w:t>Ⅴ复垦监测和管护费用</w:t>
      </w:r>
    </w:p>
    <w:p>
      <w:pPr>
        <w:shd w:val="clear"/>
        <w:spacing w:line="360" w:lineRule="auto"/>
        <w:ind w:firstLine="480" w:firstLineChars="200"/>
        <w:rPr>
          <w:rFonts w:hint="default" w:ascii="仿宋" w:hAnsi="仿宋" w:eastAsia="仿宋" w:cs="仿宋"/>
          <w:color w:val="auto"/>
          <w:kern w:val="0"/>
          <w:sz w:val="24"/>
          <w:szCs w:val="24"/>
          <w:highlight w:val="none"/>
          <w:lang w:eastAsia="zh-CN"/>
        </w:rPr>
      </w:pPr>
      <w:r>
        <w:rPr>
          <w:rFonts w:hint="default" w:ascii="仿宋" w:hAnsi="仿宋" w:eastAsia="仿宋" w:cs="仿宋"/>
          <w:color w:val="auto"/>
          <w:kern w:val="0"/>
          <w:sz w:val="24"/>
          <w:szCs w:val="24"/>
          <w:highlight w:val="none"/>
          <w:lang w:eastAsia="zh-CN"/>
        </w:rPr>
        <w:t>（1）监测费</w:t>
      </w:r>
    </w:p>
    <w:p>
      <w:pPr>
        <w:shd w:val="clear"/>
        <w:spacing w:line="360" w:lineRule="auto"/>
        <w:ind w:firstLine="480" w:firstLineChars="200"/>
        <w:rPr>
          <w:rFonts w:hint="default" w:ascii="仿宋" w:hAnsi="仿宋" w:eastAsia="仿宋" w:cs="仿宋"/>
          <w:color w:val="auto"/>
          <w:kern w:val="0"/>
          <w:sz w:val="24"/>
          <w:szCs w:val="24"/>
          <w:highlight w:val="none"/>
          <w:lang w:eastAsia="zh-CN"/>
        </w:rPr>
      </w:pPr>
      <w:r>
        <w:rPr>
          <w:rFonts w:hint="default" w:ascii="仿宋" w:hAnsi="仿宋" w:eastAsia="仿宋" w:cs="仿宋"/>
          <w:color w:val="auto"/>
          <w:kern w:val="0"/>
          <w:sz w:val="24"/>
          <w:szCs w:val="24"/>
          <w:highlight w:val="none"/>
          <w:lang w:eastAsia="zh-CN"/>
        </w:rPr>
        <w:t>该土地复垦项目监测工程已在水土保持方案和环境影响报告书进行了设计，故本方案不再重复计算复垦监测费用。</w:t>
      </w:r>
    </w:p>
    <w:p>
      <w:pPr>
        <w:shd w:val="clear"/>
        <w:spacing w:line="360" w:lineRule="auto"/>
        <w:ind w:firstLine="480" w:firstLineChars="200"/>
        <w:rPr>
          <w:rFonts w:hint="default" w:ascii="仿宋" w:hAnsi="仿宋" w:eastAsia="仿宋" w:cs="仿宋"/>
          <w:color w:val="auto"/>
          <w:kern w:val="0"/>
          <w:sz w:val="24"/>
          <w:szCs w:val="24"/>
          <w:highlight w:val="none"/>
          <w:lang w:eastAsia="zh-CN"/>
        </w:rPr>
      </w:pPr>
      <w:r>
        <w:rPr>
          <w:rFonts w:hint="default" w:ascii="仿宋" w:hAnsi="仿宋" w:eastAsia="仿宋" w:cs="仿宋"/>
          <w:color w:val="auto"/>
          <w:kern w:val="0"/>
          <w:sz w:val="24"/>
          <w:szCs w:val="24"/>
          <w:highlight w:val="none"/>
          <w:lang w:eastAsia="zh-CN"/>
        </w:rPr>
        <w:t>（2）管护费</w:t>
      </w:r>
    </w:p>
    <w:p>
      <w:pPr>
        <w:shd w:val="clear"/>
        <w:spacing w:line="360" w:lineRule="auto"/>
        <w:ind w:firstLine="480" w:firstLineChars="200"/>
        <w:rPr>
          <w:rFonts w:hint="default" w:ascii="仿宋" w:hAnsi="仿宋" w:eastAsia="仿宋" w:cs="仿宋"/>
          <w:color w:val="auto"/>
          <w:kern w:val="0"/>
          <w:sz w:val="24"/>
          <w:szCs w:val="24"/>
          <w:highlight w:val="none"/>
          <w:lang w:eastAsia="zh-CN"/>
        </w:rPr>
      </w:pPr>
      <w:r>
        <w:rPr>
          <w:rFonts w:hint="default" w:ascii="仿宋" w:hAnsi="仿宋" w:eastAsia="仿宋" w:cs="仿宋"/>
          <w:color w:val="auto"/>
          <w:kern w:val="0"/>
          <w:sz w:val="24"/>
          <w:szCs w:val="24"/>
          <w:highlight w:val="none"/>
          <w:lang w:eastAsia="zh-CN"/>
        </w:rPr>
        <w:t>管护费是对复垦后的一些重要的工程措施、植被和复垦区域土地等进行有针对性的巡查、补植、施肥浇水、喷药等管护工作所发生的费用，主要包括管理和管护。本项目复垦工程实施后，不需要管护措施。</w:t>
      </w:r>
    </w:p>
    <w:p>
      <w:pPr>
        <w:shd w:val="clear"/>
        <w:spacing w:line="360" w:lineRule="auto"/>
        <w:ind w:firstLine="480" w:firstLineChars="200"/>
        <w:rPr>
          <w:rFonts w:hint="default" w:ascii="仿宋" w:hAnsi="仿宋" w:eastAsia="仿宋" w:cs="仿宋"/>
          <w:color w:val="auto"/>
          <w:kern w:val="0"/>
          <w:sz w:val="24"/>
          <w:szCs w:val="24"/>
          <w:highlight w:val="none"/>
          <w:lang w:eastAsia="zh-CN"/>
        </w:rPr>
      </w:pPr>
      <w:r>
        <w:rPr>
          <w:rFonts w:hint="default" w:ascii="仿宋" w:hAnsi="仿宋" w:eastAsia="仿宋" w:cs="仿宋"/>
          <w:color w:val="auto"/>
          <w:kern w:val="0"/>
          <w:sz w:val="24"/>
          <w:szCs w:val="24"/>
          <w:highlight w:val="none"/>
          <w:lang w:eastAsia="zh-CN"/>
        </w:rPr>
        <w:t>Ⅵ预备费</w:t>
      </w:r>
    </w:p>
    <w:p>
      <w:pPr>
        <w:shd w:val="clear"/>
        <w:spacing w:line="360" w:lineRule="auto"/>
        <w:ind w:firstLine="480" w:firstLineChars="200"/>
        <w:rPr>
          <w:rFonts w:hint="default" w:ascii="仿宋" w:hAnsi="仿宋" w:eastAsia="仿宋" w:cs="仿宋"/>
          <w:color w:val="auto"/>
          <w:kern w:val="0"/>
          <w:sz w:val="24"/>
          <w:szCs w:val="24"/>
          <w:highlight w:val="none"/>
          <w:lang w:eastAsia="zh-CN"/>
        </w:rPr>
      </w:pPr>
      <w:r>
        <w:rPr>
          <w:rFonts w:hint="default" w:ascii="仿宋" w:hAnsi="仿宋" w:eastAsia="仿宋" w:cs="仿宋"/>
          <w:color w:val="auto"/>
          <w:kern w:val="0"/>
          <w:sz w:val="24"/>
          <w:szCs w:val="24"/>
          <w:highlight w:val="none"/>
          <w:lang w:eastAsia="zh-CN"/>
        </w:rPr>
        <w:t>a.基本预备费</w:t>
      </w:r>
    </w:p>
    <w:p>
      <w:pPr>
        <w:shd w:val="clear"/>
        <w:spacing w:line="360" w:lineRule="auto"/>
        <w:ind w:firstLine="480" w:firstLineChars="200"/>
        <w:rPr>
          <w:rFonts w:hint="default" w:ascii="仿宋" w:hAnsi="仿宋" w:eastAsia="仿宋" w:cs="仿宋"/>
          <w:color w:val="auto"/>
          <w:kern w:val="0"/>
          <w:sz w:val="24"/>
          <w:szCs w:val="24"/>
          <w:highlight w:val="none"/>
          <w:lang w:eastAsia="zh-CN"/>
        </w:rPr>
      </w:pPr>
      <w:r>
        <w:rPr>
          <w:rFonts w:hint="default" w:ascii="仿宋" w:hAnsi="仿宋" w:eastAsia="仿宋" w:cs="仿宋"/>
          <w:color w:val="auto"/>
          <w:kern w:val="0"/>
          <w:sz w:val="24"/>
          <w:szCs w:val="24"/>
          <w:highlight w:val="none"/>
          <w:lang w:eastAsia="zh-CN"/>
        </w:rPr>
        <w:t>基本预备费指在施工过程中因自然灾害、设计变更及不可预计因素的变化而增加的费用。根据《土地开发整理项目预算编制暂行办法》规定，基本预备费按工程施工费、设备费和其他费用三项之和的3.00%计取。</w:t>
      </w:r>
    </w:p>
    <w:p>
      <w:pPr>
        <w:shd w:val="clear"/>
        <w:spacing w:line="360" w:lineRule="auto"/>
        <w:ind w:firstLine="480" w:firstLineChars="200"/>
        <w:rPr>
          <w:rFonts w:hint="default" w:ascii="仿宋" w:hAnsi="仿宋" w:eastAsia="仿宋" w:cs="仿宋"/>
          <w:color w:val="auto"/>
          <w:kern w:val="0"/>
          <w:sz w:val="24"/>
          <w:szCs w:val="24"/>
          <w:highlight w:val="none"/>
          <w:lang w:eastAsia="zh-CN"/>
        </w:rPr>
      </w:pPr>
      <w:r>
        <w:rPr>
          <w:rFonts w:hint="default" w:ascii="仿宋" w:hAnsi="仿宋" w:eastAsia="仿宋" w:cs="仿宋"/>
          <w:color w:val="auto"/>
          <w:kern w:val="0"/>
          <w:sz w:val="24"/>
          <w:szCs w:val="24"/>
          <w:highlight w:val="none"/>
          <w:lang w:eastAsia="zh-CN"/>
        </w:rPr>
        <w:t>基本预备费=（工程施工费+其他费用+设备费）×费率</w:t>
      </w:r>
    </w:p>
    <w:p>
      <w:pPr>
        <w:shd w:val="clear"/>
        <w:spacing w:line="360" w:lineRule="auto"/>
        <w:ind w:firstLine="480" w:firstLineChars="200"/>
        <w:rPr>
          <w:rFonts w:hint="default" w:ascii="仿宋" w:hAnsi="仿宋" w:eastAsia="仿宋" w:cs="仿宋"/>
          <w:color w:val="auto"/>
          <w:kern w:val="0"/>
          <w:sz w:val="24"/>
          <w:szCs w:val="24"/>
          <w:highlight w:val="none"/>
          <w:lang w:eastAsia="zh-CN"/>
        </w:rPr>
      </w:pPr>
      <w:r>
        <w:rPr>
          <w:rFonts w:hint="default" w:ascii="仿宋" w:hAnsi="仿宋" w:eastAsia="仿宋" w:cs="仿宋"/>
          <w:color w:val="auto"/>
          <w:kern w:val="0"/>
          <w:sz w:val="24"/>
          <w:szCs w:val="24"/>
          <w:highlight w:val="none"/>
          <w:lang w:eastAsia="zh-CN"/>
        </w:rPr>
        <w:t>b.价差预备费</w:t>
      </w:r>
    </w:p>
    <w:p>
      <w:pPr>
        <w:shd w:val="clear"/>
        <w:spacing w:line="360" w:lineRule="auto"/>
        <w:ind w:firstLine="480" w:firstLineChars="200"/>
        <w:rPr>
          <w:rFonts w:hint="default" w:ascii="仿宋" w:hAnsi="仿宋" w:eastAsia="仿宋" w:cs="仿宋"/>
          <w:color w:val="auto"/>
          <w:kern w:val="0"/>
          <w:sz w:val="24"/>
          <w:szCs w:val="24"/>
          <w:highlight w:val="none"/>
          <w:lang w:eastAsia="zh-CN"/>
        </w:rPr>
      </w:pPr>
      <w:r>
        <w:rPr>
          <w:rFonts w:hint="default" w:ascii="仿宋" w:hAnsi="仿宋" w:eastAsia="仿宋" w:cs="仿宋"/>
          <w:color w:val="auto"/>
          <w:kern w:val="0"/>
          <w:sz w:val="24"/>
          <w:szCs w:val="24"/>
          <w:highlight w:val="none"/>
          <w:lang w:eastAsia="zh-CN"/>
        </w:rPr>
        <w:t>价差预备费主要为解决在工程施工过程中，因人工工资、材料设备价格上涨以及费用标准调整而增加的投资。</w:t>
      </w:r>
    </w:p>
    <w:p>
      <w:pPr>
        <w:shd w:val="clear"/>
        <w:spacing w:line="360" w:lineRule="auto"/>
        <w:ind w:firstLine="480" w:firstLineChars="200"/>
        <w:rPr>
          <w:rFonts w:hint="default" w:ascii="仿宋" w:hAnsi="仿宋" w:eastAsia="仿宋" w:cs="仿宋"/>
          <w:color w:val="auto"/>
          <w:kern w:val="0"/>
          <w:sz w:val="24"/>
          <w:szCs w:val="24"/>
          <w:highlight w:val="none"/>
          <w:lang w:eastAsia="zh-CN"/>
        </w:rPr>
      </w:pPr>
      <w:r>
        <w:rPr>
          <w:rFonts w:hint="default" w:ascii="仿宋" w:hAnsi="仿宋" w:eastAsia="仿宋" w:cs="仿宋"/>
          <w:color w:val="auto"/>
          <w:kern w:val="0"/>
          <w:sz w:val="24"/>
          <w:szCs w:val="24"/>
          <w:highlight w:val="none"/>
          <w:lang w:eastAsia="zh-CN"/>
        </w:rPr>
        <w:t>本方案</w:t>
      </w:r>
      <w:r>
        <w:rPr>
          <w:rFonts w:hint="default" w:ascii="仿宋" w:hAnsi="仿宋" w:eastAsia="仿宋" w:cs="仿宋"/>
          <w:color w:val="auto"/>
          <w:kern w:val="0"/>
          <w:sz w:val="24"/>
          <w:szCs w:val="24"/>
          <w:highlight w:val="none"/>
          <w:lang w:val="en-US" w:eastAsia="zh-CN"/>
        </w:rPr>
        <w:t>不涉及差价预备费。</w:t>
      </w:r>
    </w:p>
    <w:p>
      <w:pPr>
        <w:pStyle w:val="4"/>
        <w:keepNext/>
        <w:keepLines/>
        <w:pageBreakBefore w:val="0"/>
        <w:widowControl w:val="0"/>
        <w:shd w:val="clear"/>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color w:val="auto"/>
          <w:highlight w:val="none"/>
        </w:rPr>
      </w:pPr>
      <w:bookmarkStart w:id="186" w:name="_Toc2083"/>
      <w:r>
        <w:rPr>
          <w:rFonts w:hint="eastAsia" w:cs="Times New Roman"/>
          <w:color w:val="auto"/>
          <w:highlight w:val="none"/>
          <w:lang w:val="en-US" w:eastAsia="zh-CN"/>
        </w:rPr>
        <w:t>7</w:t>
      </w:r>
      <w:r>
        <w:rPr>
          <w:rFonts w:hint="default" w:ascii="Times New Roman" w:hAnsi="Times New Roman" w:cs="Times New Roman"/>
          <w:color w:val="auto"/>
          <w:highlight w:val="none"/>
        </w:rPr>
        <w:t>.5估算成果</w:t>
      </w:r>
      <w:bookmarkEnd w:id="186"/>
    </w:p>
    <w:p>
      <w:pPr>
        <w:shd w:val="clear"/>
        <w:spacing w:line="360" w:lineRule="auto"/>
        <w:ind w:firstLine="480" w:firstLineChars="200"/>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kern w:val="0"/>
          <w:sz w:val="24"/>
          <w:szCs w:val="24"/>
          <w:highlight w:val="none"/>
          <w:lang w:eastAsia="zh-CN"/>
        </w:rPr>
        <w:t>本项目土地复垦投资依据复垦工程内容及工程量进行估算，本项目土地复垦静态总投资</w:t>
      </w:r>
      <w:r>
        <w:rPr>
          <w:rFonts w:hint="eastAsia" w:ascii="Times New Roman" w:hAnsi="Times New Roman" w:eastAsia="仿宋" w:cs="Times New Roman"/>
          <w:color w:val="auto"/>
          <w:kern w:val="0"/>
          <w:sz w:val="24"/>
          <w:szCs w:val="24"/>
          <w:highlight w:val="none"/>
          <w:lang w:val="en-US" w:eastAsia="zh-CN"/>
        </w:rPr>
        <w:t>10.78</w:t>
      </w:r>
      <w:r>
        <w:rPr>
          <w:rFonts w:hint="default" w:ascii="Times New Roman" w:hAnsi="Times New Roman" w:eastAsia="仿宋" w:cs="Times New Roman"/>
          <w:color w:val="auto"/>
          <w:kern w:val="0"/>
          <w:sz w:val="24"/>
          <w:szCs w:val="24"/>
          <w:highlight w:val="none"/>
          <w:lang w:eastAsia="zh-CN"/>
        </w:rPr>
        <w:t>万元。其中：</w:t>
      </w:r>
      <w:r>
        <w:rPr>
          <w:rFonts w:hint="default" w:ascii="Times New Roman" w:hAnsi="Times New Roman" w:eastAsia="仿宋" w:cs="Times New Roman"/>
          <w:color w:val="auto"/>
          <w:sz w:val="24"/>
          <w:szCs w:val="24"/>
          <w:highlight w:val="none"/>
          <w:lang w:val="en-US" w:eastAsia="zh-CN"/>
        </w:rPr>
        <w:t>工程施工费为</w:t>
      </w:r>
      <w:r>
        <w:rPr>
          <w:rFonts w:hint="eastAsia" w:ascii="Times New Roman" w:hAnsi="Times New Roman" w:eastAsia="仿宋" w:cs="Times New Roman"/>
          <w:color w:val="auto"/>
          <w:sz w:val="24"/>
          <w:szCs w:val="24"/>
          <w:highlight w:val="none"/>
          <w:lang w:val="en-US" w:eastAsia="zh-CN"/>
        </w:rPr>
        <w:t>10.47</w:t>
      </w:r>
      <w:r>
        <w:rPr>
          <w:rFonts w:hint="default" w:ascii="Times New Roman" w:hAnsi="Times New Roman" w:eastAsia="仿宋" w:cs="Times New Roman"/>
          <w:color w:val="auto"/>
          <w:sz w:val="24"/>
          <w:szCs w:val="24"/>
          <w:highlight w:val="none"/>
          <w:lang w:val="en-US" w:eastAsia="zh-CN"/>
        </w:rPr>
        <w:t>万元，占总投资的97.09%；预备费</w:t>
      </w:r>
      <w:r>
        <w:rPr>
          <w:rFonts w:hint="eastAsia" w:ascii="Times New Roman" w:hAnsi="Times New Roman" w:eastAsia="仿宋" w:cs="Times New Roman"/>
          <w:color w:val="auto"/>
          <w:sz w:val="24"/>
          <w:szCs w:val="24"/>
          <w:highlight w:val="none"/>
          <w:lang w:val="en-US" w:eastAsia="zh-CN"/>
        </w:rPr>
        <w:t>0.31</w:t>
      </w:r>
      <w:r>
        <w:rPr>
          <w:rFonts w:hint="default" w:ascii="Times New Roman" w:hAnsi="Times New Roman" w:eastAsia="仿宋" w:cs="Times New Roman"/>
          <w:color w:val="auto"/>
          <w:sz w:val="24"/>
          <w:szCs w:val="24"/>
          <w:highlight w:val="none"/>
          <w:lang w:val="en-US" w:eastAsia="zh-CN"/>
        </w:rPr>
        <w:t>万元，占静态总投资2.91%</w:t>
      </w:r>
      <w:r>
        <w:rPr>
          <w:rFonts w:hint="default" w:ascii="Times New Roman" w:hAnsi="Times New Roman" w:eastAsia="仿宋" w:cs="Times New Roman"/>
          <w:color w:val="auto"/>
          <w:kern w:val="0"/>
          <w:sz w:val="24"/>
          <w:szCs w:val="24"/>
          <w:highlight w:val="none"/>
          <w:lang w:val="en-US" w:eastAsia="zh-CN"/>
        </w:rPr>
        <w:t>。</w:t>
      </w:r>
    </w:p>
    <w:p>
      <w:pPr>
        <w:widowControl w:val="0"/>
        <w:adjustRightInd w:val="0"/>
        <w:snapToGrid w:val="0"/>
        <w:spacing w:line="360" w:lineRule="auto"/>
        <w:ind w:firstLine="0" w:firstLineChars="0"/>
        <w:jc w:val="center"/>
        <w:textAlignment w:val="baseline"/>
        <w:rPr>
          <w:rFonts w:hint="default" w:ascii="Times New Roman" w:hAnsi="Times New Roman" w:eastAsia="黑体" w:cs="Times New Roman"/>
          <w:b w:val="0"/>
          <w:bCs w:val="0"/>
          <w:kern w:val="2"/>
          <w:sz w:val="21"/>
          <w:szCs w:val="24"/>
          <w:highlight w:val="none"/>
          <w:lang w:val="en-US" w:eastAsia="zh-CN" w:bidi="ar-SA"/>
        </w:rPr>
      </w:pPr>
      <w:r>
        <w:rPr>
          <w:rFonts w:hint="default" w:ascii="Times New Roman" w:hAnsi="Times New Roman" w:eastAsia="黑体" w:cs="Times New Roman"/>
          <w:b w:val="0"/>
          <w:bCs w:val="0"/>
          <w:kern w:val="2"/>
          <w:sz w:val="21"/>
          <w:szCs w:val="24"/>
          <w:highlight w:val="none"/>
          <w:lang w:val="en-US" w:eastAsia="zh-CN" w:bidi="ar-SA"/>
        </w:rPr>
        <w:t>表</w:t>
      </w:r>
      <w:r>
        <w:rPr>
          <w:rFonts w:hint="eastAsia" w:ascii="Times New Roman" w:hAnsi="Times New Roman" w:eastAsia="黑体" w:cs="Times New Roman"/>
          <w:b w:val="0"/>
          <w:bCs w:val="0"/>
          <w:kern w:val="2"/>
          <w:sz w:val="21"/>
          <w:szCs w:val="24"/>
          <w:highlight w:val="none"/>
          <w:lang w:val="en-US" w:eastAsia="zh-CN" w:bidi="ar-SA"/>
        </w:rPr>
        <w:t>7</w:t>
      </w:r>
      <w:r>
        <w:rPr>
          <w:rFonts w:hint="default" w:ascii="Times New Roman" w:hAnsi="Times New Roman" w:eastAsia="黑体" w:cs="Times New Roman"/>
          <w:b w:val="0"/>
          <w:bCs w:val="0"/>
          <w:kern w:val="2"/>
          <w:sz w:val="21"/>
          <w:szCs w:val="24"/>
          <w:highlight w:val="none"/>
          <w:lang w:val="en-US" w:eastAsia="zh-CN" w:bidi="ar-SA"/>
        </w:rPr>
        <w:t>-4 土地复垦工程投资估算汇总表</w:t>
      </w:r>
    </w:p>
    <w:tbl>
      <w:tblPr>
        <w:tblStyle w:val="22"/>
        <w:tblW w:w="8519"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108"/>
        <w:gridCol w:w="1837"/>
        <w:gridCol w:w="2994"/>
        <w:gridCol w:w="258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atLeast"/>
        </w:trPr>
        <w:tc>
          <w:tcPr>
            <w:tcW w:w="1108"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kern w:val="0"/>
                <w:sz w:val="21"/>
                <w:szCs w:val="21"/>
                <w:highlight w:val="none"/>
                <w:u w:val="none"/>
                <w:lang w:val="en-US" w:eastAsia="zh-CN" w:bidi="ar"/>
              </w:rPr>
            </w:pPr>
            <w:r>
              <w:rPr>
                <w:rFonts w:hint="default" w:ascii="Times New Roman" w:hAnsi="Times New Roman" w:eastAsia="仿宋" w:cs="Times New Roman"/>
                <w:b/>
                <w:bCs/>
                <w:i w:val="0"/>
                <w:iCs w:val="0"/>
                <w:color w:val="000000"/>
                <w:kern w:val="0"/>
                <w:sz w:val="21"/>
                <w:szCs w:val="21"/>
                <w:highlight w:val="none"/>
                <w:u w:val="none"/>
                <w:lang w:val="en-US" w:eastAsia="zh-CN" w:bidi="ar"/>
              </w:rPr>
              <w:t>序号</w:t>
            </w:r>
          </w:p>
        </w:tc>
        <w:tc>
          <w:tcPr>
            <w:tcW w:w="1837"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kern w:val="0"/>
                <w:sz w:val="21"/>
                <w:szCs w:val="21"/>
                <w:highlight w:val="none"/>
                <w:u w:val="none"/>
                <w:lang w:val="en-US" w:eastAsia="zh-CN" w:bidi="ar"/>
              </w:rPr>
            </w:pPr>
            <w:r>
              <w:rPr>
                <w:rFonts w:hint="default" w:ascii="Times New Roman" w:hAnsi="Times New Roman" w:eastAsia="仿宋" w:cs="Times New Roman"/>
                <w:b/>
                <w:bCs/>
                <w:i w:val="0"/>
                <w:iCs w:val="0"/>
                <w:color w:val="000000"/>
                <w:kern w:val="0"/>
                <w:sz w:val="21"/>
                <w:szCs w:val="21"/>
                <w:highlight w:val="none"/>
                <w:u w:val="none"/>
                <w:lang w:val="en-US" w:eastAsia="zh-CN" w:bidi="ar"/>
              </w:rPr>
              <w:t>工程或费用名称</w:t>
            </w:r>
          </w:p>
        </w:tc>
        <w:tc>
          <w:tcPr>
            <w:tcW w:w="299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kern w:val="0"/>
                <w:sz w:val="21"/>
                <w:szCs w:val="21"/>
                <w:highlight w:val="none"/>
                <w:u w:val="none"/>
                <w:lang w:val="en-US" w:eastAsia="zh-CN" w:bidi="ar"/>
              </w:rPr>
            </w:pPr>
            <w:r>
              <w:rPr>
                <w:rFonts w:hint="default" w:ascii="Times New Roman" w:hAnsi="Times New Roman" w:eastAsia="仿宋" w:cs="Times New Roman"/>
                <w:b/>
                <w:bCs/>
                <w:i w:val="0"/>
                <w:iCs w:val="0"/>
                <w:color w:val="000000"/>
                <w:kern w:val="0"/>
                <w:sz w:val="21"/>
                <w:szCs w:val="21"/>
                <w:highlight w:val="none"/>
                <w:u w:val="none"/>
                <w:lang w:val="en-US" w:eastAsia="zh-CN" w:bidi="ar"/>
              </w:rPr>
              <w:t>费用（万元）</w:t>
            </w:r>
          </w:p>
        </w:tc>
        <w:tc>
          <w:tcPr>
            <w:tcW w:w="258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kern w:val="0"/>
                <w:sz w:val="21"/>
                <w:szCs w:val="21"/>
                <w:highlight w:val="none"/>
                <w:u w:val="none"/>
                <w:lang w:val="en-US" w:eastAsia="zh-CN" w:bidi="ar"/>
              </w:rPr>
            </w:pPr>
            <w:r>
              <w:rPr>
                <w:rFonts w:hint="default" w:ascii="Times New Roman" w:hAnsi="Times New Roman" w:eastAsia="仿宋" w:cs="Times New Roman"/>
                <w:b/>
                <w:bCs/>
                <w:i w:val="0"/>
                <w:iCs w:val="0"/>
                <w:color w:val="000000"/>
                <w:kern w:val="0"/>
                <w:sz w:val="21"/>
                <w:szCs w:val="21"/>
                <w:highlight w:val="none"/>
                <w:u w:val="none"/>
                <w:lang w:val="en-US" w:eastAsia="zh-CN" w:bidi="ar"/>
              </w:rPr>
              <w:t>费率（%)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10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一</w:t>
            </w:r>
          </w:p>
        </w:tc>
        <w:tc>
          <w:tcPr>
            <w:tcW w:w="183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工程施工费</w:t>
            </w:r>
          </w:p>
        </w:tc>
        <w:tc>
          <w:tcPr>
            <w:tcW w:w="299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eastAsia" w:ascii="Times New Roman" w:hAnsi="Times New Roman" w:eastAsia="仿宋" w:cs="Times New Roman"/>
                <w:i w:val="0"/>
                <w:iCs w:val="0"/>
                <w:color w:val="000000"/>
                <w:kern w:val="0"/>
                <w:sz w:val="21"/>
                <w:szCs w:val="21"/>
                <w:highlight w:val="none"/>
                <w:u w:val="none"/>
                <w:lang w:val="en-US" w:eastAsia="zh-CN" w:bidi="ar"/>
              </w:rPr>
              <w:t>10.47</w:t>
            </w:r>
          </w:p>
        </w:tc>
        <w:tc>
          <w:tcPr>
            <w:tcW w:w="25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eastAsia" w:ascii="Times New Roman" w:hAnsi="Times New Roman" w:eastAsia="仿宋" w:cs="Times New Roman"/>
                <w:i w:val="0"/>
                <w:iCs w:val="0"/>
                <w:color w:val="000000"/>
                <w:kern w:val="0"/>
                <w:sz w:val="21"/>
                <w:szCs w:val="21"/>
                <w:highlight w:val="none"/>
                <w:u w:val="none"/>
                <w:lang w:val="en-US" w:eastAsia="zh-CN" w:bidi="ar"/>
              </w:rPr>
              <w:t>97.09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10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二</w:t>
            </w:r>
          </w:p>
        </w:tc>
        <w:tc>
          <w:tcPr>
            <w:tcW w:w="183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设备费</w:t>
            </w:r>
          </w:p>
        </w:tc>
        <w:tc>
          <w:tcPr>
            <w:tcW w:w="299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eastAsia" w:ascii="Times New Roman" w:hAnsi="Times New Roman" w:eastAsia="仿宋" w:cs="Times New Roman"/>
                <w:i w:val="0"/>
                <w:iCs w:val="0"/>
                <w:color w:val="000000"/>
                <w:kern w:val="0"/>
                <w:sz w:val="21"/>
                <w:szCs w:val="21"/>
                <w:highlight w:val="none"/>
                <w:u w:val="none"/>
                <w:lang w:val="en-US" w:eastAsia="zh-CN" w:bidi="ar"/>
              </w:rPr>
              <w:t>0.00</w:t>
            </w:r>
          </w:p>
        </w:tc>
        <w:tc>
          <w:tcPr>
            <w:tcW w:w="25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eastAsia" w:ascii="Times New Roman" w:hAnsi="Times New Roman" w:eastAsia="仿宋" w:cs="Times New Roman"/>
                <w:i w:val="0"/>
                <w:iCs w:val="0"/>
                <w:color w:val="000000"/>
                <w:kern w:val="0"/>
                <w:sz w:val="21"/>
                <w:szCs w:val="21"/>
                <w:highlight w:val="none"/>
                <w:u w:val="none"/>
                <w:lang w:val="en-US" w:eastAsia="zh-CN" w:bidi="ar"/>
              </w:rPr>
              <w:t>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10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三</w:t>
            </w:r>
          </w:p>
        </w:tc>
        <w:tc>
          <w:tcPr>
            <w:tcW w:w="183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其他费用</w:t>
            </w:r>
          </w:p>
        </w:tc>
        <w:tc>
          <w:tcPr>
            <w:tcW w:w="299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eastAsia" w:ascii="Times New Roman" w:hAnsi="Times New Roman" w:eastAsia="仿宋" w:cs="Times New Roman"/>
                <w:i w:val="0"/>
                <w:iCs w:val="0"/>
                <w:color w:val="000000"/>
                <w:kern w:val="0"/>
                <w:sz w:val="21"/>
                <w:szCs w:val="21"/>
                <w:highlight w:val="none"/>
                <w:u w:val="none"/>
                <w:lang w:val="en-US" w:eastAsia="zh-CN" w:bidi="ar"/>
              </w:rPr>
              <w:t>0.00</w:t>
            </w:r>
          </w:p>
        </w:tc>
        <w:tc>
          <w:tcPr>
            <w:tcW w:w="25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eastAsia" w:ascii="Times New Roman" w:hAnsi="Times New Roman" w:eastAsia="仿宋" w:cs="Times New Roman"/>
                <w:i w:val="0"/>
                <w:iCs w:val="0"/>
                <w:color w:val="000000"/>
                <w:kern w:val="0"/>
                <w:sz w:val="21"/>
                <w:szCs w:val="21"/>
                <w:highlight w:val="none"/>
                <w:u w:val="none"/>
                <w:lang w:val="en-US" w:eastAsia="zh-CN" w:bidi="ar"/>
              </w:rPr>
              <w:t>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10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四</w:t>
            </w:r>
          </w:p>
        </w:tc>
        <w:tc>
          <w:tcPr>
            <w:tcW w:w="183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监测与管护费</w:t>
            </w:r>
          </w:p>
        </w:tc>
        <w:tc>
          <w:tcPr>
            <w:tcW w:w="299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eastAsia" w:ascii="Times New Roman" w:hAnsi="Times New Roman" w:eastAsia="仿宋" w:cs="Times New Roman"/>
                <w:i w:val="0"/>
                <w:iCs w:val="0"/>
                <w:color w:val="000000"/>
                <w:kern w:val="0"/>
                <w:sz w:val="21"/>
                <w:szCs w:val="21"/>
                <w:highlight w:val="none"/>
                <w:u w:val="none"/>
                <w:lang w:val="en-US" w:eastAsia="zh-CN" w:bidi="ar"/>
              </w:rPr>
              <w:t>0.00</w:t>
            </w:r>
          </w:p>
        </w:tc>
        <w:tc>
          <w:tcPr>
            <w:tcW w:w="25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eastAsia" w:ascii="Times New Roman" w:hAnsi="Times New Roman" w:eastAsia="仿宋" w:cs="Times New Roman"/>
                <w:i w:val="0"/>
                <w:iCs w:val="0"/>
                <w:color w:val="000000"/>
                <w:kern w:val="0"/>
                <w:sz w:val="21"/>
                <w:szCs w:val="21"/>
                <w:highlight w:val="none"/>
                <w:u w:val="none"/>
                <w:lang w:val="en-US" w:eastAsia="zh-CN" w:bidi="ar"/>
              </w:rPr>
              <w:t>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10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（一）</w:t>
            </w:r>
          </w:p>
        </w:tc>
        <w:tc>
          <w:tcPr>
            <w:tcW w:w="183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复垦监测费</w:t>
            </w:r>
          </w:p>
        </w:tc>
        <w:tc>
          <w:tcPr>
            <w:tcW w:w="299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eastAsia" w:ascii="Times New Roman" w:hAnsi="Times New Roman" w:eastAsia="仿宋" w:cs="Times New Roman"/>
                <w:i w:val="0"/>
                <w:iCs w:val="0"/>
                <w:color w:val="000000"/>
                <w:kern w:val="0"/>
                <w:sz w:val="21"/>
                <w:szCs w:val="21"/>
                <w:highlight w:val="none"/>
                <w:u w:val="none"/>
                <w:lang w:val="en-US" w:eastAsia="zh-CN" w:bidi="ar"/>
              </w:rPr>
              <w:t>0.00</w:t>
            </w:r>
          </w:p>
        </w:tc>
        <w:tc>
          <w:tcPr>
            <w:tcW w:w="25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eastAsia" w:ascii="Times New Roman" w:hAnsi="Times New Roman" w:eastAsia="仿宋" w:cs="Times New Roman"/>
                <w:i w:val="0"/>
                <w:iCs w:val="0"/>
                <w:color w:val="000000"/>
                <w:kern w:val="0"/>
                <w:sz w:val="21"/>
                <w:szCs w:val="21"/>
                <w:highlight w:val="none"/>
                <w:u w:val="none"/>
                <w:lang w:val="en-US" w:eastAsia="zh-CN" w:bidi="ar"/>
              </w:rPr>
              <w:t>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10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（二）</w:t>
            </w:r>
          </w:p>
        </w:tc>
        <w:tc>
          <w:tcPr>
            <w:tcW w:w="183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管护费</w:t>
            </w:r>
          </w:p>
        </w:tc>
        <w:tc>
          <w:tcPr>
            <w:tcW w:w="299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eastAsia" w:ascii="Times New Roman" w:hAnsi="Times New Roman" w:eastAsia="仿宋" w:cs="Times New Roman"/>
                <w:i w:val="0"/>
                <w:iCs w:val="0"/>
                <w:color w:val="000000"/>
                <w:kern w:val="0"/>
                <w:sz w:val="21"/>
                <w:szCs w:val="21"/>
                <w:highlight w:val="none"/>
                <w:u w:val="none"/>
                <w:lang w:val="en-US" w:eastAsia="zh-CN" w:bidi="ar"/>
              </w:rPr>
              <w:t>0.00</w:t>
            </w:r>
          </w:p>
        </w:tc>
        <w:tc>
          <w:tcPr>
            <w:tcW w:w="25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eastAsia" w:ascii="Times New Roman" w:hAnsi="Times New Roman" w:eastAsia="仿宋" w:cs="Times New Roman"/>
                <w:i w:val="0"/>
                <w:iCs w:val="0"/>
                <w:color w:val="000000"/>
                <w:kern w:val="0"/>
                <w:sz w:val="21"/>
                <w:szCs w:val="21"/>
                <w:highlight w:val="none"/>
                <w:u w:val="none"/>
                <w:lang w:val="en-US" w:eastAsia="zh-CN" w:bidi="ar"/>
              </w:rPr>
              <w:t>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10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五</w:t>
            </w:r>
          </w:p>
        </w:tc>
        <w:tc>
          <w:tcPr>
            <w:tcW w:w="183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预备费</w:t>
            </w:r>
          </w:p>
        </w:tc>
        <w:tc>
          <w:tcPr>
            <w:tcW w:w="299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eastAsia" w:ascii="Times New Roman" w:hAnsi="Times New Roman" w:eastAsia="仿宋" w:cs="Times New Roman"/>
                <w:i w:val="0"/>
                <w:iCs w:val="0"/>
                <w:color w:val="000000"/>
                <w:kern w:val="0"/>
                <w:sz w:val="21"/>
                <w:szCs w:val="21"/>
                <w:highlight w:val="none"/>
                <w:u w:val="none"/>
                <w:lang w:val="en-US" w:eastAsia="zh-CN" w:bidi="ar"/>
              </w:rPr>
              <w:t>0.31</w:t>
            </w:r>
          </w:p>
        </w:tc>
        <w:tc>
          <w:tcPr>
            <w:tcW w:w="25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eastAsia" w:ascii="Times New Roman" w:hAnsi="Times New Roman" w:eastAsia="仿宋" w:cs="Times New Roman"/>
                <w:i w:val="0"/>
                <w:iCs w:val="0"/>
                <w:color w:val="000000"/>
                <w:kern w:val="0"/>
                <w:sz w:val="21"/>
                <w:szCs w:val="21"/>
                <w:highlight w:val="none"/>
                <w:u w:val="none"/>
                <w:lang w:val="en-US" w:eastAsia="zh-CN" w:bidi="ar"/>
              </w:rPr>
              <w:t>2.91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10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（一）</w:t>
            </w:r>
          </w:p>
        </w:tc>
        <w:tc>
          <w:tcPr>
            <w:tcW w:w="183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基本预备费</w:t>
            </w:r>
          </w:p>
        </w:tc>
        <w:tc>
          <w:tcPr>
            <w:tcW w:w="299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eastAsia" w:ascii="Times New Roman" w:hAnsi="Times New Roman" w:eastAsia="仿宋" w:cs="Times New Roman"/>
                <w:i w:val="0"/>
                <w:iCs w:val="0"/>
                <w:color w:val="000000"/>
                <w:kern w:val="0"/>
                <w:sz w:val="21"/>
                <w:szCs w:val="21"/>
                <w:highlight w:val="none"/>
                <w:u w:val="none"/>
                <w:lang w:val="en-US" w:eastAsia="zh-CN" w:bidi="ar"/>
              </w:rPr>
              <w:t>0.31</w:t>
            </w:r>
          </w:p>
        </w:tc>
        <w:tc>
          <w:tcPr>
            <w:tcW w:w="25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eastAsia" w:ascii="Times New Roman" w:hAnsi="Times New Roman" w:eastAsia="仿宋" w:cs="Times New Roman"/>
                <w:i w:val="0"/>
                <w:iCs w:val="0"/>
                <w:color w:val="000000"/>
                <w:kern w:val="0"/>
                <w:sz w:val="21"/>
                <w:szCs w:val="21"/>
                <w:highlight w:val="none"/>
                <w:u w:val="none"/>
                <w:lang w:val="en-US" w:eastAsia="zh-CN" w:bidi="ar"/>
              </w:rPr>
              <w:t>2.91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10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（二）</w:t>
            </w:r>
          </w:p>
        </w:tc>
        <w:tc>
          <w:tcPr>
            <w:tcW w:w="183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价差预备费</w:t>
            </w:r>
          </w:p>
        </w:tc>
        <w:tc>
          <w:tcPr>
            <w:tcW w:w="299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p>
        </w:tc>
        <w:tc>
          <w:tcPr>
            <w:tcW w:w="25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eastAsia" w:ascii="Times New Roman" w:hAnsi="Times New Roman" w:eastAsia="仿宋" w:cs="Times New Roman"/>
                <w:i w:val="0"/>
                <w:iCs w:val="0"/>
                <w:color w:val="000000"/>
                <w:kern w:val="0"/>
                <w:sz w:val="21"/>
                <w:szCs w:val="21"/>
                <w:highlight w:val="none"/>
                <w:u w:val="none"/>
                <w:lang w:val="en-US" w:eastAsia="zh-CN" w:bidi="ar"/>
              </w:rPr>
              <w:t>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10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六</w:t>
            </w:r>
          </w:p>
        </w:tc>
        <w:tc>
          <w:tcPr>
            <w:tcW w:w="183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静态总投资</w:t>
            </w:r>
          </w:p>
        </w:tc>
        <w:tc>
          <w:tcPr>
            <w:tcW w:w="299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eastAsia" w:ascii="Times New Roman" w:hAnsi="Times New Roman" w:eastAsia="仿宋" w:cs="Times New Roman"/>
                <w:i w:val="0"/>
                <w:iCs w:val="0"/>
                <w:color w:val="000000"/>
                <w:kern w:val="0"/>
                <w:sz w:val="21"/>
                <w:szCs w:val="21"/>
                <w:highlight w:val="none"/>
                <w:u w:val="none"/>
                <w:lang w:val="en-US" w:eastAsia="zh-CN" w:bidi="ar"/>
              </w:rPr>
              <w:t>10.78</w:t>
            </w:r>
          </w:p>
        </w:tc>
        <w:tc>
          <w:tcPr>
            <w:tcW w:w="25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eastAsia" w:ascii="Times New Roman" w:hAnsi="Times New Roman" w:eastAsia="仿宋" w:cs="Times New Roman"/>
                <w:i w:val="0"/>
                <w:iCs w:val="0"/>
                <w:color w:val="000000"/>
                <w:kern w:val="0"/>
                <w:sz w:val="21"/>
                <w:szCs w:val="21"/>
                <w:highlight w:val="none"/>
                <w:u w:val="none"/>
                <w:lang w:val="en-US" w:eastAsia="zh-CN" w:bidi="ar"/>
              </w:rPr>
              <w:t>100.00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108"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bookmarkStart w:id="187" w:name="_Toc28731"/>
            <w:r>
              <w:rPr>
                <w:rFonts w:hint="default" w:ascii="Times New Roman" w:hAnsi="Times New Roman" w:eastAsia="仿宋" w:cs="Times New Roman"/>
                <w:i w:val="0"/>
                <w:iCs w:val="0"/>
                <w:color w:val="000000"/>
                <w:kern w:val="0"/>
                <w:sz w:val="21"/>
                <w:szCs w:val="21"/>
                <w:highlight w:val="none"/>
                <w:u w:val="none"/>
                <w:lang w:val="en-US" w:eastAsia="zh-CN" w:bidi="ar"/>
              </w:rPr>
              <w:t>七</w:t>
            </w:r>
          </w:p>
        </w:tc>
        <w:tc>
          <w:tcPr>
            <w:tcW w:w="183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动态总投资</w:t>
            </w:r>
          </w:p>
        </w:tc>
        <w:tc>
          <w:tcPr>
            <w:tcW w:w="2994"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eastAsia" w:ascii="Times New Roman" w:hAnsi="Times New Roman" w:eastAsia="仿宋" w:cs="Times New Roman"/>
                <w:i w:val="0"/>
                <w:iCs w:val="0"/>
                <w:color w:val="000000"/>
                <w:kern w:val="0"/>
                <w:sz w:val="21"/>
                <w:szCs w:val="21"/>
                <w:highlight w:val="none"/>
                <w:u w:val="none"/>
                <w:lang w:val="en-US" w:eastAsia="zh-CN" w:bidi="ar"/>
              </w:rPr>
              <w:t>10.78</w:t>
            </w:r>
          </w:p>
        </w:tc>
        <w:tc>
          <w:tcPr>
            <w:tcW w:w="2580"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eastAsia" w:ascii="Times New Roman" w:hAnsi="Times New Roman" w:eastAsia="仿宋" w:cs="Times New Roman"/>
                <w:i w:val="0"/>
                <w:iCs w:val="0"/>
                <w:color w:val="000000"/>
                <w:kern w:val="0"/>
                <w:sz w:val="21"/>
                <w:szCs w:val="21"/>
                <w:highlight w:val="none"/>
                <w:u w:val="none"/>
                <w:lang w:val="en-US" w:eastAsia="zh-CN" w:bidi="ar"/>
              </w:rPr>
              <w:t>100.00</w:t>
            </w:r>
          </w:p>
        </w:tc>
      </w:tr>
    </w:tbl>
    <w:p>
      <w:pPr>
        <w:rPr>
          <w:rFonts w:hint="default" w:ascii="Times New Roman" w:hAnsi="Times New Roman" w:eastAsia="黑体" w:cs="Times New Roman"/>
          <w:b w:val="0"/>
          <w:bCs w:val="0"/>
          <w:kern w:val="2"/>
          <w:sz w:val="21"/>
          <w:szCs w:val="24"/>
          <w:highlight w:val="none"/>
          <w:lang w:val="en-US" w:eastAsia="zh-CN" w:bidi="ar-SA"/>
        </w:rPr>
      </w:pPr>
      <w:r>
        <w:rPr>
          <w:rFonts w:hint="default" w:ascii="Times New Roman" w:hAnsi="Times New Roman" w:eastAsia="黑体" w:cs="Times New Roman"/>
          <w:b w:val="0"/>
          <w:bCs w:val="0"/>
          <w:kern w:val="2"/>
          <w:sz w:val="21"/>
          <w:szCs w:val="24"/>
          <w:highlight w:val="none"/>
          <w:lang w:val="en-US" w:eastAsia="zh-CN" w:bidi="ar-SA"/>
        </w:rPr>
        <w:br w:type="page"/>
      </w:r>
    </w:p>
    <w:p>
      <w:pPr>
        <w:widowControl w:val="0"/>
        <w:adjustRightInd w:val="0"/>
        <w:snapToGrid w:val="0"/>
        <w:spacing w:line="360" w:lineRule="auto"/>
        <w:ind w:firstLine="0" w:firstLineChars="0"/>
        <w:jc w:val="center"/>
        <w:textAlignment w:val="baseline"/>
        <w:rPr>
          <w:rFonts w:hint="default" w:ascii="Times New Roman" w:hAnsi="Times New Roman" w:eastAsia="黑体" w:cs="Times New Roman"/>
          <w:b w:val="0"/>
          <w:bCs w:val="0"/>
          <w:kern w:val="2"/>
          <w:sz w:val="21"/>
          <w:szCs w:val="24"/>
          <w:highlight w:val="none"/>
          <w:lang w:val="en-US" w:eastAsia="zh-CN" w:bidi="ar-SA"/>
        </w:rPr>
      </w:pPr>
      <w:r>
        <w:rPr>
          <w:rFonts w:hint="default" w:ascii="Times New Roman" w:hAnsi="Times New Roman" w:eastAsia="黑体" w:cs="Times New Roman"/>
          <w:b w:val="0"/>
          <w:bCs w:val="0"/>
          <w:kern w:val="2"/>
          <w:sz w:val="21"/>
          <w:szCs w:val="24"/>
          <w:highlight w:val="none"/>
          <w:lang w:val="en-US" w:eastAsia="zh-CN" w:bidi="ar-SA"/>
        </w:rPr>
        <w:t>表</w:t>
      </w:r>
      <w:r>
        <w:rPr>
          <w:rFonts w:hint="eastAsia" w:ascii="Times New Roman" w:hAnsi="Times New Roman" w:eastAsia="黑体" w:cs="Times New Roman"/>
          <w:b w:val="0"/>
          <w:bCs w:val="0"/>
          <w:kern w:val="2"/>
          <w:sz w:val="21"/>
          <w:szCs w:val="24"/>
          <w:highlight w:val="none"/>
          <w:lang w:val="en-US" w:eastAsia="zh-CN" w:bidi="ar-SA"/>
        </w:rPr>
        <w:t>7</w:t>
      </w:r>
      <w:r>
        <w:rPr>
          <w:rFonts w:hint="default" w:ascii="Times New Roman" w:hAnsi="Times New Roman" w:eastAsia="黑体" w:cs="Times New Roman"/>
          <w:b w:val="0"/>
          <w:bCs w:val="0"/>
          <w:kern w:val="2"/>
          <w:sz w:val="21"/>
          <w:szCs w:val="24"/>
          <w:highlight w:val="none"/>
          <w:lang w:val="en-US" w:eastAsia="zh-CN" w:bidi="ar-SA"/>
        </w:rPr>
        <w:t>-5 工程施工费预算汇总表</w:t>
      </w:r>
      <w:bookmarkEnd w:id="187"/>
    </w:p>
    <w:tbl>
      <w:tblPr>
        <w:tblStyle w:val="22"/>
        <w:tblW w:w="8456"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849"/>
        <w:gridCol w:w="7"/>
        <w:gridCol w:w="793"/>
        <w:gridCol w:w="2979"/>
        <w:gridCol w:w="793"/>
        <w:gridCol w:w="977"/>
        <w:gridCol w:w="977"/>
        <w:gridCol w:w="108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51" w:hRule="atLeast"/>
          <w:tblHeader/>
        </w:trPr>
        <w:tc>
          <w:tcPr>
            <w:tcW w:w="84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b/>
                <w:bCs/>
                <w:i w:val="0"/>
                <w:iCs w:val="0"/>
                <w:color w:val="000000"/>
                <w:kern w:val="0"/>
                <w:sz w:val="21"/>
                <w:szCs w:val="21"/>
                <w:highlight w:val="none"/>
                <w:u w:val="none"/>
                <w:lang w:val="en-US" w:eastAsia="zh-CN" w:bidi="ar"/>
              </w:rPr>
            </w:pPr>
            <w:r>
              <w:rPr>
                <w:rFonts w:hint="default" w:ascii="Times New Roman" w:hAnsi="Times New Roman" w:eastAsia="仿宋" w:cs="Times New Roman"/>
                <w:b/>
                <w:bCs/>
                <w:i w:val="0"/>
                <w:iCs w:val="0"/>
                <w:color w:val="000000"/>
                <w:kern w:val="0"/>
                <w:sz w:val="21"/>
                <w:szCs w:val="21"/>
                <w:highlight w:val="none"/>
                <w:u w:val="none"/>
                <w:lang w:val="en-US" w:eastAsia="zh-CN" w:bidi="ar"/>
              </w:rPr>
              <w:t>序号</w:t>
            </w:r>
          </w:p>
        </w:tc>
        <w:tc>
          <w:tcPr>
            <w:tcW w:w="800" w:type="dxa"/>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b/>
                <w:bCs/>
                <w:i w:val="0"/>
                <w:iCs w:val="0"/>
                <w:color w:val="000000"/>
                <w:kern w:val="0"/>
                <w:sz w:val="21"/>
                <w:szCs w:val="21"/>
                <w:highlight w:val="none"/>
                <w:u w:val="none"/>
                <w:lang w:val="en-US" w:eastAsia="zh-CN" w:bidi="ar"/>
              </w:rPr>
            </w:pPr>
            <w:r>
              <w:rPr>
                <w:rFonts w:hint="default" w:ascii="Times New Roman" w:hAnsi="Times New Roman" w:eastAsia="仿宋" w:cs="Times New Roman"/>
                <w:b/>
                <w:bCs/>
                <w:i w:val="0"/>
                <w:iCs w:val="0"/>
                <w:color w:val="000000"/>
                <w:kern w:val="0"/>
                <w:sz w:val="21"/>
                <w:szCs w:val="21"/>
                <w:highlight w:val="none"/>
                <w:u w:val="none"/>
                <w:lang w:val="en-US" w:eastAsia="zh-CN" w:bidi="ar"/>
              </w:rPr>
              <w:t>定额编号</w:t>
            </w:r>
          </w:p>
        </w:tc>
        <w:tc>
          <w:tcPr>
            <w:tcW w:w="2979"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b/>
                <w:bCs/>
                <w:i w:val="0"/>
                <w:iCs w:val="0"/>
                <w:color w:val="000000"/>
                <w:kern w:val="0"/>
                <w:sz w:val="21"/>
                <w:szCs w:val="21"/>
                <w:highlight w:val="none"/>
                <w:u w:val="none"/>
                <w:lang w:val="en-US" w:eastAsia="zh-CN" w:bidi="ar"/>
              </w:rPr>
            </w:pPr>
            <w:r>
              <w:rPr>
                <w:rFonts w:hint="default" w:ascii="Times New Roman" w:hAnsi="Times New Roman" w:eastAsia="仿宋" w:cs="Times New Roman"/>
                <w:b/>
                <w:bCs/>
                <w:i w:val="0"/>
                <w:iCs w:val="0"/>
                <w:color w:val="000000"/>
                <w:kern w:val="0"/>
                <w:sz w:val="21"/>
                <w:szCs w:val="21"/>
                <w:highlight w:val="none"/>
                <w:u w:val="none"/>
                <w:lang w:val="en-US" w:eastAsia="zh-CN" w:bidi="ar"/>
              </w:rPr>
              <w:t>分项名称</w:t>
            </w:r>
          </w:p>
        </w:tc>
        <w:tc>
          <w:tcPr>
            <w:tcW w:w="793"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b/>
                <w:bCs/>
                <w:i w:val="0"/>
                <w:iCs w:val="0"/>
                <w:color w:val="000000"/>
                <w:kern w:val="0"/>
                <w:sz w:val="21"/>
                <w:szCs w:val="21"/>
                <w:highlight w:val="none"/>
                <w:u w:val="none"/>
                <w:lang w:val="en-US" w:eastAsia="zh-CN" w:bidi="ar"/>
              </w:rPr>
            </w:pPr>
            <w:r>
              <w:rPr>
                <w:rFonts w:hint="default" w:ascii="Times New Roman" w:hAnsi="Times New Roman" w:eastAsia="仿宋" w:cs="Times New Roman"/>
                <w:b/>
                <w:bCs/>
                <w:i w:val="0"/>
                <w:iCs w:val="0"/>
                <w:color w:val="000000"/>
                <w:kern w:val="0"/>
                <w:sz w:val="21"/>
                <w:szCs w:val="21"/>
                <w:highlight w:val="none"/>
                <w:u w:val="none"/>
                <w:lang w:val="en-US" w:eastAsia="zh-CN" w:bidi="ar"/>
              </w:rPr>
              <w:t>计算单位</w:t>
            </w:r>
          </w:p>
        </w:tc>
        <w:tc>
          <w:tcPr>
            <w:tcW w:w="97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b/>
                <w:bCs/>
                <w:i w:val="0"/>
                <w:iCs w:val="0"/>
                <w:color w:val="000000"/>
                <w:kern w:val="0"/>
                <w:sz w:val="21"/>
                <w:szCs w:val="21"/>
                <w:highlight w:val="none"/>
                <w:u w:val="none"/>
                <w:lang w:val="en-US" w:eastAsia="zh-CN" w:bidi="ar"/>
              </w:rPr>
            </w:pPr>
            <w:r>
              <w:rPr>
                <w:rFonts w:hint="default" w:ascii="Times New Roman" w:hAnsi="Times New Roman" w:eastAsia="仿宋" w:cs="Times New Roman"/>
                <w:b/>
                <w:bCs/>
                <w:i w:val="0"/>
                <w:iCs w:val="0"/>
                <w:color w:val="000000"/>
                <w:kern w:val="0"/>
                <w:sz w:val="21"/>
                <w:szCs w:val="21"/>
                <w:highlight w:val="none"/>
                <w:u w:val="none"/>
                <w:lang w:val="en-US" w:eastAsia="zh-CN" w:bidi="ar"/>
              </w:rPr>
              <w:t>工程量</w:t>
            </w:r>
          </w:p>
        </w:tc>
        <w:tc>
          <w:tcPr>
            <w:tcW w:w="97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综合单价</w:t>
            </w:r>
          </w:p>
        </w:tc>
        <w:tc>
          <w:tcPr>
            <w:tcW w:w="108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小计（元）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70" w:hRule="atLeast"/>
        </w:trPr>
        <w:tc>
          <w:tcPr>
            <w:tcW w:w="856" w:type="dxa"/>
            <w:gridSpan w:val="2"/>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b/>
                <w:bCs/>
                <w:i w:val="0"/>
                <w:iCs w:val="0"/>
                <w:color w:val="000000"/>
                <w:kern w:val="0"/>
                <w:sz w:val="21"/>
                <w:szCs w:val="21"/>
                <w:highlight w:val="none"/>
                <w:u w:val="none"/>
                <w:lang w:val="en-US" w:eastAsia="zh-CN" w:bidi="ar"/>
              </w:rPr>
              <w:t>一</w:t>
            </w:r>
          </w:p>
        </w:tc>
        <w:tc>
          <w:tcPr>
            <w:tcW w:w="79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b/>
                <w:bCs/>
                <w:i w:val="0"/>
                <w:iCs w:val="0"/>
                <w:color w:val="000000"/>
                <w:kern w:val="0"/>
                <w:sz w:val="21"/>
                <w:szCs w:val="21"/>
                <w:highlight w:val="none"/>
                <w:u w:val="none"/>
                <w:lang w:val="en-US" w:eastAsia="zh-CN" w:bidi="ar"/>
              </w:rPr>
              <w:t>-</w:t>
            </w:r>
          </w:p>
        </w:tc>
        <w:tc>
          <w:tcPr>
            <w:tcW w:w="2979"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b/>
                <w:bCs/>
                <w:i w:val="0"/>
                <w:iCs w:val="0"/>
                <w:color w:val="000000"/>
                <w:kern w:val="0"/>
                <w:sz w:val="21"/>
                <w:szCs w:val="21"/>
                <w:highlight w:val="none"/>
                <w:u w:val="none"/>
                <w:lang w:val="en-US" w:eastAsia="zh-CN" w:bidi="ar"/>
              </w:rPr>
              <w:t>施工便道</w:t>
            </w:r>
          </w:p>
        </w:tc>
        <w:tc>
          <w:tcPr>
            <w:tcW w:w="79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b/>
                <w:bCs/>
                <w:i w:val="0"/>
                <w:iCs w:val="0"/>
                <w:color w:val="000000"/>
                <w:kern w:val="0"/>
                <w:sz w:val="21"/>
                <w:szCs w:val="21"/>
                <w:highlight w:val="none"/>
                <w:u w:val="none"/>
                <w:lang w:val="en-US" w:eastAsia="zh-CN" w:bidi="ar"/>
              </w:rPr>
              <w:t>hm</w:t>
            </w:r>
            <w:r>
              <w:rPr>
                <w:rFonts w:hint="default" w:ascii="Times New Roman" w:hAnsi="Times New Roman" w:eastAsia="仿宋" w:cs="Times New Roman"/>
                <w:b/>
                <w:bCs/>
                <w:i w:val="0"/>
                <w:iCs w:val="0"/>
                <w:color w:val="000000"/>
                <w:kern w:val="0"/>
                <w:sz w:val="21"/>
                <w:szCs w:val="21"/>
                <w:highlight w:val="none"/>
                <w:u w:val="none"/>
                <w:vertAlign w:val="superscript"/>
                <w:lang w:val="en-US" w:eastAsia="zh-CN" w:bidi="ar"/>
              </w:rPr>
              <w:t>2</w:t>
            </w:r>
          </w:p>
        </w:tc>
        <w:tc>
          <w:tcPr>
            <w:tcW w:w="977"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kern w:val="0"/>
                <w:sz w:val="20"/>
                <w:szCs w:val="20"/>
                <w:highlight w:val="none"/>
                <w:u w:val="none"/>
                <w:lang w:val="en-US" w:eastAsia="zh-CN" w:bidi="ar"/>
              </w:rPr>
            </w:pPr>
            <w:r>
              <w:rPr>
                <w:rFonts w:hint="eastAsia" w:ascii="Times New Roman" w:hAnsi="Times New Roman" w:eastAsia="仿宋" w:cs="Times New Roman"/>
                <w:b/>
                <w:bCs/>
                <w:i w:val="0"/>
                <w:iCs w:val="0"/>
                <w:color w:val="000000"/>
                <w:kern w:val="0"/>
                <w:sz w:val="20"/>
                <w:szCs w:val="20"/>
                <w:highlight w:val="none"/>
                <w:u w:val="none"/>
                <w:lang w:val="en-US" w:eastAsia="zh-CN" w:bidi="ar"/>
              </w:rPr>
              <w:t>2.4296</w:t>
            </w:r>
            <w:r>
              <w:rPr>
                <w:rFonts w:hint="default" w:ascii="Times New Roman" w:hAnsi="Times New Roman" w:eastAsia="仿宋" w:cs="Times New Roman"/>
                <w:b/>
                <w:bCs/>
                <w:i w:val="0"/>
                <w:iCs w:val="0"/>
                <w:color w:val="000000"/>
                <w:kern w:val="0"/>
                <w:sz w:val="20"/>
                <w:szCs w:val="20"/>
                <w:highlight w:val="none"/>
                <w:u w:val="none"/>
                <w:lang w:val="en-US" w:eastAsia="zh-CN" w:bidi="ar"/>
              </w:rPr>
              <w:t xml:space="preserve"> </w:t>
            </w:r>
          </w:p>
        </w:tc>
        <w:tc>
          <w:tcPr>
            <w:tcW w:w="977"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kern w:val="0"/>
                <w:sz w:val="20"/>
                <w:szCs w:val="20"/>
                <w:highlight w:val="none"/>
                <w:u w:val="none"/>
                <w:lang w:val="en-US" w:eastAsia="zh-CN" w:bidi="ar"/>
              </w:rPr>
            </w:pPr>
          </w:p>
        </w:tc>
        <w:tc>
          <w:tcPr>
            <w:tcW w:w="108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b/>
                <w:bCs/>
                <w:i w:val="0"/>
                <w:iCs w:val="0"/>
                <w:color w:val="000000"/>
                <w:kern w:val="0"/>
                <w:sz w:val="20"/>
                <w:szCs w:val="20"/>
                <w:highlight w:val="none"/>
                <w:u w:val="none"/>
                <w:lang w:val="en-US" w:eastAsia="zh-CN" w:bidi="ar"/>
              </w:rPr>
            </w:pPr>
            <w:r>
              <w:rPr>
                <w:rFonts w:hint="default" w:ascii="Times New Roman" w:hAnsi="Times New Roman" w:eastAsia="仿宋" w:cs="Times New Roman"/>
                <w:b/>
                <w:bCs/>
                <w:i w:val="0"/>
                <w:iCs w:val="0"/>
                <w:color w:val="000000"/>
                <w:kern w:val="0"/>
                <w:sz w:val="20"/>
                <w:szCs w:val="20"/>
                <w:highlight w:val="none"/>
                <w:u w:val="none"/>
                <w:lang w:val="en-US" w:eastAsia="zh-CN" w:bidi="ar"/>
              </w:rPr>
              <w:t xml:space="preserve">104682.15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70" w:hRule="atLeast"/>
        </w:trPr>
        <w:tc>
          <w:tcPr>
            <w:tcW w:w="856" w:type="dxa"/>
            <w:gridSpan w:val="2"/>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（一）</w:t>
            </w:r>
          </w:p>
        </w:tc>
        <w:tc>
          <w:tcPr>
            <w:tcW w:w="79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w:t>
            </w:r>
          </w:p>
        </w:tc>
        <w:tc>
          <w:tcPr>
            <w:tcW w:w="2979"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土壤重构</w:t>
            </w:r>
          </w:p>
        </w:tc>
        <w:tc>
          <w:tcPr>
            <w:tcW w:w="79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w:t>
            </w:r>
          </w:p>
        </w:tc>
        <w:tc>
          <w:tcPr>
            <w:tcW w:w="97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w:t>
            </w:r>
          </w:p>
        </w:tc>
        <w:tc>
          <w:tcPr>
            <w:tcW w:w="977" w:type="dxa"/>
            <w:tcBorders>
              <w:tl2br w:val="nil"/>
              <w:tr2bl w:val="nil"/>
            </w:tcBorders>
            <w:shd w:val="clear" w:color="auto" w:fill="auto"/>
            <w:noWrap/>
            <w:vAlign w:val="center"/>
          </w:tcPr>
          <w:p>
            <w:pPr>
              <w:jc w:val="center"/>
              <w:rPr>
                <w:rFonts w:hint="default" w:ascii="Times New Roman" w:hAnsi="Times New Roman" w:eastAsia="仿宋" w:cs="Times New Roman"/>
                <w:i w:val="0"/>
                <w:iCs w:val="0"/>
                <w:color w:val="000000"/>
                <w:kern w:val="0"/>
                <w:sz w:val="21"/>
                <w:szCs w:val="21"/>
                <w:highlight w:val="none"/>
                <w:u w:val="none"/>
                <w:lang w:val="en-US" w:eastAsia="zh-CN" w:bidi="ar"/>
              </w:rPr>
            </w:pPr>
          </w:p>
        </w:tc>
        <w:tc>
          <w:tcPr>
            <w:tcW w:w="108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eastAsia" w:ascii="Times New Roman" w:hAnsi="Times New Roman" w:eastAsia="仿宋" w:cs="Times New Roman"/>
                <w:i w:val="0"/>
                <w:iCs w:val="0"/>
                <w:color w:val="000000"/>
                <w:kern w:val="0"/>
                <w:sz w:val="21"/>
                <w:szCs w:val="21"/>
                <w:highlight w:val="none"/>
                <w:u w:val="none"/>
                <w:lang w:val="en-US" w:eastAsia="zh-CN" w:bidi="ar"/>
              </w:rPr>
              <w:t xml:space="preserve">20306.30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70" w:hRule="atLeast"/>
        </w:trPr>
        <w:tc>
          <w:tcPr>
            <w:tcW w:w="856" w:type="dxa"/>
            <w:gridSpan w:val="2"/>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eastAsia" w:ascii="Times New Roman" w:hAnsi="Times New Roman" w:eastAsia="仿宋" w:cs="Times New Roman"/>
                <w:i w:val="0"/>
                <w:iCs w:val="0"/>
                <w:color w:val="000000"/>
                <w:kern w:val="0"/>
                <w:sz w:val="21"/>
                <w:szCs w:val="21"/>
                <w:highlight w:val="none"/>
                <w:u w:val="none"/>
                <w:lang w:val="en-US" w:eastAsia="zh-CN" w:bidi="ar"/>
              </w:rPr>
              <w:t>1</w:t>
            </w:r>
          </w:p>
        </w:tc>
        <w:tc>
          <w:tcPr>
            <w:tcW w:w="79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w:t>
            </w:r>
          </w:p>
        </w:tc>
        <w:tc>
          <w:tcPr>
            <w:tcW w:w="2979"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平整工程</w:t>
            </w:r>
          </w:p>
        </w:tc>
        <w:tc>
          <w:tcPr>
            <w:tcW w:w="79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w:t>
            </w:r>
          </w:p>
        </w:tc>
        <w:tc>
          <w:tcPr>
            <w:tcW w:w="97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p>
        </w:tc>
        <w:tc>
          <w:tcPr>
            <w:tcW w:w="97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p>
        </w:tc>
        <w:tc>
          <w:tcPr>
            <w:tcW w:w="10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eastAsia" w:ascii="Times New Roman" w:hAnsi="Times New Roman" w:eastAsia="仿宋" w:cs="Times New Roman"/>
                <w:i w:val="0"/>
                <w:iCs w:val="0"/>
                <w:color w:val="000000"/>
                <w:kern w:val="0"/>
                <w:sz w:val="21"/>
                <w:szCs w:val="21"/>
                <w:highlight w:val="none"/>
                <w:u w:val="none"/>
                <w:lang w:val="en-US" w:eastAsia="zh-CN" w:bidi="ar"/>
              </w:rPr>
              <w:t xml:space="preserve">20306.30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70" w:hRule="atLeast"/>
        </w:trPr>
        <w:tc>
          <w:tcPr>
            <w:tcW w:w="856" w:type="dxa"/>
            <w:gridSpan w:val="2"/>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w:t>
            </w:r>
          </w:p>
        </w:tc>
        <w:tc>
          <w:tcPr>
            <w:tcW w:w="79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10306</w:t>
            </w:r>
          </w:p>
        </w:tc>
        <w:tc>
          <w:tcPr>
            <w:tcW w:w="2979"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土地平整</w:t>
            </w:r>
          </w:p>
        </w:tc>
        <w:tc>
          <w:tcPr>
            <w:tcW w:w="79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m</w:t>
            </w:r>
            <w:r>
              <w:rPr>
                <w:rFonts w:hint="default" w:ascii="Times New Roman" w:hAnsi="Times New Roman" w:eastAsia="仿宋" w:cs="Times New Roman"/>
                <w:i w:val="0"/>
                <w:iCs w:val="0"/>
                <w:color w:val="000000"/>
                <w:kern w:val="0"/>
                <w:sz w:val="21"/>
                <w:szCs w:val="21"/>
                <w:highlight w:val="none"/>
                <w:u w:val="none"/>
                <w:vertAlign w:val="superscript"/>
                <w:lang w:val="en-US" w:eastAsia="zh-CN" w:bidi="ar"/>
              </w:rPr>
              <w:t>3</w:t>
            </w:r>
          </w:p>
        </w:tc>
        <w:tc>
          <w:tcPr>
            <w:tcW w:w="97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eastAsia" w:ascii="Times New Roman" w:hAnsi="Times New Roman" w:eastAsia="仿宋" w:cs="Times New Roman"/>
                <w:i w:val="0"/>
                <w:iCs w:val="0"/>
                <w:color w:val="000000"/>
                <w:kern w:val="0"/>
                <w:sz w:val="21"/>
                <w:szCs w:val="21"/>
                <w:highlight w:val="none"/>
                <w:u w:val="none"/>
                <w:lang w:val="en-US" w:eastAsia="zh-CN" w:bidi="ar"/>
              </w:rPr>
              <w:t>4859.20</w:t>
            </w:r>
            <w:r>
              <w:rPr>
                <w:rFonts w:hint="default" w:ascii="Times New Roman" w:hAnsi="Times New Roman" w:eastAsia="仿宋" w:cs="Times New Roman"/>
                <w:i w:val="0"/>
                <w:iCs w:val="0"/>
                <w:color w:val="000000"/>
                <w:kern w:val="0"/>
                <w:sz w:val="21"/>
                <w:szCs w:val="21"/>
                <w:highlight w:val="none"/>
                <w:u w:val="none"/>
                <w:lang w:val="en-US" w:eastAsia="zh-CN" w:bidi="ar"/>
              </w:rPr>
              <w:t xml:space="preserve"> </w:t>
            </w:r>
          </w:p>
        </w:tc>
        <w:tc>
          <w:tcPr>
            <w:tcW w:w="97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 xml:space="preserve">4.18 </w:t>
            </w:r>
          </w:p>
        </w:tc>
        <w:tc>
          <w:tcPr>
            <w:tcW w:w="10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eastAsia" w:ascii="Times New Roman" w:hAnsi="Times New Roman" w:eastAsia="仿宋" w:cs="Times New Roman"/>
                <w:i w:val="0"/>
                <w:iCs w:val="0"/>
                <w:color w:val="000000"/>
                <w:kern w:val="0"/>
                <w:sz w:val="21"/>
                <w:szCs w:val="21"/>
                <w:highlight w:val="none"/>
                <w:u w:val="none"/>
                <w:lang w:val="en-US" w:eastAsia="zh-CN" w:bidi="ar"/>
              </w:rPr>
              <w:t xml:space="preserve">20306.30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70" w:hRule="atLeast"/>
        </w:trPr>
        <w:tc>
          <w:tcPr>
            <w:tcW w:w="856" w:type="dxa"/>
            <w:gridSpan w:val="2"/>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（二）</w:t>
            </w:r>
          </w:p>
        </w:tc>
        <w:tc>
          <w:tcPr>
            <w:tcW w:w="79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w:t>
            </w:r>
          </w:p>
        </w:tc>
        <w:tc>
          <w:tcPr>
            <w:tcW w:w="2979"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迹地清理工程</w:t>
            </w:r>
          </w:p>
        </w:tc>
        <w:tc>
          <w:tcPr>
            <w:tcW w:w="79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w:t>
            </w:r>
          </w:p>
        </w:tc>
        <w:tc>
          <w:tcPr>
            <w:tcW w:w="97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p>
        </w:tc>
        <w:tc>
          <w:tcPr>
            <w:tcW w:w="97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p>
        </w:tc>
        <w:tc>
          <w:tcPr>
            <w:tcW w:w="10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b/>
                <w:bCs/>
                <w:i w:val="0"/>
                <w:iCs w:val="0"/>
                <w:color w:val="000000"/>
                <w:kern w:val="0"/>
                <w:sz w:val="21"/>
                <w:szCs w:val="21"/>
                <w:highlight w:val="none"/>
                <w:u w:val="none"/>
                <w:lang w:val="en-US" w:eastAsia="zh-CN" w:bidi="ar"/>
              </w:rPr>
            </w:pPr>
            <w:r>
              <w:rPr>
                <w:rFonts w:hint="eastAsia" w:ascii="Times New Roman" w:hAnsi="Times New Roman" w:eastAsia="仿宋" w:cs="Times New Roman"/>
                <w:b/>
                <w:bCs/>
                <w:i w:val="0"/>
                <w:iCs w:val="0"/>
                <w:color w:val="000000"/>
                <w:kern w:val="0"/>
                <w:sz w:val="21"/>
                <w:szCs w:val="21"/>
                <w:highlight w:val="none"/>
                <w:u w:val="none"/>
                <w:lang w:val="en-US" w:eastAsia="zh-CN" w:bidi="ar"/>
              </w:rPr>
              <w:t xml:space="preserve">84375.85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70" w:hRule="atLeast"/>
        </w:trPr>
        <w:tc>
          <w:tcPr>
            <w:tcW w:w="856" w:type="dxa"/>
            <w:gridSpan w:val="2"/>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w:t>
            </w:r>
          </w:p>
        </w:tc>
        <w:tc>
          <w:tcPr>
            <w:tcW w:w="79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10205</w:t>
            </w:r>
          </w:p>
        </w:tc>
        <w:tc>
          <w:tcPr>
            <w:tcW w:w="2979"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砂砾石路面拆除</w:t>
            </w:r>
          </w:p>
        </w:tc>
        <w:tc>
          <w:tcPr>
            <w:tcW w:w="79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m</w:t>
            </w:r>
            <w:r>
              <w:rPr>
                <w:rFonts w:hint="default" w:ascii="Times New Roman" w:hAnsi="Times New Roman" w:eastAsia="仿宋" w:cs="Times New Roman"/>
                <w:i w:val="0"/>
                <w:iCs w:val="0"/>
                <w:color w:val="000000"/>
                <w:kern w:val="0"/>
                <w:sz w:val="21"/>
                <w:szCs w:val="21"/>
                <w:highlight w:val="none"/>
                <w:u w:val="none"/>
                <w:vertAlign w:val="superscript"/>
                <w:lang w:val="en-US" w:eastAsia="zh-CN" w:bidi="ar"/>
              </w:rPr>
              <w:t>3</w:t>
            </w:r>
          </w:p>
        </w:tc>
        <w:tc>
          <w:tcPr>
            <w:tcW w:w="97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eastAsia" w:ascii="Times New Roman" w:hAnsi="Times New Roman" w:eastAsia="仿宋" w:cs="Times New Roman"/>
                <w:i w:val="0"/>
                <w:iCs w:val="0"/>
                <w:color w:val="000000"/>
                <w:kern w:val="0"/>
                <w:sz w:val="21"/>
                <w:szCs w:val="21"/>
                <w:highlight w:val="none"/>
                <w:u w:val="none"/>
                <w:lang w:val="en-US" w:eastAsia="zh-CN" w:bidi="ar"/>
              </w:rPr>
              <w:t>3644.40</w:t>
            </w:r>
            <w:r>
              <w:rPr>
                <w:rFonts w:hint="default" w:ascii="Times New Roman" w:hAnsi="Times New Roman" w:eastAsia="仿宋" w:cs="Times New Roman"/>
                <w:i w:val="0"/>
                <w:iCs w:val="0"/>
                <w:color w:val="000000"/>
                <w:kern w:val="0"/>
                <w:sz w:val="21"/>
                <w:szCs w:val="21"/>
                <w:highlight w:val="none"/>
                <w:u w:val="none"/>
                <w:lang w:val="en-US" w:eastAsia="zh-CN" w:bidi="ar"/>
              </w:rPr>
              <w:t xml:space="preserve"> </w:t>
            </w:r>
          </w:p>
        </w:tc>
        <w:tc>
          <w:tcPr>
            <w:tcW w:w="97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 xml:space="preserve">3.20 </w:t>
            </w:r>
          </w:p>
        </w:tc>
        <w:tc>
          <w:tcPr>
            <w:tcW w:w="10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eastAsia" w:ascii="Times New Roman" w:hAnsi="Times New Roman" w:eastAsia="仿宋" w:cs="Times New Roman"/>
                <w:i w:val="0"/>
                <w:iCs w:val="0"/>
                <w:color w:val="000000"/>
                <w:kern w:val="0"/>
                <w:sz w:val="21"/>
                <w:szCs w:val="21"/>
                <w:highlight w:val="none"/>
                <w:u w:val="none"/>
                <w:lang w:val="en-US" w:eastAsia="zh-CN" w:bidi="ar"/>
              </w:rPr>
              <w:t xml:space="preserve">11663.59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70" w:hRule="atLeast"/>
        </w:trPr>
        <w:tc>
          <w:tcPr>
            <w:tcW w:w="856" w:type="dxa"/>
            <w:gridSpan w:val="2"/>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2</w:t>
            </w:r>
          </w:p>
        </w:tc>
        <w:tc>
          <w:tcPr>
            <w:tcW w:w="79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eastAsia" w:ascii="Times New Roman" w:hAnsi="Times New Roman" w:eastAsia="仿宋" w:cs="Times New Roman"/>
                <w:i w:val="0"/>
                <w:iCs w:val="0"/>
                <w:color w:val="000000"/>
                <w:kern w:val="0"/>
                <w:sz w:val="21"/>
                <w:szCs w:val="21"/>
                <w:highlight w:val="none"/>
                <w:u w:val="none"/>
                <w:lang w:val="en-US" w:eastAsia="zh-CN" w:bidi="ar"/>
              </w:rPr>
              <w:t>10223</w:t>
            </w:r>
          </w:p>
        </w:tc>
        <w:tc>
          <w:tcPr>
            <w:tcW w:w="2979"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垃圾清运（运土</w:t>
            </w:r>
            <w:r>
              <w:rPr>
                <w:rFonts w:hint="eastAsia" w:ascii="Times New Roman" w:hAnsi="Times New Roman" w:eastAsia="仿宋" w:cs="Times New Roman"/>
                <w:i w:val="0"/>
                <w:iCs w:val="0"/>
                <w:color w:val="000000"/>
                <w:kern w:val="0"/>
                <w:sz w:val="21"/>
                <w:szCs w:val="21"/>
                <w:highlight w:val="none"/>
                <w:u w:val="none"/>
                <w:lang w:val="en-US" w:eastAsia="zh-CN" w:bidi="ar"/>
              </w:rPr>
              <w:t>3-4km</w:t>
            </w:r>
            <w:r>
              <w:rPr>
                <w:rFonts w:hint="default" w:ascii="Times New Roman" w:hAnsi="Times New Roman" w:eastAsia="仿宋" w:cs="Times New Roman"/>
                <w:i w:val="0"/>
                <w:iCs w:val="0"/>
                <w:color w:val="000000"/>
                <w:kern w:val="0"/>
                <w:sz w:val="21"/>
                <w:szCs w:val="21"/>
                <w:highlight w:val="none"/>
                <w:u w:val="none"/>
                <w:lang w:val="en-US" w:eastAsia="zh-CN" w:bidi="ar"/>
              </w:rPr>
              <w:t>）</w:t>
            </w:r>
          </w:p>
        </w:tc>
        <w:tc>
          <w:tcPr>
            <w:tcW w:w="79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default" w:ascii="Times New Roman" w:hAnsi="Times New Roman" w:eastAsia="仿宋" w:cs="Times New Roman"/>
                <w:i w:val="0"/>
                <w:iCs w:val="0"/>
                <w:color w:val="000000"/>
                <w:kern w:val="0"/>
                <w:sz w:val="21"/>
                <w:szCs w:val="21"/>
                <w:highlight w:val="none"/>
                <w:u w:val="none"/>
                <w:lang w:val="en-US" w:eastAsia="zh-CN" w:bidi="ar"/>
              </w:rPr>
              <w:t>m</w:t>
            </w:r>
            <w:r>
              <w:rPr>
                <w:rFonts w:hint="default" w:ascii="Times New Roman" w:hAnsi="Times New Roman" w:eastAsia="仿宋" w:cs="Times New Roman"/>
                <w:i w:val="0"/>
                <w:iCs w:val="0"/>
                <w:color w:val="000000"/>
                <w:kern w:val="0"/>
                <w:sz w:val="21"/>
                <w:szCs w:val="21"/>
                <w:highlight w:val="none"/>
                <w:u w:val="none"/>
                <w:vertAlign w:val="superscript"/>
                <w:lang w:val="en-US" w:eastAsia="zh-CN" w:bidi="ar"/>
              </w:rPr>
              <w:t>3</w:t>
            </w:r>
          </w:p>
        </w:tc>
        <w:tc>
          <w:tcPr>
            <w:tcW w:w="97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eastAsia" w:ascii="Times New Roman" w:hAnsi="Times New Roman" w:eastAsia="仿宋" w:cs="Times New Roman"/>
                <w:i w:val="0"/>
                <w:iCs w:val="0"/>
                <w:color w:val="000000"/>
                <w:kern w:val="0"/>
                <w:sz w:val="21"/>
                <w:szCs w:val="21"/>
                <w:highlight w:val="none"/>
                <w:u w:val="none"/>
                <w:lang w:val="en-US" w:eastAsia="zh-CN" w:bidi="ar"/>
              </w:rPr>
              <w:t>3644.40</w:t>
            </w:r>
            <w:r>
              <w:rPr>
                <w:rFonts w:hint="default" w:ascii="Times New Roman" w:hAnsi="Times New Roman" w:eastAsia="仿宋" w:cs="Times New Roman"/>
                <w:i w:val="0"/>
                <w:iCs w:val="0"/>
                <w:color w:val="000000"/>
                <w:kern w:val="0"/>
                <w:sz w:val="21"/>
                <w:szCs w:val="21"/>
                <w:highlight w:val="none"/>
                <w:u w:val="none"/>
                <w:lang w:val="en-US" w:eastAsia="zh-CN" w:bidi="ar"/>
              </w:rPr>
              <w:t xml:space="preserve"> </w:t>
            </w:r>
          </w:p>
        </w:tc>
        <w:tc>
          <w:tcPr>
            <w:tcW w:w="97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eastAsia" w:ascii="Times New Roman" w:hAnsi="Times New Roman" w:eastAsia="仿宋" w:cs="Times New Roman"/>
                <w:i w:val="0"/>
                <w:iCs w:val="0"/>
                <w:color w:val="000000"/>
                <w:kern w:val="0"/>
                <w:sz w:val="21"/>
                <w:szCs w:val="21"/>
                <w:highlight w:val="none"/>
                <w:u w:val="none"/>
                <w:lang w:val="en-US" w:eastAsia="zh-CN" w:bidi="ar"/>
              </w:rPr>
              <w:t>19.95</w:t>
            </w:r>
            <w:r>
              <w:rPr>
                <w:rFonts w:hint="default" w:ascii="Times New Roman" w:hAnsi="Times New Roman" w:eastAsia="仿宋" w:cs="Times New Roman"/>
                <w:i w:val="0"/>
                <w:iCs w:val="0"/>
                <w:color w:val="000000"/>
                <w:kern w:val="0"/>
                <w:sz w:val="21"/>
                <w:szCs w:val="21"/>
                <w:highlight w:val="none"/>
                <w:u w:val="none"/>
                <w:lang w:val="en-US" w:eastAsia="zh-CN" w:bidi="ar"/>
              </w:rPr>
              <w:t xml:space="preserve"> </w:t>
            </w:r>
          </w:p>
        </w:tc>
        <w:tc>
          <w:tcPr>
            <w:tcW w:w="108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i w:val="0"/>
                <w:iCs w:val="0"/>
                <w:color w:val="000000"/>
                <w:kern w:val="0"/>
                <w:sz w:val="21"/>
                <w:szCs w:val="21"/>
                <w:highlight w:val="none"/>
                <w:u w:val="none"/>
                <w:lang w:val="en-US" w:eastAsia="zh-CN" w:bidi="ar"/>
              </w:rPr>
            </w:pPr>
            <w:r>
              <w:rPr>
                <w:rFonts w:hint="eastAsia" w:ascii="Times New Roman" w:hAnsi="Times New Roman" w:eastAsia="仿宋" w:cs="Times New Roman"/>
                <w:i w:val="0"/>
                <w:iCs w:val="0"/>
                <w:color w:val="000000"/>
                <w:kern w:val="0"/>
                <w:sz w:val="21"/>
                <w:szCs w:val="21"/>
                <w:highlight w:val="none"/>
                <w:u w:val="none"/>
                <w:lang w:val="en-US" w:eastAsia="zh-CN" w:bidi="ar"/>
              </w:rPr>
              <w:t xml:space="preserve">72712.26 </w:t>
            </w:r>
          </w:p>
        </w:tc>
      </w:tr>
    </w:tbl>
    <w:p>
      <w:pPr>
        <w:pStyle w:val="43"/>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highlight w:val="none"/>
          <w:lang w:val="en-US" w:eastAsia="zh-CN"/>
        </w:rPr>
      </w:pPr>
    </w:p>
    <w:p>
      <w:pPr>
        <w:pStyle w:val="43"/>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w:t>
      </w:r>
      <w:r>
        <w:rPr>
          <w:rFonts w:hint="eastAsia" w:ascii="Times New Roman" w:hAnsi="Times New Roman" w:cs="Times New Roman"/>
          <w:color w:val="auto"/>
          <w:highlight w:val="none"/>
          <w:lang w:val="en-US" w:eastAsia="zh-CN"/>
        </w:rPr>
        <w:t>7</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6</w:t>
      </w:r>
      <w:r>
        <w:rPr>
          <w:rFonts w:hint="default" w:ascii="Times New Roman" w:hAnsi="Times New Roman" w:cs="Times New Roman"/>
          <w:color w:val="auto"/>
          <w:highlight w:val="none"/>
          <w:lang w:val="en-US" w:eastAsia="zh-CN"/>
        </w:rPr>
        <w:t xml:space="preserve"> 土地复垦预备费估算表</w:t>
      </w:r>
    </w:p>
    <w:tbl>
      <w:tblPr>
        <w:tblStyle w:val="22"/>
        <w:tblW w:w="851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26"/>
        <w:gridCol w:w="1708"/>
        <w:gridCol w:w="1824"/>
        <w:gridCol w:w="1670"/>
        <w:gridCol w:w="1138"/>
        <w:gridCol w:w="12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97" w:hRule="atLeast"/>
        </w:trPr>
        <w:tc>
          <w:tcPr>
            <w:tcW w:w="926" w:type="dxa"/>
            <w:tcBorders>
              <w:top w:val="single" w:color="000000" w:sz="12" w:space="0"/>
              <w:left w:val="single" w:color="000000" w:sz="12"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序号</w:t>
            </w:r>
          </w:p>
        </w:tc>
        <w:tc>
          <w:tcPr>
            <w:tcW w:w="1708" w:type="dxa"/>
            <w:tcBorders>
              <w:top w:val="single" w:color="000000" w:sz="12"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费用名称</w:t>
            </w:r>
          </w:p>
        </w:tc>
        <w:tc>
          <w:tcPr>
            <w:tcW w:w="1824" w:type="dxa"/>
            <w:tcBorders>
              <w:top w:val="single" w:color="000000" w:sz="12"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工程施工费/万元</w:t>
            </w:r>
          </w:p>
        </w:tc>
        <w:tc>
          <w:tcPr>
            <w:tcW w:w="1670" w:type="dxa"/>
            <w:tcBorders>
              <w:top w:val="single" w:color="000000" w:sz="12"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其他费用/万元</w:t>
            </w:r>
          </w:p>
        </w:tc>
        <w:tc>
          <w:tcPr>
            <w:tcW w:w="1138" w:type="dxa"/>
            <w:tcBorders>
              <w:top w:val="single" w:color="000000" w:sz="12"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费率/%</w:t>
            </w:r>
          </w:p>
        </w:tc>
        <w:tc>
          <w:tcPr>
            <w:tcW w:w="1251" w:type="dxa"/>
            <w:tcBorders>
              <w:top w:val="single" w:color="000000" w:sz="12"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合计/万元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97" w:hRule="atLeast"/>
        </w:trPr>
        <w:tc>
          <w:tcPr>
            <w:tcW w:w="926"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1</w:t>
            </w:r>
          </w:p>
        </w:tc>
        <w:tc>
          <w:tcPr>
            <w:tcW w:w="1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基本预备费</w:t>
            </w:r>
          </w:p>
        </w:tc>
        <w:tc>
          <w:tcPr>
            <w:tcW w:w="18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 xml:space="preserve">10.47 </w:t>
            </w:r>
          </w:p>
        </w:tc>
        <w:tc>
          <w:tcPr>
            <w:tcW w:w="1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 xml:space="preserve">0.00 </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 xml:space="preserve">3.00 </w:t>
            </w:r>
          </w:p>
        </w:tc>
        <w:tc>
          <w:tcPr>
            <w:tcW w:w="1251"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 xml:space="preserve">0.31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97" w:hRule="atLeast"/>
        </w:trPr>
        <w:tc>
          <w:tcPr>
            <w:tcW w:w="926"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2</w:t>
            </w:r>
          </w:p>
        </w:tc>
        <w:tc>
          <w:tcPr>
            <w:tcW w:w="1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价差预备费</w:t>
            </w:r>
          </w:p>
        </w:tc>
        <w:tc>
          <w:tcPr>
            <w:tcW w:w="18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251"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97" w:hRule="atLeast"/>
        </w:trPr>
        <w:tc>
          <w:tcPr>
            <w:tcW w:w="926"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3</w:t>
            </w:r>
          </w:p>
        </w:tc>
        <w:tc>
          <w:tcPr>
            <w:tcW w:w="1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风险金</w:t>
            </w:r>
          </w:p>
        </w:tc>
        <w:tc>
          <w:tcPr>
            <w:tcW w:w="18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6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251"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97" w:hRule="atLeast"/>
        </w:trPr>
        <w:tc>
          <w:tcPr>
            <w:tcW w:w="7266" w:type="dxa"/>
            <w:gridSpan w:val="5"/>
            <w:tcBorders>
              <w:top w:val="single" w:color="000000" w:sz="4" w:space="0"/>
              <w:left w:val="single" w:color="000000" w:sz="12" w:space="0"/>
              <w:bottom w:val="single" w:color="000000" w:sz="12"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合计</w:t>
            </w:r>
          </w:p>
        </w:tc>
        <w:tc>
          <w:tcPr>
            <w:tcW w:w="1251" w:type="dxa"/>
            <w:tcBorders>
              <w:top w:val="single" w:color="000000" w:sz="4" w:space="0"/>
              <w:left w:val="single" w:color="000000" w:sz="4" w:space="0"/>
              <w:bottom w:val="single" w:color="000000" w:sz="12" w:space="0"/>
              <w:right w:val="single" w:color="000000" w:sz="12"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kern w:val="0"/>
                <w:sz w:val="20"/>
                <w:szCs w:val="20"/>
                <w:highlight w:val="none"/>
                <w:u w:val="none"/>
                <w:lang w:val="en-US" w:eastAsia="zh-CN" w:bidi="ar"/>
              </w:rPr>
              <w:t xml:space="preserve">0.31  </w:t>
            </w:r>
          </w:p>
        </w:tc>
      </w:tr>
    </w:tbl>
    <w:p>
      <w:pPr>
        <w:jc w:val="center"/>
        <w:rPr>
          <w:rFonts w:hint="default" w:ascii="Times New Roman" w:hAnsi="Times New Roman" w:eastAsia="黑体" w:cs="Times New Roman"/>
          <w:color w:val="auto"/>
          <w:sz w:val="24"/>
          <w:szCs w:val="24"/>
          <w:highlight w:val="none"/>
        </w:rPr>
        <w:sectPr>
          <w:headerReference r:id="rId7" w:type="default"/>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bookmarkStart w:id="188" w:name="_Toc18556"/>
    </w:p>
    <w:p>
      <w:pPr>
        <w:pStyle w:val="43"/>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w:t>
      </w:r>
      <w:r>
        <w:rPr>
          <w:rFonts w:hint="eastAsia" w:ascii="Times New Roman" w:hAnsi="Times New Roman" w:cs="Times New Roman"/>
          <w:color w:val="auto"/>
          <w:highlight w:val="none"/>
          <w:lang w:val="en-US" w:eastAsia="zh-CN"/>
        </w:rPr>
        <w:t>7</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7</w:t>
      </w:r>
      <w:r>
        <w:rPr>
          <w:rFonts w:hint="default" w:ascii="Times New Roman" w:hAnsi="Times New Roman" w:cs="Times New Roman"/>
          <w:color w:val="auto"/>
          <w:highlight w:val="none"/>
          <w:lang w:val="en-US" w:eastAsia="zh-CN"/>
        </w:rPr>
        <w:t xml:space="preserve"> 工程施工费单价汇总表</w:t>
      </w:r>
    </w:p>
    <w:p>
      <w:pPr>
        <w:pStyle w:val="43"/>
        <w:keepNext w:val="0"/>
        <w:keepLines w:val="0"/>
        <w:pageBreakBefore w:val="0"/>
        <w:widowControl w:val="0"/>
        <w:kinsoku/>
        <w:wordWrap/>
        <w:overflowPunct/>
        <w:topLinePunct w:val="0"/>
        <w:autoSpaceDE/>
        <w:autoSpaceDN/>
        <w:bidi w:val="0"/>
        <w:adjustRightInd w:val="0"/>
        <w:snapToGrid w:val="0"/>
        <w:ind w:firstLine="0" w:firstLineChars="0"/>
        <w:jc w:val="right"/>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单位：元</w:t>
      </w:r>
    </w:p>
    <w:tbl>
      <w:tblPr>
        <w:tblStyle w:val="22"/>
        <w:tblW w:w="14163"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882"/>
        <w:gridCol w:w="1097"/>
        <w:gridCol w:w="3492"/>
        <w:gridCol w:w="666"/>
        <w:gridCol w:w="1315"/>
        <w:gridCol w:w="882"/>
        <w:gridCol w:w="989"/>
        <w:gridCol w:w="882"/>
        <w:gridCol w:w="882"/>
        <w:gridCol w:w="1097"/>
        <w:gridCol w:w="882"/>
        <w:gridCol w:w="109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425" w:hRule="atLeast"/>
        </w:trPr>
        <w:tc>
          <w:tcPr>
            <w:tcW w:w="88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b/>
                <w:bCs/>
                <w:i w:val="0"/>
                <w:iCs w:val="0"/>
                <w:color w:val="000000"/>
                <w:kern w:val="0"/>
                <w:sz w:val="20"/>
                <w:szCs w:val="20"/>
                <w:highlight w:val="none"/>
                <w:u w:val="none"/>
                <w:lang w:val="en-US" w:eastAsia="zh-CN" w:bidi="ar"/>
              </w:rPr>
            </w:pPr>
            <w:r>
              <w:rPr>
                <w:rFonts w:hint="default" w:ascii="Times New Roman" w:hAnsi="Times New Roman" w:cs="Times New Roman" w:eastAsiaTheme="minorEastAsia"/>
                <w:b/>
                <w:bCs/>
                <w:i w:val="0"/>
                <w:iCs w:val="0"/>
                <w:color w:val="000000"/>
                <w:kern w:val="0"/>
                <w:sz w:val="20"/>
                <w:szCs w:val="20"/>
                <w:highlight w:val="none"/>
                <w:u w:val="none"/>
                <w:lang w:val="en-US" w:eastAsia="zh-CN" w:bidi="ar"/>
              </w:rPr>
              <w:t>序号</w:t>
            </w:r>
          </w:p>
        </w:tc>
        <w:tc>
          <w:tcPr>
            <w:tcW w:w="109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b/>
                <w:bCs/>
                <w:i w:val="0"/>
                <w:iCs w:val="0"/>
                <w:color w:val="000000"/>
                <w:kern w:val="0"/>
                <w:sz w:val="20"/>
                <w:szCs w:val="20"/>
                <w:highlight w:val="none"/>
                <w:u w:val="none"/>
                <w:lang w:val="en-US" w:eastAsia="zh-CN" w:bidi="ar"/>
              </w:rPr>
            </w:pPr>
            <w:r>
              <w:rPr>
                <w:rFonts w:hint="default" w:ascii="Times New Roman" w:hAnsi="Times New Roman" w:cs="Times New Roman" w:eastAsiaTheme="minorEastAsia"/>
                <w:b/>
                <w:bCs/>
                <w:i w:val="0"/>
                <w:iCs w:val="0"/>
                <w:color w:val="000000"/>
                <w:kern w:val="0"/>
                <w:sz w:val="20"/>
                <w:szCs w:val="20"/>
                <w:highlight w:val="none"/>
                <w:u w:val="none"/>
                <w:lang w:val="en-US" w:eastAsia="zh-CN" w:bidi="ar"/>
              </w:rPr>
              <w:t>定额编号</w:t>
            </w:r>
          </w:p>
        </w:tc>
        <w:tc>
          <w:tcPr>
            <w:tcW w:w="349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b/>
                <w:bCs/>
                <w:i w:val="0"/>
                <w:iCs w:val="0"/>
                <w:color w:val="000000"/>
                <w:kern w:val="0"/>
                <w:sz w:val="20"/>
                <w:szCs w:val="20"/>
                <w:highlight w:val="none"/>
                <w:u w:val="none"/>
                <w:lang w:val="en-US" w:eastAsia="zh-CN" w:bidi="ar"/>
              </w:rPr>
            </w:pPr>
            <w:r>
              <w:rPr>
                <w:rFonts w:hint="default" w:ascii="Times New Roman" w:hAnsi="Times New Roman" w:cs="Times New Roman" w:eastAsiaTheme="minorEastAsia"/>
                <w:b/>
                <w:bCs/>
                <w:i w:val="0"/>
                <w:iCs w:val="0"/>
                <w:color w:val="000000"/>
                <w:kern w:val="0"/>
                <w:sz w:val="20"/>
                <w:szCs w:val="20"/>
                <w:highlight w:val="none"/>
                <w:u w:val="none"/>
                <w:lang w:val="en-US" w:eastAsia="zh-CN" w:bidi="ar"/>
              </w:rPr>
              <w:t>项目名称</w:t>
            </w:r>
          </w:p>
        </w:tc>
        <w:tc>
          <w:tcPr>
            <w:tcW w:w="6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b/>
                <w:bCs/>
                <w:i w:val="0"/>
                <w:iCs w:val="0"/>
                <w:color w:val="000000"/>
                <w:kern w:val="0"/>
                <w:sz w:val="20"/>
                <w:szCs w:val="20"/>
                <w:highlight w:val="none"/>
                <w:u w:val="none"/>
                <w:lang w:val="en-US" w:eastAsia="zh-CN" w:bidi="ar"/>
              </w:rPr>
            </w:pPr>
            <w:r>
              <w:rPr>
                <w:rFonts w:hint="default" w:ascii="Times New Roman" w:hAnsi="Times New Roman" w:cs="Times New Roman" w:eastAsiaTheme="minorEastAsia"/>
                <w:b/>
                <w:bCs/>
                <w:i w:val="0"/>
                <w:iCs w:val="0"/>
                <w:color w:val="000000"/>
                <w:kern w:val="0"/>
                <w:sz w:val="20"/>
                <w:szCs w:val="20"/>
                <w:highlight w:val="none"/>
                <w:u w:val="none"/>
                <w:lang w:val="en-US" w:eastAsia="zh-CN" w:bidi="ar"/>
              </w:rPr>
              <w:t>单位</w:t>
            </w:r>
          </w:p>
        </w:tc>
        <w:tc>
          <w:tcPr>
            <w:tcW w:w="131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b/>
                <w:bCs/>
                <w:i w:val="0"/>
                <w:iCs w:val="0"/>
                <w:color w:val="000000"/>
                <w:kern w:val="0"/>
                <w:sz w:val="20"/>
                <w:szCs w:val="20"/>
                <w:highlight w:val="none"/>
                <w:u w:val="none"/>
                <w:lang w:val="en-US" w:eastAsia="zh-CN" w:bidi="ar"/>
              </w:rPr>
            </w:pPr>
            <w:r>
              <w:rPr>
                <w:rFonts w:hint="default" w:ascii="Times New Roman" w:hAnsi="Times New Roman" w:cs="Times New Roman" w:eastAsiaTheme="minorEastAsia"/>
                <w:b/>
                <w:bCs/>
                <w:i w:val="0"/>
                <w:iCs w:val="0"/>
                <w:color w:val="000000"/>
                <w:kern w:val="0"/>
                <w:sz w:val="20"/>
                <w:szCs w:val="20"/>
                <w:highlight w:val="none"/>
                <w:u w:val="none"/>
                <w:lang w:val="en-US" w:eastAsia="zh-CN" w:bidi="ar"/>
              </w:rPr>
              <w:t>直接工程费</w:t>
            </w:r>
          </w:p>
        </w:tc>
        <w:tc>
          <w:tcPr>
            <w:tcW w:w="88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b/>
                <w:bCs/>
                <w:i w:val="0"/>
                <w:iCs w:val="0"/>
                <w:color w:val="000000"/>
                <w:kern w:val="0"/>
                <w:sz w:val="20"/>
                <w:szCs w:val="20"/>
                <w:highlight w:val="none"/>
                <w:u w:val="none"/>
                <w:lang w:val="en-US" w:eastAsia="zh-CN" w:bidi="ar"/>
              </w:rPr>
            </w:pPr>
            <w:r>
              <w:rPr>
                <w:rFonts w:hint="default" w:ascii="Times New Roman" w:hAnsi="Times New Roman" w:cs="Times New Roman" w:eastAsiaTheme="minorEastAsia"/>
                <w:b/>
                <w:bCs/>
                <w:i w:val="0"/>
                <w:iCs w:val="0"/>
                <w:color w:val="000000"/>
                <w:kern w:val="0"/>
                <w:sz w:val="20"/>
                <w:szCs w:val="20"/>
                <w:highlight w:val="none"/>
                <w:u w:val="none"/>
                <w:lang w:val="en-US" w:eastAsia="zh-CN" w:bidi="ar"/>
              </w:rPr>
              <w:t>措施费</w:t>
            </w:r>
          </w:p>
        </w:tc>
        <w:tc>
          <w:tcPr>
            <w:tcW w:w="989"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b/>
                <w:bCs/>
                <w:i w:val="0"/>
                <w:iCs w:val="0"/>
                <w:color w:val="000000"/>
                <w:kern w:val="0"/>
                <w:sz w:val="20"/>
                <w:szCs w:val="20"/>
                <w:highlight w:val="none"/>
                <w:u w:val="none"/>
                <w:lang w:val="en-US" w:eastAsia="zh-CN" w:bidi="ar"/>
              </w:rPr>
            </w:pPr>
            <w:r>
              <w:rPr>
                <w:rFonts w:hint="default" w:ascii="Times New Roman" w:hAnsi="Times New Roman" w:cs="Times New Roman" w:eastAsiaTheme="minorEastAsia"/>
                <w:b/>
                <w:bCs/>
                <w:i w:val="0"/>
                <w:iCs w:val="0"/>
                <w:color w:val="000000"/>
                <w:kern w:val="0"/>
                <w:sz w:val="20"/>
                <w:szCs w:val="20"/>
                <w:highlight w:val="none"/>
                <w:u w:val="none"/>
                <w:lang w:val="en-US" w:eastAsia="zh-CN" w:bidi="ar"/>
              </w:rPr>
              <w:t>直接费</w:t>
            </w:r>
          </w:p>
        </w:tc>
        <w:tc>
          <w:tcPr>
            <w:tcW w:w="88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b/>
                <w:bCs/>
                <w:i w:val="0"/>
                <w:iCs w:val="0"/>
                <w:color w:val="000000"/>
                <w:kern w:val="0"/>
                <w:sz w:val="20"/>
                <w:szCs w:val="20"/>
                <w:highlight w:val="none"/>
                <w:u w:val="none"/>
                <w:lang w:val="en-US" w:eastAsia="zh-CN" w:bidi="ar"/>
              </w:rPr>
            </w:pPr>
            <w:r>
              <w:rPr>
                <w:rFonts w:hint="default" w:ascii="Times New Roman" w:hAnsi="Times New Roman" w:cs="Times New Roman" w:eastAsiaTheme="minorEastAsia"/>
                <w:b/>
                <w:bCs/>
                <w:i w:val="0"/>
                <w:iCs w:val="0"/>
                <w:color w:val="000000"/>
                <w:kern w:val="0"/>
                <w:sz w:val="20"/>
                <w:szCs w:val="20"/>
                <w:highlight w:val="none"/>
                <w:u w:val="none"/>
                <w:lang w:val="en-US" w:eastAsia="zh-CN" w:bidi="ar"/>
              </w:rPr>
              <w:t>间接费</w:t>
            </w:r>
          </w:p>
        </w:tc>
        <w:tc>
          <w:tcPr>
            <w:tcW w:w="88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b/>
                <w:bCs/>
                <w:i w:val="0"/>
                <w:iCs w:val="0"/>
                <w:color w:val="000000"/>
                <w:kern w:val="0"/>
                <w:sz w:val="20"/>
                <w:szCs w:val="20"/>
                <w:highlight w:val="none"/>
                <w:u w:val="none"/>
                <w:lang w:val="en-US" w:eastAsia="zh-CN" w:bidi="ar"/>
              </w:rPr>
            </w:pPr>
            <w:r>
              <w:rPr>
                <w:rFonts w:hint="default" w:ascii="Times New Roman" w:hAnsi="Times New Roman" w:cs="Times New Roman" w:eastAsiaTheme="minorEastAsia"/>
                <w:b/>
                <w:bCs/>
                <w:i w:val="0"/>
                <w:iCs w:val="0"/>
                <w:color w:val="000000"/>
                <w:kern w:val="0"/>
                <w:sz w:val="20"/>
                <w:szCs w:val="20"/>
                <w:highlight w:val="none"/>
                <w:u w:val="none"/>
                <w:lang w:val="en-US" w:eastAsia="zh-CN" w:bidi="ar"/>
              </w:rPr>
              <w:t>利润</w:t>
            </w:r>
          </w:p>
        </w:tc>
        <w:tc>
          <w:tcPr>
            <w:tcW w:w="109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b/>
                <w:bCs/>
                <w:i w:val="0"/>
                <w:iCs w:val="0"/>
                <w:color w:val="000000"/>
                <w:kern w:val="0"/>
                <w:sz w:val="20"/>
                <w:szCs w:val="20"/>
                <w:highlight w:val="none"/>
                <w:u w:val="none"/>
                <w:lang w:val="en-US" w:eastAsia="zh-CN" w:bidi="ar"/>
              </w:rPr>
            </w:pPr>
            <w:r>
              <w:rPr>
                <w:rFonts w:hint="default" w:ascii="Times New Roman" w:hAnsi="Times New Roman" w:cs="Times New Roman" w:eastAsiaTheme="minorEastAsia"/>
                <w:b/>
                <w:bCs/>
                <w:i w:val="0"/>
                <w:iCs w:val="0"/>
                <w:color w:val="000000"/>
                <w:kern w:val="0"/>
                <w:sz w:val="20"/>
                <w:szCs w:val="20"/>
                <w:highlight w:val="none"/>
                <w:u w:val="none"/>
                <w:lang w:val="en-US" w:eastAsia="zh-CN" w:bidi="ar"/>
              </w:rPr>
              <w:t>材料价差</w:t>
            </w:r>
          </w:p>
        </w:tc>
        <w:tc>
          <w:tcPr>
            <w:tcW w:w="88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b/>
                <w:bCs/>
                <w:i w:val="0"/>
                <w:iCs w:val="0"/>
                <w:color w:val="000000"/>
                <w:kern w:val="0"/>
                <w:sz w:val="20"/>
                <w:szCs w:val="20"/>
                <w:highlight w:val="none"/>
                <w:u w:val="none"/>
                <w:lang w:val="en-US" w:eastAsia="zh-CN" w:bidi="ar"/>
              </w:rPr>
            </w:pPr>
            <w:r>
              <w:rPr>
                <w:rFonts w:hint="default" w:ascii="Times New Roman" w:hAnsi="Times New Roman" w:cs="Times New Roman" w:eastAsiaTheme="minorEastAsia"/>
                <w:b/>
                <w:bCs/>
                <w:i w:val="0"/>
                <w:iCs w:val="0"/>
                <w:color w:val="000000"/>
                <w:kern w:val="0"/>
                <w:sz w:val="20"/>
                <w:szCs w:val="20"/>
                <w:highlight w:val="none"/>
                <w:u w:val="none"/>
                <w:lang w:val="en-US" w:eastAsia="zh-CN" w:bidi="ar"/>
              </w:rPr>
              <w:t>税金</w:t>
            </w:r>
          </w:p>
        </w:tc>
        <w:tc>
          <w:tcPr>
            <w:tcW w:w="109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b/>
                <w:bCs/>
                <w:i w:val="0"/>
                <w:iCs w:val="0"/>
                <w:color w:val="000000"/>
                <w:kern w:val="0"/>
                <w:sz w:val="20"/>
                <w:szCs w:val="20"/>
                <w:highlight w:val="none"/>
                <w:u w:val="none"/>
                <w:lang w:val="en-US" w:eastAsia="zh-CN" w:bidi="ar"/>
              </w:rPr>
            </w:pPr>
            <w:r>
              <w:rPr>
                <w:rFonts w:hint="default" w:ascii="Times New Roman" w:hAnsi="Times New Roman" w:cs="Times New Roman" w:eastAsiaTheme="minorEastAsia"/>
                <w:b/>
                <w:bCs/>
                <w:i w:val="0"/>
                <w:iCs w:val="0"/>
                <w:color w:val="000000"/>
                <w:kern w:val="0"/>
                <w:sz w:val="20"/>
                <w:szCs w:val="20"/>
                <w:highlight w:val="none"/>
                <w:u w:val="none"/>
                <w:lang w:val="en-US" w:eastAsia="zh-CN" w:bidi="ar"/>
              </w:rPr>
              <w:t>综合单价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425" w:hRule="atLeast"/>
        </w:trPr>
        <w:tc>
          <w:tcPr>
            <w:tcW w:w="88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（一）</w:t>
            </w:r>
          </w:p>
        </w:tc>
        <w:tc>
          <w:tcPr>
            <w:tcW w:w="109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w:t>
            </w:r>
          </w:p>
        </w:tc>
        <w:tc>
          <w:tcPr>
            <w:tcW w:w="349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土壤重构</w:t>
            </w:r>
          </w:p>
        </w:tc>
        <w:tc>
          <w:tcPr>
            <w:tcW w:w="6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w:t>
            </w:r>
          </w:p>
        </w:tc>
        <w:tc>
          <w:tcPr>
            <w:tcW w:w="131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p>
        </w:tc>
        <w:tc>
          <w:tcPr>
            <w:tcW w:w="88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p>
        </w:tc>
        <w:tc>
          <w:tcPr>
            <w:tcW w:w="989"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p>
        </w:tc>
        <w:tc>
          <w:tcPr>
            <w:tcW w:w="88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p>
        </w:tc>
        <w:tc>
          <w:tcPr>
            <w:tcW w:w="88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p>
        </w:tc>
        <w:tc>
          <w:tcPr>
            <w:tcW w:w="109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p>
        </w:tc>
        <w:tc>
          <w:tcPr>
            <w:tcW w:w="88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p>
        </w:tc>
        <w:tc>
          <w:tcPr>
            <w:tcW w:w="109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425" w:hRule="atLeast"/>
        </w:trPr>
        <w:tc>
          <w:tcPr>
            <w:tcW w:w="88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r>
              <w:rPr>
                <w:rFonts w:hint="eastAsia" w:ascii="Times New Roman" w:hAnsi="Times New Roman" w:cs="Times New Roman"/>
                <w:i w:val="0"/>
                <w:iCs w:val="0"/>
                <w:color w:val="000000"/>
                <w:kern w:val="0"/>
                <w:sz w:val="20"/>
                <w:szCs w:val="20"/>
                <w:highlight w:val="none"/>
                <w:u w:val="none"/>
                <w:lang w:val="en-US" w:eastAsia="zh-CN" w:bidi="ar"/>
              </w:rPr>
              <w:t>1</w:t>
            </w:r>
            <w:r>
              <w:rPr>
                <w:rFonts w:hint="default" w:ascii="Times New Roman" w:hAnsi="Times New Roman" w:cs="Times New Roman" w:eastAsiaTheme="minorEastAsia"/>
                <w:i w:val="0"/>
                <w:iCs w:val="0"/>
                <w:color w:val="000000"/>
                <w:kern w:val="0"/>
                <w:sz w:val="20"/>
                <w:szCs w:val="20"/>
                <w:highlight w:val="none"/>
                <w:u w:val="none"/>
                <w:lang w:val="en-US" w:eastAsia="zh-CN" w:bidi="ar"/>
              </w:rPr>
              <w:t xml:space="preserve"> </w:t>
            </w:r>
          </w:p>
        </w:tc>
        <w:tc>
          <w:tcPr>
            <w:tcW w:w="109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w:t>
            </w:r>
          </w:p>
        </w:tc>
        <w:tc>
          <w:tcPr>
            <w:tcW w:w="349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平整工程</w:t>
            </w:r>
          </w:p>
        </w:tc>
        <w:tc>
          <w:tcPr>
            <w:tcW w:w="6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w:t>
            </w:r>
          </w:p>
        </w:tc>
        <w:tc>
          <w:tcPr>
            <w:tcW w:w="131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p>
        </w:tc>
        <w:tc>
          <w:tcPr>
            <w:tcW w:w="88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p>
        </w:tc>
        <w:tc>
          <w:tcPr>
            <w:tcW w:w="989"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p>
        </w:tc>
        <w:tc>
          <w:tcPr>
            <w:tcW w:w="88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p>
        </w:tc>
        <w:tc>
          <w:tcPr>
            <w:tcW w:w="88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p>
        </w:tc>
        <w:tc>
          <w:tcPr>
            <w:tcW w:w="109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p>
        </w:tc>
        <w:tc>
          <w:tcPr>
            <w:tcW w:w="88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p>
        </w:tc>
        <w:tc>
          <w:tcPr>
            <w:tcW w:w="109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425" w:hRule="atLeast"/>
        </w:trPr>
        <w:tc>
          <w:tcPr>
            <w:tcW w:w="88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w:t>
            </w:r>
          </w:p>
        </w:tc>
        <w:tc>
          <w:tcPr>
            <w:tcW w:w="109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10306</w:t>
            </w:r>
          </w:p>
        </w:tc>
        <w:tc>
          <w:tcPr>
            <w:tcW w:w="349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土地平整</w:t>
            </w:r>
          </w:p>
        </w:tc>
        <w:tc>
          <w:tcPr>
            <w:tcW w:w="6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m</w:t>
            </w:r>
            <w:r>
              <w:rPr>
                <w:rFonts w:hint="default" w:ascii="Times New Roman" w:hAnsi="Times New Roman" w:cs="Times New Roman" w:eastAsiaTheme="minorEastAsia"/>
                <w:i w:val="0"/>
                <w:iCs w:val="0"/>
                <w:color w:val="000000"/>
                <w:kern w:val="0"/>
                <w:sz w:val="20"/>
                <w:szCs w:val="20"/>
                <w:highlight w:val="none"/>
                <w:u w:val="none"/>
                <w:vertAlign w:val="superscript"/>
                <w:lang w:val="en-US" w:eastAsia="zh-CN" w:bidi="ar"/>
              </w:rPr>
              <w:t>3</w:t>
            </w:r>
          </w:p>
        </w:tc>
        <w:tc>
          <w:tcPr>
            <w:tcW w:w="1315"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2.61 </w:t>
            </w:r>
          </w:p>
        </w:tc>
        <w:tc>
          <w:tcPr>
            <w:tcW w:w="88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0.09 </w:t>
            </w:r>
          </w:p>
        </w:tc>
        <w:tc>
          <w:tcPr>
            <w:tcW w:w="98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2.71 </w:t>
            </w:r>
          </w:p>
        </w:tc>
        <w:tc>
          <w:tcPr>
            <w:tcW w:w="88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0.14 </w:t>
            </w:r>
          </w:p>
        </w:tc>
        <w:tc>
          <w:tcPr>
            <w:tcW w:w="88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0.09 </w:t>
            </w:r>
          </w:p>
        </w:tc>
        <w:tc>
          <w:tcPr>
            <w:tcW w:w="1097"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0.91 </w:t>
            </w:r>
          </w:p>
        </w:tc>
        <w:tc>
          <w:tcPr>
            <w:tcW w:w="88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0.35 </w:t>
            </w:r>
          </w:p>
        </w:tc>
        <w:tc>
          <w:tcPr>
            <w:tcW w:w="1097"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4.18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425" w:hRule="atLeast"/>
        </w:trPr>
        <w:tc>
          <w:tcPr>
            <w:tcW w:w="88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（二）</w:t>
            </w:r>
          </w:p>
        </w:tc>
        <w:tc>
          <w:tcPr>
            <w:tcW w:w="109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w:t>
            </w:r>
          </w:p>
        </w:tc>
        <w:tc>
          <w:tcPr>
            <w:tcW w:w="349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迹地清理工程</w:t>
            </w:r>
          </w:p>
        </w:tc>
        <w:tc>
          <w:tcPr>
            <w:tcW w:w="6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w:t>
            </w:r>
          </w:p>
        </w:tc>
        <w:tc>
          <w:tcPr>
            <w:tcW w:w="1315"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p>
        </w:tc>
        <w:tc>
          <w:tcPr>
            <w:tcW w:w="88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p>
        </w:tc>
        <w:tc>
          <w:tcPr>
            <w:tcW w:w="989"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p>
        </w:tc>
        <w:tc>
          <w:tcPr>
            <w:tcW w:w="88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p>
        </w:tc>
        <w:tc>
          <w:tcPr>
            <w:tcW w:w="88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p>
        </w:tc>
        <w:tc>
          <w:tcPr>
            <w:tcW w:w="109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p>
        </w:tc>
        <w:tc>
          <w:tcPr>
            <w:tcW w:w="88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p>
        </w:tc>
        <w:tc>
          <w:tcPr>
            <w:tcW w:w="109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425" w:hRule="atLeast"/>
        </w:trPr>
        <w:tc>
          <w:tcPr>
            <w:tcW w:w="88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1</w:t>
            </w:r>
          </w:p>
        </w:tc>
        <w:tc>
          <w:tcPr>
            <w:tcW w:w="109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10205</w:t>
            </w:r>
          </w:p>
        </w:tc>
        <w:tc>
          <w:tcPr>
            <w:tcW w:w="349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砂砾石路面拆除</w:t>
            </w:r>
          </w:p>
        </w:tc>
        <w:tc>
          <w:tcPr>
            <w:tcW w:w="6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m</w:t>
            </w:r>
            <w:r>
              <w:rPr>
                <w:rFonts w:hint="default" w:ascii="Times New Roman" w:hAnsi="Times New Roman" w:cs="Times New Roman" w:eastAsiaTheme="minorEastAsia"/>
                <w:i w:val="0"/>
                <w:iCs w:val="0"/>
                <w:color w:val="000000"/>
                <w:kern w:val="0"/>
                <w:sz w:val="20"/>
                <w:szCs w:val="20"/>
                <w:highlight w:val="none"/>
                <w:u w:val="none"/>
                <w:vertAlign w:val="superscript"/>
                <w:lang w:val="en-US" w:eastAsia="zh-CN" w:bidi="ar"/>
              </w:rPr>
              <w:t>3</w:t>
            </w:r>
          </w:p>
        </w:tc>
        <w:tc>
          <w:tcPr>
            <w:tcW w:w="1315"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2.12 </w:t>
            </w:r>
          </w:p>
        </w:tc>
        <w:tc>
          <w:tcPr>
            <w:tcW w:w="88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0.08 </w:t>
            </w:r>
          </w:p>
        </w:tc>
        <w:tc>
          <w:tcPr>
            <w:tcW w:w="98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2.19 </w:t>
            </w:r>
          </w:p>
        </w:tc>
        <w:tc>
          <w:tcPr>
            <w:tcW w:w="88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0.11 </w:t>
            </w:r>
          </w:p>
        </w:tc>
        <w:tc>
          <w:tcPr>
            <w:tcW w:w="88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0.07 </w:t>
            </w:r>
          </w:p>
        </w:tc>
        <w:tc>
          <w:tcPr>
            <w:tcW w:w="1097"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0.57 </w:t>
            </w:r>
          </w:p>
        </w:tc>
        <w:tc>
          <w:tcPr>
            <w:tcW w:w="88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0.26 </w:t>
            </w:r>
          </w:p>
        </w:tc>
        <w:tc>
          <w:tcPr>
            <w:tcW w:w="1097"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 xml:space="preserve">3.20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425" w:hRule="atLeast"/>
        </w:trPr>
        <w:tc>
          <w:tcPr>
            <w:tcW w:w="88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r>
              <w:rPr>
                <w:rFonts w:hint="eastAsia" w:ascii="Times New Roman" w:hAnsi="Times New Roman" w:cs="Times New Roman"/>
                <w:i w:val="0"/>
                <w:iCs w:val="0"/>
                <w:color w:val="000000"/>
                <w:kern w:val="0"/>
                <w:sz w:val="20"/>
                <w:szCs w:val="20"/>
                <w:highlight w:val="none"/>
                <w:u w:val="none"/>
                <w:lang w:val="en-US" w:eastAsia="zh-CN" w:bidi="ar"/>
              </w:rPr>
              <w:t>2</w:t>
            </w:r>
          </w:p>
        </w:tc>
        <w:tc>
          <w:tcPr>
            <w:tcW w:w="109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1022</w:t>
            </w:r>
            <w:r>
              <w:rPr>
                <w:rFonts w:hint="eastAsia" w:ascii="Times New Roman" w:hAnsi="Times New Roman" w:cs="Times New Roman"/>
                <w:i w:val="0"/>
                <w:iCs w:val="0"/>
                <w:color w:val="000000"/>
                <w:kern w:val="0"/>
                <w:sz w:val="20"/>
                <w:szCs w:val="20"/>
                <w:highlight w:val="none"/>
                <w:u w:val="none"/>
                <w:lang w:val="en-US" w:eastAsia="zh-CN" w:bidi="ar"/>
              </w:rPr>
              <w:t>3</w:t>
            </w:r>
          </w:p>
        </w:tc>
        <w:tc>
          <w:tcPr>
            <w:tcW w:w="3492"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垃圾清运（运土</w:t>
            </w:r>
            <w:r>
              <w:rPr>
                <w:rFonts w:hint="eastAsia" w:ascii="Times New Roman" w:hAnsi="Times New Roman" w:cs="Times New Roman"/>
                <w:i w:val="0"/>
                <w:iCs w:val="0"/>
                <w:color w:val="000000"/>
                <w:kern w:val="0"/>
                <w:sz w:val="20"/>
                <w:szCs w:val="20"/>
                <w:highlight w:val="none"/>
                <w:u w:val="none"/>
                <w:lang w:val="en-US" w:eastAsia="zh-CN" w:bidi="ar"/>
              </w:rPr>
              <w:t>3-4km</w:t>
            </w:r>
            <w:r>
              <w:rPr>
                <w:rFonts w:hint="default" w:ascii="Times New Roman" w:hAnsi="Times New Roman" w:cs="Times New Roman" w:eastAsiaTheme="minorEastAsia"/>
                <w:i w:val="0"/>
                <w:iCs w:val="0"/>
                <w:color w:val="000000"/>
                <w:kern w:val="0"/>
                <w:sz w:val="20"/>
                <w:szCs w:val="20"/>
                <w:highlight w:val="none"/>
                <w:u w:val="none"/>
                <w:lang w:val="en-US" w:eastAsia="zh-CN" w:bidi="ar"/>
              </w:rPr>
              <w:t>）</w:t>
            </w:r>
          </w:p>
        </w:tc>
        <w:tc>
          <w:tcPr>
            <w:tcW w:w="66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m</w:t>
            </w:r>
            <w:r>
              <w:rPr>
                <w:rFonts w:hint="default" w:ascii="Times New Roman" w:hAnsi="Times New Roman" w:cs="Times New Roman" w:eastAsiaTheme="minorEastAsia"/>
                <w:i w:val="0"/>
                <w:iCs w:val="0"/>
                <w:color w:val="000000"/>
                <w:kern w:val="0"/>
                <w:sz w:val="20"/>
                <w:szCs w:val="20"/>
                <w:highlight w:val="none"/>
                <w:u w:val="none"/>
                <w:vertAlign w:val="superscript"/>
                <w:lang w:val="en-US" w:eastAsia="zh-CN" w:bidi="ar"/>
              </w:rPr>
              <w:t>3</w:t>
            </w:r>
          </w:p>
        </w:tc>
        <w:tc>
          <w:tcPr>
            <w:tcW w:w="1315"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 xml:space="preserve">12.93 </w:t>
            </w:r>
          </w:p>
        </w:tc>
        <w:tc>
          <w:tcPr>
            <w:tcW w:w="88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 xml:space="preserve">0.47 </w:t>
            </w:r>
          </w:p>
        </w:tc>
        <w:tc>
          <w:tcPr>
            <w:tcW w:w="989"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 xml:space="preserve">13.40 </w:t>
            </w:r>
          </w:p>
        </w:tc>
        <w:tc>
          <w:tcPr>
            <w:tcW w:w="88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 xml:space="preserve">0.67 </w:t>
            </w:r>
          </w:p>
        </w:tc>
        <w:tc>
          <w:tcPr>
            <w:tcW w:w="88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 xml:space="preserve">0.42 </w:t>
            </w:r>
          </w:p>
        </w:tc>
        <w:tc>
          <w:tcPr>
            <w:tcW w:w="1097"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 xml:space="preserve">3.81 </w:t>
            </w:r>
          </w:p>
        </w:tc>
        <w:tc>
          <w:tcPr>
            <w:tcW w:w="882"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 xml:space="preserve">1.65 </w:t>
            </w:r>
          </w:p>
        </w:tc>
        <w:tc>
          <w:tcPr>
            <w:tcW w:w="1097"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 xml:space="preserve">19.95 </w:t>
            </w:r>
          </w:p>
        </w:tc>
      </w:tr>
    </w:tbl>
    <w:p>
      <w:pPr>
        <w:pStyle w:val="43"/>
        <w:keepNext w:val="0"/>
        <w:keepLines w:val="0"/>
        <w:pageBreakBefore w:val="0"/>
        <w:widowControl w:val="0"/>
        <w:kinsoku/>
        <w:wordWrap/>
        <w:overflowPunct/>
        <w:topLinePunct w:val="0"/>
        <w:autoSpaceDE/>
        <w:autoSpaceDN/>
        <w:bidi w:val="0"/>
        <w:adjustRightInd w:val="0"/>
        <w:snapToGrid w:val="0"/>
        <w:ind w:firstLine="0" w:firstLineChars="0"/>
        <w:jc w:val="right"/>
        <w:textAlignment w:val="auto"/>
        <w:rPr>
          <w:rFonts w:hint="default" w:ascii="Times New Roman" w:hAnsi="Times New Roman" w:cs="Times New Roman"/>
          <w:color w:val="auto"/>
          <w:highlight w:val="none"/>
          <w:lang w:val="en-US" w:eastAsia="zh-CN"/>
        </w:rPr>
      </w:pPr>
    </w:p>
    <w:p>
      <w:pPr>
        <w:pStyle w:val="43"/>
        <w:keepNext w:val="0"/>
        <w:keepLines w:val="0"/>
        <w:pageBreakBefore w:val="0"/>
        <w:widowControl w:val="0"/>
        <w:kinsoku/>
        <w:wordWrap/>
        <w:overflowPunct/>
        <w:topLinePunct w:val="0"/>
        <w:autoSpaceDE/>
        <w:autoSpaceDN/>
        <w:bidi w:val="0"/>
        <w:adjustRightInd w:val="0"/>
        <w:snapToGrid w:val="0"/>
        <w:ind w:firstLine="0" w:firstLineChars="0"/>
        <w:jc w:val="right"/>
        <w:textAlignment w:val="auto"/>
        <w:rPr>
          <w:rFonts w:hint="default" w:ascii="Times New Roman" w:hAnsi="Times New Roman" w:cs="Times New Roman"/>
          <w:color w:val="auto"/>
          <w:highlight w:val="none"/>
          <w:lang w:val="en-US" w:eastAsia="zh-CN"/>
        </w:rPr>
      </w:pPr>
    </w:p>
    <w:p>
      <w:pPr>
        <w:pStyle w:val="43"/>
        <w:keepNext w:val="0"/>
        <w:keepLines w:val="0"/>
        <w:pageBreakBefore w:val="0"/>
        <w:widowControl w:val="0"/>
        <w:kinsoku/>
        <w:wordWrap/>
        <w:overflowPunct/>
        <w:topLinePunct w:val="0"/>
        <w:autoSpaceDE/>
        <w:autoSpaceDN/>
        <w:bidi w:val="0"/>
        <w:adjustRightInd w:val="0"/>
        <w:snapToGrid w:val="0"/>
        <w:ind w:firstLine="0" w:firstLineChars="0"/>
        <w:jc w:val="right"/>
        <w:textAlignment w:val="auto"/>
        <w:rPr>
          <w:rFonts w:hint="default" w:ascii="Times New Roman" w:hAnsi="Times New Roman" w:cs="Times New Roman"/>
          <w:color w:val="auto"/>
          <w:highlight w:val="none"/>
          <w:lang w:val="en-US" w:eastAsia="zh-CN"/>
        </w:rPr>
      </w:pPr>
    </w:p>
    <w:p>
      <w:pPr>
        <w:pStyle w:val="43"/>
        <w:keepNext w:val="0"/>
        <w:keepLines w:val="0"/>
        <w:pageBreakBefore w:val="0"/>
        <w:widowControl w:val="0"/>
        <w:kinsoku/>
        <w:wordWrap/>
        <w:overflowPunct/>
        <w:topLinePunct w:val="0"/>
        <w:autoSpaceDE/>
        <w:autoSpaceDN/>
        <w:bidi w:val="0"/>
        <w:adjustRightInd w:val="0"/>
        <w:snapToGrid w:val="0"/>
        <w:ind w:firstLine="0" w:firstLineChars="0"/>
        <w:jc w:val="right"/>
        <w:textAlignment w:val="auto"/>
        <w:rPr>
          <w:rFonts w:hint="default" w:ascii="Times New Roman" w:hAnsi="Times New Roman" w:cs="Times New Roman"/>
          <w:color w:val="auto"/>
          <w:highlight w:val="none"/>
          <w:lang w:val="en-US" w:eastAsia="zh-CN"/>
        </w:rPr>
      </w:pPr>
    </w:p>
    <w:p>
      <w:pP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br w:type="page"/>
      </w:r>
    </w:p>
    <w:p>
      <w:pPr>
        <w:pStyle w:val="43"/>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w:t>
      </w:r>
      <w:r>
        <w:rPr>
          <w:rFonts w:hint="eastAsia" w:ascii="Times New Roman" w:hAnsi="Times New Roman" w:cs="Times New Roman"/>
          <w:color w:val="auto"/>
          <w:highlight w:val="none"/>
          <w:lang w:val="en-US" w:eastAsia="zh-CN"/>
        </w:rPr>
        <w:t>7</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8</w:t>
      </w:r>
      <w:r>
        <w:rPr>
          <w:rFonts w:hint="default" w:ascii="Times New Roman" w:hAnsi="Times New Roman" w:cs="Times New Roman"/>
          <w:color w:val="auto"/>
          <w:highlight w:val="none"/>
          <w:lang w:val="en-US" w:eastAsia="zh-CN"/>
        </w:rPr>
        <w:t xml:space="preserve"> 机械台班费估算单价计算表</w:t>
      </w:r>
      <w:bookmarkEnd w:id="188"/>
    </w:p>
    <w:tbl>
      <w:tblPr>
        <w:tblStyle w:val="22"/>
        <w:tblW w:w="14174" w:type="dxa"/>
        <w:jc w:val="center"/>
        <w:tblInd w:w="0" w:type="dxa"/>
        <w:tblLayout w:type="fixed"/>
        <w:tblCellMar>
          <w:top w:w="0" w:type="dxa"/>
          <w:left w:w="108" w:type="dxa"/>
          <w:bottom w:w="0" w:type="dxa"/>
          <w:right w:w="108" w:type="dxa"/>
        </w:tblCellMar>
      </w:tblPr>
      <w:tblGrid>
        <w:gridCol w:w="1182"/>
        <w:gridCol w:w="3151"/>
        <w:gridCol w:w="1009"/>
        <w:gridCol w:w="1009"/>
        <w:gridCol w:w="873"/>
        <w:gridCol w:w="872"/>
        <w:gridCol w:w="723"/>
        <w:gridCol w:w="968"/>
        <w:gridCol w:w="450"/>
        <w:gridCol w:w="627"/>
        <w:gridCol w:w="668"/>
        <w:gridCol w:w="595"/>
        <w:gridCol w:w="655"/>
        <w:gridCol w:w="615"/>
        <w:gridCol w:w="380"/>
        <w:gridCol w:w="397"/>
      </w:tblGrid>
      <w:tr>
        <w:tblPrEx>
          <w:tblLayout w:type="fixed"/>
          <w:tblCellMar>
            <w:top w:w="0" w:type="dxa"/>
            <w:left w:w="108" w:type="dxa"/>
            <w:bottom w:w="0" w:type="dxa"/>
            <w:right w:w="108" w:type="dxa"/>
          </w:tblCellMar>
        </w:tblPrEx>
        <w:trPr>
          <w:trHeight w:val="397" w:hRule="atLeast"/>
          <w:jc w:val="center"/>
        </w:trPr>
        <w:tc>
          <w:tcPr>
            <w:tcW w:w="1182" w:type="dxa"/>
            <w:vMerge w:val="restart"/>
            <w:tcBorders>
              <w:top w:val="single" w:color="000000" w:sz="12" w:space="0"/>
              <w:left w:val="single" w:color="000000" w:sz="12"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定额编号</w:t>
            </w:r>
          </w:p>
        </w:tc>
        <w:tc>
          <w:tcPr>
            <w:tcW w:w="3151" w:type="dxa"/>
            <w:vMerge w:val="restart"/>
            <w:tcBorders>
              <w:top w:val="single" w:color="000000" w:sz="12"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机械名称及规格</w:t>
            </w:r>
          </w:p>
        </w:tc>
        <w:tc>
          <w:tcPr>
            <w:tcW w:w="1009" w:type="dxa"/>
            <w:vMerge w:val="restart"/>
            <w:tcBorders>
              <w:top w:val="single" w:color="000000" w:sz="12"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台班费（元）</w:t>
            </w:r>
          </w:p>
        </w:tc>
        <w:tc>
          <w:tcPr>
            <w:tcW w:w="1009" w:type="dxa"/>
            <w:vMerge w:val="restart"/>
            <w:tcBorders>
              <w:top w:val="single" w:color="000000" w:sz="12"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一类费用小计（元）</w:t>
            </w:r>
          </w:p>
        </w:tc>
        <w:tc>
          <w:tcPr>
            <w:tcW w:w="7823" w:type="dxa"/>
            <w:gridSpan w:val="12"/>
            <w:tcBorders>
              <w:top w:val="single" w:color="000000" w:sz="12" w:space="0"/>
              <w:left w:val="single" w:color="000000" w:sz="4" w:space="0"/>
              <w:bottom w:val="single" w:color="000000" w:sz="4" w:space="0"/>
              <w:right w:val="single" w:color="000000" w:sz="12"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二类费用</w:t>
            </w:r>
          </w:p>
        </w:tc>
      </w:tr>
      <w:tr>
        <w:tblPrEx>
          <w:tblLayout w:type="fixed"/>
          <w:tblCellMar>
            <w:top w:w="0" w:type="dxa"/>
            <w:left w:w="108" w:type="dxa"/>
            <w:bottom w:w="0" w:type="dxa"/>
            <w:right w:w="108" w:type="dxa"/>
          </w:tblCellMar>
        </w:tblPrEx>
        <w:trPr>
          <w:trHeight w:val="397" w:hRule="atLeast"/>
          <w:jc w:val="center"/>
        </w:trPr>
        <w:tc>
          <w:tcPr>
            <w:tcW w:w="1182" w:type="dxa"/>
            <w:vMerge w:val="continue"/>
            <w:tcBorders>
              <w:top w:val="single" w:color="000000" w:sz="4" w:space="0"/>
              <w:left w:val="single" w:color="000000" w:sz="12"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3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10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10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8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二类费用合计（元）</w:t>
            </w:r>
          </w:p>
        </w:tc>
        <w:tc>
          <w:tcPr>
            <w:tcW w:w="15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人工费（元/日）</w:t>
            </w:r>
          </w:p>
        </w:tc>
        <w:tc>
          <w:tcPr>
            <w:tcW w:w="9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动力燃料费小计（元）</w:t>
            </w:r>
          </w:p>
        </w:tc>
        <w:tc>
          <w:tcPr>
            <w:tcW w:w="107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汽油（元/kg）</w:t>
            </w:r>
          </w:p>
        </w:tc>
        <w:tc>
          <w:tcPr>
            <w:tcW w:w="12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柴油（元/kg）</w:t>
            </w:r>
          </w:p>
        </w:tc>
        <w:tc>
          <w:tcPr>
            <w:tcW w:w="12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电（元/kW.h）</w:t>
            </w:r>
          </w:p>
        </w:tc>
        <w:tc>
          <w:tcPr>
            <w:tcW w:w="777" w:type="dxa"/>
            <w:gridSpan w:val="2"/>
            <w:tcBorders>
              <w:top w:val="single" w:color="000000" w:sz="4" w:space="0"/>
              <w:left w:val="single" w:color="000000" w:sz="4" w:space="0"/>
              <w:bottom w:val="single" w:color="000000" w:sz="4" w:space="0"/>
              <w:right w:val="single" w:color="000000" w:sz="12"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风（元/m3）</w:t>
            </w:r>
          </w:p>
        </w:tc>
      </w:tr>
      <w:tr>
        <w:tblPrEx>
          <w:tblLayout w:type="fixed"/>
          <w:tblCellMar>
            <w:top w:w="0" w:type="dxa"/>
            <w:left w:w="108" w:type="dxa"/>
            <w:bottom w:w="0" w:type="dxa"/>
            <w:right w:w="108" w:type="dxa"/>
          </w:tblCellMar>
        </w:tblPrEx>
        <w:trPr>
          <w:trHeight w:val="397" w:hRule="atLeast"/>
          <w:jc w:val="center"/>
        </w:trPr>
        <w:tc>
          <w:tcPr>
            <w:tcW w:w="1182" w:type="dxa"/>
            <w:vMerge w:val="continue"/>
            <w:tcBorders>
              <w:top w:val="single" w:color="000000" w:sz="4" w:space="0"/>
              <w:left w:val="single" w:color="000000" w:sz="12"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31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10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10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8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工日</w:t>
            </w:r>
          </w:p>
        </w:tc>
        <w:tc>
          <w:tcPr>
            <w:tcW w:w="7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金额</w:t>
            </w:r>
          </w:p>
        </w:tc>
        <w:tc>
          <w:tcPr>
            <w:tcW w:w="9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数量</w:t>
            </w: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计入工程施工费单价</w:t>
            </w:r>
          </w:p>
        </w:tc>
        <w:tc>
          <w:tcPr>
            <w:tcW w:w="6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数量</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计入工程施工费单价</w:t>
            </w:r>
          </w:p>
        </w:tc>
        <w:tc>
          <w:tcPr>
            <w:tcW w:w="6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数量</w:t>
            </w:r>
          </w:p>
        </w:tc>
        <w:tc>
          <w:tcPr>
            <w:tcW w:w="6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金额</w:t>
            </w:r>
          </w:p>
        </w:tc>
        <w:tc>
          <w:tcPr>
            <w:tcW w:w="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数量</w:t>
            </w:r>
          </w:p>
        </w:tc>
        <w:tc>
          <w:tcPr>
            <w:tcW w:w="397" w:type="dxa"/>
            <w:tcBorders>
              <w:top w:val="single" w:color="000000" w:sz="4" w:space="0"/>
              <w:left w:val="single" w:color="000000" w:sz="4" w:space="0"/>
              <w:bottom w:val="single" w:color="000000" w:sz="4" w:space="0"/>
              <w:right w:val="single" w:color="000000" w:sz="12"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金额</w:t>
            </w:r>
          </w:p>
        </w:tc>
      </w:tr>
      <w:tr>
        <w:tblPrEx>
          <w:tblLayout w:type="fixed"/>
          <w:tblCellMar>
            <w:top w:w="0" w:type="dxa"/>
            <w:left w:w="108" w:type="dxa"/>
            <w:bottom w:w="0" w:type="dxa"/>
            <w:right w:w="108" w:type="dxa"/>
          </w:tblCellMar>
        </w:tblPrEx>
        <w:trPr>
          <w:trHeight w:val="397" w:hRule="atLeast"/>
          <w:jc w:val="center"/>
        </w:trPr>
        <w:tc>
          <w:tcPr>
            <w:tcW w:w="1182"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1004</w:t>
            </w:r>
          </w:p>
        </w:tc>
        <w:tc>
          <w:tcPr>
            <w:tcW w:w="3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单斗挖掘机 斗容1m</w:t>
            </w:r>
            <w:r>
              <w:rPr>
                <w:rFonts w:hint="eastAsia" w:ascii="Times New Roman" w:hAnsi="Times New Roman" w:eastAsia="宋体" w:cs="Times New Roman"/>
                <w:i w:val="0"/>
                <w:iCs w:val="0"/>
                <w:color w:val="000000"/>
                <w:kern w:val="0"/>
                <w:sz w:val="21"/>
                <w:szCs w:val="21"/>
                <w:highlight w:val="none"/>
                <w:u w:val="none"/>
                <w:vertAlign w:val="superscript"/>
                <w:lang w:val="en-US" w:eastAsia="zh-CN" w:bidi="ar"/>
              </w:rPr>
              <w:t>3</w:t>
            </w: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 xml:space="preserve">751.06 </w:t>
            </w: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 xml:space="preserve">304.57 </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 xml:space="preserve">446.49 </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 xml:space="preserve">2.00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 xml:space="preserve">61.25 </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 xml:space="preserve">324.00 </w:t>
            </w:r>
          </w:p>
        </w:tc>
        <w:tc>
          <w:tcPr>
            <w:tcW w:w="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 xml:space="preserve">72.0 </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 xml:space="preserve">4.50 </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397"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tblPrEx>
          <w:tblLayout w:type="fixed"/>
          <w:tblCellMar>
            <w:top w:w="0" w:type="dxa"/>
            <w:left w:w="108" w:type="dxa"/>
            <w:bottom w:w="0" w:type="dxa"/>
            <w:right w:w="108" w:type="dxa"/>
          </w:tblCellMar>
        </w:tblPrEx>
        <w:trPr>
          <w:trHeight w:val="397" w:hRule="atLeast"/>
          <w:jc w:val="center"/>
        </w:trPr>
        <w:tc>
          <w:tcPr>
            <w:tcW w:w="1182"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1013</w:t>
            </w:r>
          </w:p>
        </w:tc>
        <w:tc>
          <w:tcPr>
            <w:tcW w:w="3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推土机 功率59kw</w:t>
            </w: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 xml:space="preserve">388.76 </w:t>
            </w: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 xml:space="preserve">68.27 </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 xml:space="preserve">320.49 </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 xml:space="preserve">2.00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 xml:space="preserve">61.25 </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 xml:space="preserve">198.00 </w:t>
            </w:r>
          </w:p>
        </w:tc>
        <w:tc>
          <w:tcPr>
            <w:tcW w:w="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 xml:space="preserve">44.0 </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 xml:space="preserve">4.50 </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397"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tblPrEx>
          <w:tblLayout w:type="fixed"/>
          <w:tblCellMar>
            <w:top w:w="0" w:type="dxa"/>
            <w:left w:w="108" w:type="dxa"/>
            <w:bottom w:w="0" w:type="dxa"/>
            <w:right w:w="108" w:type="dxa"/>
          </w:tblCellMar>
        </w:tblPrEx>
        <w:trPr>
          <w:trHeight w:val="397" w:hRule="atLeast"/>
          <w:jc w:val="center"/>
        </w:trPr>
        <w:tc>
          <w:tcPr>
            <w:tcW w:w="1182"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1014</w:t>
            </w:r>
          </w:p>
        </w:tc>
        <w:tc>
          <w:tcPr>
            <w:tcW w:w="3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推土机 功率74KW</w:t>
            </w: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 xml:space="preserve">557.70 </w:t>
            </w: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 xml:space="preserve">187.70 </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 xml:space="preserve">369.99 </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 xml:space="preserve">2.00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 xml:space="preserve">61.25 </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 xml:space="preserve">247.50 </w:t>
            </w:r>
          </w:p>
        </w:tc>
        <w:tc>
          <w:tcPr>
            <w:tcW w:w="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 xml:space="preserve">55.0 </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 xml:space="preserve">4.50 </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397"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tblPrEx>
          <w:tblLayout w:type="fixed"/>
          <w:tblCellMar>
            <w:top w:w="0" w:type="dxa"/>
            <w:left w:w="108" w:type="dxa"/>
            <w:bottom w:w="0" w:type="dxa"/>
            <w:right w:w="108" w:type="dxa"/>
          </w:tblCellMar>
        </w:tblPrEx>
        <w:trPr>
          <w:trHeight w:val="397" w:hRule="atLeast"/>
          <w:jc w:val="center"/>
        </w:trPr>
        <w:tc>
          <w:tcPr>
            <w:tcW w:w="1182"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4012</w:t>
            </w:r>
          </w:p>
        </w:tc>
        <w:tc>
          <w:tcPr>
            <w:tcW w:w="3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自卸汽车 柴油型 载重量8t</w:t>
            </w: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 xml:space="preserve">519.67 </w:t>
            </w: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 xml:space="preserve">185.68 </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 xml:space="preserve">333.99 </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 xml:space="preserve">2.00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 xml:space="preserve">61.25 </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 xml:space="preserve">211.50 </w:t>
            </w:r>
          </w:p>
        </w:tc>
        <w:tc>
          <w:tcPr>
            <w:tcW w:w="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 xml:space="preserve">47.0 </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 xml:space="preserve">4.50 </w:t>
            </w: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397"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tblPrEx>
          <w:tblLayout w:type="fixed"/>
          <w:tblCellMar>
            <w:top w:w="0" w:type="dxa"/>
            <w:left w:w="108" w:type="dxa"/>
            <w:bottom w:w="0" w:type="dxa"/>
            <w:right w:w="108" w:type="dxa"/>
          </w:tblCellMar>
        </w:tblPrEx>
        <w:trPr>
          <w:trHeight w:val="397" w:hRule="atLeast"/>
          <w:jc w:val="center"/>
        </w:trPr>
        <w:tc>
          <w:tcPr>
            <w:tcW w:w="1182"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6005</w:t>
            </w:r>
          </w:p>
        </w:tc>
        <w:tc>
          <w:tcPr>
            <w:tcW w:w="3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油动空气压缩机 移动式 排气量9m3/min</w:t>
            </w: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 xml:space="preserve">903.03 </w:t>
            </w: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 xml:space="preserve">55.41 </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 xml:space="preserve">847.62 </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 xml:space="preserve">2.00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 xml:space="preserve">61.25 </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 xml:space="preserve">725.13 </w:t>
            </w:r>
          </w:p>
        </w:tc>
        <w:tc>
          <w:tcPr>
            <w:tcW w:w="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 xml:space="preserve">86.0 </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397"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tblPrEx>
          <w:tblLayout w:type="fixed"/>
          <w:tblCellMar>
            <w:top w:w="0" w:type="dxa"/>
            <w:left w:w="108" w:type="dxa"/>
            <w:bottom w:w="0" w:type="dxa"/>
            <w:right w:w="108" w:type="dxa"/>
          </w:tblCellMar>
        </w:tblPrEx>
        <w:trPr>
          <w:trHeight w:val="397" w:hRule="atLeast"/>
          <w:jc w:val="center"/>
        </w:trPr>
        <w:tc>
          <w:tcPr>
            <w:tcW w:w="1182"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6007</w:t>
            </w:r>
          </w:p>
        </w:tc>
        <w:tc>
          <w:tcPr>
            <w:tcW w:w="3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离心水泵 单级功率17KW</w:t>
            </w: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 xml:space="preserve">149.80 </w:t>
            </w: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 xml:space="preserve">11.08 </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 xml:space="preserve">138.72 </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 xml:space="preserve">0.66 </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 xml:space="preserve">61.25 </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 xml:space="preserve">98.29 </w:t>
            </w:r>
          </w:p>
        </w:tc>
        <w:tc>
          <w:tcPr>
            <w:tcW w:w="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 xml:space="preserve">89.0 </w:t>
            </w: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 xml:space="preserve">1.10 </w:t>
            </w:r>
          </w:p>
        </w:tc>
        <w:tc>
          <w:tcPr>
            <w:tcW w:w="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397"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tblPrEx>
          <w:tblLayout w:type="fixed"/>
          <w:tblCellMar>
            <w:top w:w="0" w:type="dxa"/>
            <w:left w:w="108" w:type="dxa"/>
            <w:bottom w:w="0" w:type="dxa"/>
            <w:right w:w="108" w:type="dxa"/>
          </w:tblCellMar>
        </w:tblPrEx>
        <w:trPr>
          <w:trHeight w:val="397" w:hRule="atLeast"/>
          <w:jc w:val="center"/>
        </w:trPr>
        <w:tc>
          <w:tcPr>
            <w:tcW w:w="1182"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8030（水）</w:t>
            </w:r>
          </w:p>
        </w:tc>
        <w:tc>
          <w:tcPr>
            <w:tcW w:w="31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移动式50kW柴油发电机</w:t>
            </w: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 xml:space="preserve">682.72 </w:t>
            </w: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 xml:space="preserve">41.28 </w:t>
            </w:r>
          </w:p>
        </w:tc>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 xml:space="preserve">641.44 </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1.8</w:t>
            </w:r>
          </w:p>
        </w:tc>
        <w:tc>
          <w:tcPr>
            <w:tcW w:w="7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 xml:space="preserve">61.25 </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 xml:space="preserve">531.20 </w:t>
            </w:r>
          </w:p>
        </w:tc>
        <w:tc>
          <w:tcPr>
            <w:tcW w:w="4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 xml:space="preserve">63.0 </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6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6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c>
          <w:tcPr>
            <w:tcW w:w="397"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p>
        </w:tc>
      </w:tr>
      <w:tr>
        <w:tblPrEx>
          <w:tblLayout w:type="fixed"/>
          <w:tblCellMar>
            <w:top w:w="0" w:type="dxa"/>
            <w:left w:w="108" w:type="dxa"/>
            <w:bottom w:w="0" w:type="dxa"/>
            <w:right w:w="108" w:type="dxa"/>
          </w:tblCellMar>
        </w:tblPrEx>
        <w:trPr>
          <w:trHeight w:val="397" w:hRule="atLeast"/>
          <w:jc w:val="center"/>
        </w:trPr>
        <w:tc>
          <w:tcPr>
            <w:tcW w:w="14174" w:type="dxa"/>
            <w:gridSpan w:val="16"/>
            <w:tcBorders>
              <w:top w:val="single" w:color="000000" w:sz="12" w:space="0"/>
              <w:left w:val="nil"/>
              <w:bottom w:val="nil"/>
              <w:right w:val="nil"/>
            </w:tcBorders>
            <w:shd w:val="clear" w:color="auto" w:fill="auto"/>
            <w:noWrap/>
            <w:vAlign w:val="center"/>
          </w:tcPr>
          <w:p>
            <w:pPr>
              <w:widowControl/>
              <w:spacing w:line="240" w:lineRule="auto"/>
              <w:ind w:firstLine="0" w:firstLineChars="0"/>
              <w:jc w:val="left"/>
              <w:textAlignment w:val="center"/>
              <w:rPr>
                <w:rFonts w:hint="default" w:ascii="Times New Roman" w:hAnsi="Times New Roman" w:eastAsia="仿宋" w:cs="Times New Roman"/>
                <w:color w:val="000000"/>
                <w:sz w:val="18"/>
                <w:szCs w:val="18"/>
                <w:highlight w:val="none"/>
                <w:lang w:eastAsia="zh-CN"/>
              </w:rPr>
            </w:pPr>
            <w:r>
              <w:rPr>
                <w:rFonts w:hint="default" w:ascii="Times New Roman" w:hAnsi="Times New Roman" w:eastAsia="仿宋" w:cs="Times New Roman"/>
                <w:color w:val="000000"/>
                <w:sz w:val="18"/>
                <w:szCs w:val="18"/>
                <w:highlight w:val="none"/>
                <w:lang w:eastAsia="zh-CN" w:bidi="ar"/>
              </w:rPr>
              <w:t>注：一类费用中折旧费和修理及替换设备费均已扣税，折旧费增值税13%、修理及替换设备费增值税9%计。</w:t>
            </w:r>
          </w:p>
        </w:tc>
      </w:tr>
    </w:tbl>
    <w:p>
      <w:pPr>
        <w:pStyle w:val="2"/>
        <w:rPr>
          <w:rFonts w:hint="default" w:ascii="Times New Roman" w:hAnsi="Times New Roman" w:cs="Times New Roman"/>
          <w:highlight w:val="none"/>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pStyle w:val="43"/>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highlight w:val="none"/>
          <w:lang w:val="en-US" w:eastAsia="zh-CN"/>
        </w:rPr>
      </w:pPr>
      <w:bookmarkStart w:id="189" w:name="_Toc459980944"/>
      <w:bookmarkStart w:id="190" w:name="_Toc467688494"/>
      <w:r>
        <w:rPr>
          <w:rFonts w:hint="default" w:ascii="Times New Roman" w:hAnsi="Times New Roman" w:cs="Times New Roman"/>
          <w:color w:val="auto"/>
          <w:highlight w:val="none"/>
          <w:lang w:val="en-US" w:eastAsia="zh-CN"/>
        </w:rPr>
        <w:t>表</w:t>
      </w:r>
      <w:r>
        <w:rPr>
          <w:rFonts w:hint="eastAsia" w:ascii="Times New Roman" w:hAnsi="Times New Roman" w:cs="Times New Roman"/>
          <w:color w:val="auto"/>
          <w:highlight w:val="none"/>
          <w:lang w:val="en-US" w:eastAsia="zh-CN"/>
        </w:rPr>
        <w:t>7</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 xml:space="preserve">9 </w:t>
      </w:r>
      <w:r>
        <w:rPr>
          <w:rFonts w:hint="default" w:ascii="Times New Roman" w:hAnsi="Times New Roman" w:cs="Times New Roman"/>
          <w:color w:val="auto"/>
          <w:highlight w:val="none"/>
          <w:lang w:val="en-US" w:eastAsia="zh-CN"/>
        </w:rPr>
        <w:t>工程施工费单价分析表</w:t>
      </w:r>
    </w:p>
    <w:p>
      <w:pPr>
        <w:pStyle w:val="43"/>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highlight w:val="none"/>
          <w:lang w:val="en-US" w:eastAsia="zh-CN"/>
        </w:rPr>
      </w:pPr>
    </w:p>
    <w:tbl>
      <w:tblPr>
        <w:tblStyle w:val="22"/>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32"/>
        <w:gridCol w:w="2088"/>
        <w:gridCol w:w="1117"/>
        <w:gridCol w:w="1214"/>
        <w:gridCol w:w="1431"/>
        <w:gridCol w:w="15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exact"/>
        </w:trPr>
        <w:tc>
          <w:tcPr>
            <w:tcW w:w="1132" w:type="dxa"/>
            <w:tcBorders>
              <w:top w:val="nil"/>
              <w:left w:val="nil"/>
              <w:bottom w:val="nil"/>
              <w:right w:val="nil"/>
            </w:tcBorders>
            <w:shd w:val="clear" w:color="auto" w:fill="auto"/>
            <w:noWrap/>
            <w:vAlign w:val="center"/>
          </w:tcPr>
          <w:p>
            <w:pPr>
              <w:widowControl/>
              <w:spacing w:line="240" w:lineRule="auto"/>
              <w:ind w:firstLine="0" w:firstLineChars="0"/>
              <w:jc w:val="left"/>
              <w:textAlignment w:val="bottom"/>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定额编号</w:t>
            </w:r>
          </w:p>
        </w:tc>
        <w:tc>
          <w:tcPr>
            <w:tcW w:w="2088" w:type="dxa"/>
            <w:tcBorders>
              <w:top w:val="nil"/>
              <w:left w:val="nil"/>
              <w:bottom w:val="nil"/>
              <w:right w:val="nil"/>
            </w:tcBorders>
            <w:shd w:val="clear" w:color="auto" w:fill="auto"/>
            <w:noWrap/>
            <w:vAlign w:val="center"/>
          </w:tcPr>
          <w:p>
            <w:pPr>
              <w:widowControl/>
              <w:spacing w:line="240" w:lineRule="auto"/>
              <w:ind w:firstLine="0" w:firstLineChars="0"/>
              <w:jc w:val="center"/>
              <w:textAlignment w:val="bottom"/>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10306</w:t>
            </w:r>
          </w:p>
        </w:tc>
        <w:tc>
          <w:tcPr>
            <w:tcW w:w="3762" w:type="dxa"/>
            <w:gridSpan w:val="3"/>
            <w:tcBorders>
              <w:top w:val="nil"/>
              <w:left w:val="nil"/>
              <w:bottom w:val="nil"/>
              <w:right w:val="nil"/>
            </w:tcBorders>
            <w:shd w:val="clear" w:color="auto" w:fill="auto"/>
            <w:noWrap/>
            <w:vAlign w:val="center"/>
          </w:tcPr>
          <w:p>
            <w:pPr>
              <w:widowControl/>
              <w:spacing w:line="240" w:lineRule="auto"/>
              <w:ind w:firstLine="0" w:firstLineChars="0"/>
              <w:jc w:val="center"/>
              <w:textAlignment w:val="bottom"/>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推土机推土（一二类土，推土距离40-50m）</w:t>
            </w:r>
          </w:p>
        </w:tc>
        <w:tc>
          <w:tcPr>
            <w:tcW w:w="1540" w:type="dxa"/>
            <w:tcBorders>
              <w:top w:val="nil"/>
              <w:left w:val="nil"/>
              <w:bottom w:val="nil"/>
              <w:right w:val="nil"/>
            </w:tcBorders>
            <w:shd w:val="clear" w:color="auto" w:fill="auto"/>
            <w:noWrap/>
            <w:vAlign w:val="bottom"/>
          </w:tcPr>
          <w:p>
            <w:pPr>
              <w:widowControl/>
              <w:spacing w:line="240" w:lineRule="auto"/>
              <w:ind w:firstLine="0" w:firstLineChars="0"/>
              <w:jc w:val="center"/>
              <w:textAlignment w:val="bottom"/>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单位：元/100m</w:t>
            </w:r>
            <w:r>
              <w:rPr>
                <w:rFonts w:hint="default" w:ascii="Times New Roman" w:hAnsi="Times New Roman" w:eastAsia="仿宋" w:cs="Times New Roman"/>
                <w:color w:val="000000"/>
                <w:sz w:val="18"/>
                <w:szCs w:val="18"/>
                <w:highlight w:val="none"/>
                <w:vertAlign w:val="superscript"/>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exact"/>
        </w:trPr>
        <w:tc>
          <w:tcPr>
            <w:tcW w:w="1132" w:type="dxa"/>
            <w:tcBorders>
              <w:top w:val="nil"/>
              <w:left w:val="nil"/>
              <w:bottom w:val="single" w:color="000000" w:sz="12" w:space="0"/>
              <w:right w:val="nil"/>
            </w:tcBorders>
            <w:shd w:val="clear" w:color="auto" w:fill="auto"/>
            <w:noWrap/>
            <w:vAlign w:val="center"/>
          </w:tcPr>
          <w:p>
            <w:pPr>
              <w:widowControl/>
              <w:spacing w:line="240" w:lineRule="auto"/>
              <w:ind w:firstLine="0" w:firstLineChars="0"/>
              <w:jc w:val="left"/>
              <w:textAlignment w:val="bottom"/>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工作内容：</w:t>
            </w:r>
          </w:p>
        </w:tc>
        <w:tc>
          <w:tcPr>
            <w:tcW w:w="3205" w:type="dxa"/>
            <w:gridSpan w:val="2"/>
            <w:tcBorders>
              <w:top w:val="nil"/>
              <w:left w:val="nil"/>
              <w:bottom w:val="single" w:color="000000" w:sz="12" w:space="0"/>
              <w:right w:val="nil"/>
            </w:tcBorders>
            <w:shd w:val="clear" w:color="auto" w:fill="auto"/>
            <w:noWrap/>
            <w:vAlign w:val="center"/>
          </w:tcPr>
          <w:p>
            <w:pPr>
              <w:jc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仿宋" w:cs="Times New Roman"/>
                <w:color w:val="000000"/>
                <w:sz w:val="18"/>
                <w:szCs w:val="18"/>
                <w:highlight w:val="none"/>
                <w:lang w:val="en-US" w:eastAsia="zh-CN" w:bidi="ar"/>
              </w:rPr>
              <w:t>推松、运送、卸除、拖平、空回</w:t>
            </w:r>
          </w:p>
        </w:tc>
        <w:tc>
          <w:tcPr>
            <w:tcW w:w="1214" w:type="dxa"/>
            <w:tcBorders>
              <w:top w:val="nil"/>
              <w:left w:val="nil"/>
              <w:bottom w:val="single" w:color="000000" w:sz="12" w:space="0"/>
              <w:right w:val="nil"/>
            </w:tcBorders>
            <w:shd w:val="clear" w:color="auto" w:fill="auto"/>
            <w:noWrap/>
            <w:vAlign w:val="bottom"/>
          </w:tcPr>
          <w:p>
            <w:pPr>
              <w:rPr>
                <w:rFonts w:hint="default" w:ascii="Times New Roman" w:hAnsi="Times New Roman" w:eastAsia="宋体" w:cs="Times New Roman"/>
                <w:i w:val="0"/>
                <w:iCs w:val="0"/>
                <w:color w:val="000000"/>
                <w:sz w:val="20"/>
                <w:szCs w:val="20"/>
                <w:highlight w:val="none"/>
                <w:u w:val="none"/>
              </w:rPr>
            </w:pPr>
          </w:p>
        </w:tc>
        <w:tc>
          <w:tcPr>
            <w:tcW w:w="1431" w:type="dxa"/>
            <w:tcBorders>
              <w:top w:val="nil"/>
              <w:left w:val="nil"/>
              <w:bottom w:val="single" w:color="000000" w:sz="12" w:space="0"/>
              <w:right w:val="nil"/>
            </w:tcBorders>
            <w:shd w:val="clear" w:color="auto" w:fill="auto"/>
            <w:noWrap/>
            <w:vAlign w:val="bottom"/>
          </w:tcPr>
          <w:p>
            <w:pPr>
              <w:rPr>
                <w:rFonts w:hint="default" w:ascii="Times New Roman" w:hAnsi="Times New Roman" w:eastAsia="宋体" w:cs="Times New Roman"/>
                <w:i w:val="0"/>
                <w:iCs w:val="0"/>
                <w:color w:val="000000"/>
                <w:sz w:val="20"/>
                <w:szCs w:val="20"/>
                <w:highlight w:val="none"/>
                <w:u w:val="none"/>
              </w:rPr>
            </w:pPr>
          </w:p>
        </w:tc>
        <w:tc>
          <w:tcPr>
            <w:tcW w:w="1540" w:type="dxa"/>
            <w:tcBorders>
              <w:top w:val="nil"/>
              <w:left w:val="nil"/>
              <w:bottom w:val="single" w:color="000000" w:sz="12" w:space="0"/>
              <w:right w:val="nil"/>
            </w:tcBorders>
            <w:shd w:val="clear" w:color="auto" w:fill="auto"/>
            <w:noWrap/>
            <w:vAlign w:val="bottom"/>
          </w:tcPr>
          <w:p>
            <w:pPr>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exact"/>
        </w:trPr>
        <w:tc>
          <w:tcPr>
            <w:tcW w:w="1132" w:type="dxa"/>
            <w:tcBorders>
              <w:top w:val="single" w:color="000000" w:sz="12" w:space="0"/>
              <w:left w:val="single" w:color="000000" w:sz="12"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序号</w:t>
            </w:r>
          </w:p>
        </w:tc>
        <w:tc>
          <w:tcPr>
            <w:tcW w:w="2088" w:type="dxa"/>
            <w:tcBorders>
              <w:top w:val="single" w:color="000000" w:sz="12"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名称</w:t>
            </w:r>
          </w:p>
        </w:tc>
        <w:tc>
          <w:tcPr>
            <w:tcW w:w="1117" w:type="dxa"/>
            <w:tcBorders>
              <w:top w:val="single" w:color="000000" w:sz="12"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单位</w:t>
            </w:r>
          </w:p>
        </w:tc>
        <w:tc>
          <w:tcPr>
            <w:tcW w:w="1214" w:type="dxa"/>
            <w:tcBorders>
              <w:top w:val="single" w:color="000000" w:sz="12"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数量</w:t>
            </w:r>
          </w:p>
        </w:tc>
        <w:tc>
          <w:tcPr>
            <w:tcW w:w="1431" w:type="dxa"/>
            <w:tcBorders>
              <w:top w:val="single" w:color="000000" w:sz="12"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单价</w:t>
            </w:r>
          </w:p>
        </w:tc>
        <w:tc>
          <w:tcPr>
            <w:tcW w:w="1540" w:type="dxa"/>
            <w:tcBorders>
              <w:top w:val="single" w:color="000000" w:sz="12" w:space="0"/>
              <w:left w:val="single" w:color="000000" w:sz="4" w:space="0"/>
              <w:bottom w:val="single" w:color="000000" w:sz="4" w:space="0"/>
              <w:right w:val="single" w:color="000000" w:sz="12"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exact"/>
        </w:trPr>
        <w:tc>
          <w:tcPr>
            <w:tcW w:w="1132"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一</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直接费</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540"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270.52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exact"/>
        </w:trPr>
        <w:tc>
          <w:tcPr>
            <w:tcW w:w="1132"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（一）</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直接工程费</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540"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261.12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exact"/>
        </w:trPr>
        <w:tc>
          <w:tcPr>
            <w:tcW w:w="1132"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1</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人工费</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540"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15.17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exact"/>
        </w:trPr>
        <w:tc>
          <w:tcPr>
            <w:tcW w:w="1132"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甲类工</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工日</w:t>
            </w:r>
          </w:p>
        </w:tc>
        <w:tc>
          <w:tcPr>
            <w:tcW w:w="12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61.25 </w:t>
            </w:r>
          </w:p>
        </w:tc>
        <w:tc>
          <w:tcPr>
            <w:tcW w:w="1540"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exact"/>
        </w:trPr>
        <w:tc>
          <w:tcPr>
            <w:tcW w:w="1132"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乙类工</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工日</w:t>
            </w:r>
          </w:p>
        </w:tc>
        <w:tc>
          <w:tcPr>
            <w:tcW w:w="12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0.30 </w:t>
            </w: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48.17 </w:t>
            </w:r>
          </w:p>
        </w:tc>
        <w:tc>
          <w:tcPr>
            <w:tcW w:w="1540"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14.45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exact"/>
        </w:trPr>
        <w:tc>
          <w:tcPr>
            <w:tcW w:w="1132"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其他费用</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w:t>
            </w:r>
          </w:p>
        </w:tc>
        <w:tc>
          <w:tcPr>
            <w:tcW w:w="12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5.00 </w:t>
            </w: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14.45 </w:t>
            </w:r>
          </w:p>
        </w:tc>
        <w:tc>
          <w:tcPr>
            <w:tcW w:w="1540"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0.72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exact"/>
        </w:trPr>
        <w:tc>
          <w:tcPr>
            <w:tcW w:w="1132"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2</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机械费</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540"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245.94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exact"/>
        </w:trPr>
        <w:tc>
          <w:tcPr>
            <w:tcW w:w="1132"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推土机74kw</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台班</w:t>
            </w:r>
          </w:p>
        </w:tc>
        <w:tc>
          <w:tcPr>
            <w:tcW w:w="12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0.42 </w:t>
            </w: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557.70 </w:t>
            </w:r>
          </w:p>
        </w:tc>
        <w:tc>
          <w:tcPr>
            <w:tcW w:w="1540"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234.23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exact"/>
        </w:trPr>
        <w:tc>
          <w:tcPr>
            <w:tcW w:w="1132"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其他费用</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w:t>
            </w:r>
          </w:p>
        </w:tc>
        <w:tc>
          <w:tcPr>
            <w:tcW w:w="12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5.00 </w:t>
            </w: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234.23 </w:t>
            </w:r>
          </w:p>
        </w:tc>
        <w:tc>
          <w:tcPr>
            <w:tcW w:w="1540"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11.71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exact"/>
        </w:trPr>
        <w:tc>
          <w:tcPr>
            <w:tcW w:w="1132"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（二）</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措施费</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w:t>
            </w:r>
          </w:p>
        </w:tc>
        <w:tc>
          <w:tcPr>
            <w:tcW w:w="12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3.60 </w:t>
            </w: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261.12 </w:t>
            </w:r>
          </w:p>
        </w:tc>
        <w:tc>
          <w:tcPr>
            <w:tcW w:w="1540"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9.40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exact"/>
        </w:trPr>
        <w:tc>
          <w:tcPr>
            <w:tcW w:w="1132"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二</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间接费</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w:t>
            </w:r>
          </w:p>
        </w:tc>
        <w:tc>
          <w:tcPr>
            <w:tcW w:w="12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5.00 </w:t>
            </w: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270.52 </w:t>
            </w:r>
          </w:p>
        </w:tc>
        <w:tc>
          <w:tcPr>
            <w:tcW w:w="1540"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13.53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exact"/>
        </w:trPr>
        <w:tc>
          <w:tcPr>
            <w:tcW w:w="1132"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三</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利润</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w:t>
            </w:r>
          </w:p>
        </w:tc>
        <w:tc>
          <w:tcPr>
            <w:tcW w:w="12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3.00 </w:t>
            </w: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284.04 </w:t>
            </w:r>
          </w:p>
        </w:tc>
        <w:tc>
          <w:tcPr>
            <w:tcW w:w="1540"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8.52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exact"/>
        </w:trPr>
        <w:tc>
          <w:tcPr>
            <w:tcW w:w="1132"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四</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材料价差</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2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540"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90.82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exact"/>
        </w:trPr>
        <w:tc>
          <w:tcPr>
            <w:tcW w:w="1132" w:type="dxa"/>
            <w:tcBorders>
              <w:top w:val="single" w:color="000000" w:sz="4" w:space="0"/>
              <w:left w:val="single" w:color="000000" w:sz="12" w:space="0"/>
              <w:bottom w:val="single" w:color="000000" w:sz="4" w:space="0"/>
              <w:right w:val="single" w:color="000000" w:sz="4" w:space="0"/>
            </w:tcBorders>
            <w:shd w:val="clear" w:color="auto" w:fill="auto"/>
            <w:noWrap/>
            <w:vAlign w:val="bottom"/>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柴油</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kg</w:t>
            </w:r>
          </w:p>
        </w:tc>
        <w:tc>
          <w:tcPr>
            <w:tcW w:w="12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23.10 </w:t>
            </w: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3.93 </w:t>
            </w:r>
          </w:p>
        </w:tc>
        <w:tc>
          <w:tcPr>
            <w:tcW w:w="1540"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90.82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exact"/>
        </w:trPr>
        <w:tc>
          <w:tcPr>
            <w:tcW w:w="1132"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五</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税金</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w:t>
            </w:r>
          </w:p>
        </w:tc>
        <w:tc>
          <w:tcPr>
            <w:tcW w:w="12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9.00 </w:t>
            </w:r>
          </w:p>
        </w:tc>
        <w:tc>
          <w:tcPr>
            <w:tcW w:w="14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383.39 </w:t>
            </w:r>
          </w:p>
        </w:tc>
        <w:tc>
          <w:tcPr>
            <w:tcW w:w="1540"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34.51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exact"/>
        </w:trPr>
        <w:tc>
          <w:tcPr>
            <w:tcW w:w="3220" w:type="dxa"/>
            <w:gridSpan w:val="2"/>
            <w:tcBorders>
              <w:top w:val="single" w:color="000000" w:sz="4" w:space="0"/>
              <w:left w:val="single" w:color="000000" w:sz="12" w:space="0"/>
              <w:bottom w:val="single" w:color="000000" w:sz="12"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合计</w:t>
            </w:r>
          </w:p>
        </w:tc>
        <w:tc>
          <w:tcPr>
            <w:tcW w:w="1117" w:type="dxa"/>
            <w:tcBorders>
              <w:top w:val="single" w:color="000000" w:sz="4" w:space="0"/>
              <w:left w:val="single" w:color="000000" w:sz="4" w:space="0"/>
              <w:bottom w:val="single" w:color="000000" w:sz="12"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214" w:type="dxa"/>
            <w:tcBorders>
              <w:top w:val="single" w:color="000000" w:sz="4" w:space="0"/>
              <w:left w:val="single" w:color="000000" w:sz="4" w:space="0"/>
              <w:bottom w:val="single" w:color="000000" w:sz="12"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431" w:type="dxa"/>
            <w:tcBorders>
              <w:top w:val="single" w:color="000000" w:sz="4" w:space="0"/>
              <w:left w:val="single" w:color="000000" w:sz="4" w:space="0"/>
              <w:bottom w:val="single" w:color="000000" w:sz="12"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540" w:type="dxa"/>
            <w:tcBorders>
              <w:top w:val="single" w:color="000000" w:sz="4" w:space="0"/>
              <w:left w:val="single" w:color="000000" w:sz="4" w:space="0"/>
              <w:bottom w:val="single" w:color="000000" w:sz="12" w:space="0"/>
              <w:right w:val="single" w:color="000000" w:sz="12"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417.89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628" w:hRule="exact"/>
        </w:trPr>
        <w:tc>
          <w:tcPr>
            <w:tcW w:w="8522" w:type="dxa"/>
            <w:gridSpan w:val="6"/>
            <w:tcBorders>
              <w:top w:val="single" w:color="000000" w:sz="12" w:space="0"/>
              <w:left w:val="nil"/>
              <w:bottom w:val="nil"/>
              <w:right w:val="nil"/>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仿宋" w:cs="Times New Roman"/>
                <w:color w:val="000000"/>
                <w:sz w:val="18"/>
                <w:szCs w:val="18"/>
                <w:highlight w:val="none"/>
                <w:lang w:val="en-US" w:eastAsia="zh-CN" w:bidi="ar"/>
              </w:rPr>
              <w:t>注：本定额适用于推土层＞0.3m，推土上坡坡度≤5%；土层厚度＜0.3m时，推土机定额乘以系数1.25；推土上坡坡度5%-10%时，推土机乘以系数1.09。</w:t>
            </w:r>
          </w:p>
        </w:tc>
      </w:tr>
    </w:tbl>
    <w:p>
      <w:pPr>
        <w:pStyle w:val="2"/>
        <w:ind w:left="0" w:leftChars="0" w:firstLine="0" w:firstLineChars="0"/>
        <w:rPr>
          <w:rFonts w:hint="default" w:ascii="Times New Roman" w:hAnsi="Times New Roman" w:cs="Times New Roman"/>
          <w:highlight w:val="none"/>
        </w:rPr>
      </w:pPr>
    </w:p>
    <w:tbl>
      <w:tblPr>
        <w:tblStyle w:val="22"/>
        <w:tblW w:w="850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01"/>
        <w:gridCol w:w="1492"/>
        <w:gridCol w:w="955"/>
        <w:gridCol w:w="1527"/>
        <w:gridCol w:w="1172"/>
        <w:gridCol w:w="21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69" w:hRule="atLeast"/>
        </w:trPr>
        <w:tc>
          <w:tcPr>
            <w:tcW w:w="1201" w:type="dxa"/>
            <w:tcBorders>
              <w:top w:val="nil"/>
              <w:left w:val="nil"/>
              <w:bottom w:val="nil"/>
              <w:right w:val="nil"/>
            </w:tcBorders>
            <w:shd w:val="clear" w:color="auto" w:fill="auto"/>
            <w:noWrap/>
            <w:vAlign w:val="center"/>
          </w:tcPr>
          <w:p>
            <w:pPr>
              <w:widowControl/>
              <w:spacing w:line="240" w:lineRule="auto"/>
              <w:ind w:firstLine="0" w:firstLineChars="0"/>
              <w:jc w:val="left"/>
              <w:textAlignment w:val="bottom"/>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定额编号</w:t>
            </w:r>
          </w:p>
        </w:tc>
        <w:tc>
          <w:tcPr>
            <w:tcW w:w="1492" w:type="dxa"/>
            <w:tcBorders>
              <w:top w:val="nil"/>
              <w:left w:val="nil"/>
              <w:bottom w:val="nil"/>
              <w:right w:val="nil"/>
            </w:tcBorders>
            <w:shd w:val="clear" w:color="auto" w:fill="auto"/>
            <w:noWrap/>
            <w:vAlign w:val="center"/>
          </w:tcPr>
          <w:p>
            <w:pPr>
              <w:widowControl/>
              <w:spacing w:line="240" w:lineRule="auto"/>
              <w:ind w:firstLine="0" w:firstLineChars="0"/>
              <w:jc w:val="center"/>
              <w:textAlignment w:val="bottom"/>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10205</w:t>
            </w:r>
          </w:p>
        </w:tc>
        <w:tc>
          <w:tcPr>
            <w:tcW w:w="3654" w:type="dxa"/>
            <w:gridSpan w:val="3"/>
            <w:tcBorders>
              <w:top w:val="nil"/>
              <w:left w:val="nil"/>
              <w:bottom w:val="nil"/>
              <w:right w:val="nil"/>
            </w:tcBorders>
            <w:shd w:val="clear" w:color="auto" w:fill="auto"/>
            <w:noWrap/>
            <w:vAlign w:val="center"/>
          </w:tcPr>
          <w:p>
            <w:pPr>
              <w:widowControl/>
              <w:spacing w:line="240" w:lineRule="auto"/>
              <w:ind w:firstLine="0" w:firstLineChars="0"/>
              <w:jc w:val="center"/>
              <w:textAlignment w:val="bottom"/>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挖掘机挖土（四类土）</w:t>
            </w:r>
          </w:p>
        </w:tc>
        <w:tc>
          <w:tcPr>
            <w:tcW w:w="2155" w:type="dxa"/>
            <w:tcBorders>
              <w:top w:val="nil"/>
              <w:left w:val="nil"/>
              <w:bottom w:val="nil"/>
              <w:right w:val="nil"/>
            </w:tcBorders>
            <w:shd w:val="clear" w:color="auto" w:fill="auto"/>
            <w:noWrap/>
            <w:vAlign w:val="center"/>
          </w:tcPr>
          <w:p>
            <w:pPr>
              <w:widowControl/>
              <w:spacing w:line="240" w:lineRule="auto"/>
              <w:ind w:firstLine="0" w:firstLineChars="0"/>
              <w:jc w:val="center"/>
              <w:textAlignment w:val="bottom"/>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单位：元/100m</w:t>
            </w:r>
            <w:r>
              <w:rPr>
                <w:rFonts w:hint="default" w:ascii="Times New Roman" w:hAnsi="Times New Roman" w:eastAsia="仿宋" w:cs="Times New Roman"/>
                <w:color w:val="000000"/>
                <w:sz w:val="18"/>
                <w:szCs w:val="18"/>
                <w:highlight w:val="none"/>
                <w:vertAlign w:val="superscript"/>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69" w:hRule="atLeast"/>
        </w:trPr>
        <w:tc>
          <w:tcPr>
            <w:tcW w:w="1201" w:type="dxa"/>
            <w:tcBorders>
              <w:top w:val="nil"/>
              <w:left w:val="nil"/>
              <w:bottom w:val="single" w:color="000000" w:sz="12" w:space="0"/>
              <w:right w:val="nil"/>
            </w:tcBorders>
            <w:shd w:val="clear" w:color="auto" w:fill="auto"/>
            <w:noWrap/>
            <w:vAlign w:val="center"/>
          </w:tcPr>
          <w:p>
            <w:pPr>
              <w:widowControl/>
              <w:spacing w:line="240" w:lineRule="auto"/>
              <w:ind w:firstLine="0" w:firstLineChars="0"/>
              <w:jc w:val="left"/>
              <w:textAlignment w:val="bottom"/>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工作内容：</w:t>
            </w:r>
          </w:p>
        </w:tc>
        <w:tc>
          <w:tcPr>
            <w:tcW w:w="1492" w:type="dxa"/>
            <w:tcBorders>
              <w:top w:val="nil"/>
              <w:left w:val="nil"/>
              <w:bottom w:val="single" w:color="000000" w:sz="12" w:space="0"/>
              <w:right w:val="nil"/>
            </w:tcBorders>
            <w:shd w:val="clear" w:color="auto" w:fill="auto"/>
            <w:noWrap/>
            <w:vAlign w:val="center"/>
          </w:tcPr>
          <w:p>
            <w:pPr>
              <w:widowControl/>
              <w:spacing w:line="240" w:lineRule="auto"/>
              <w:ind w:firstLine="0" w:firstLineChars="0"/>
              <w:jc w:val="center"/>
              <w:textAlignment w:val="bottom"/>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挖土、就地堆放</w:t>
            </w:r>
          </w:p>
        </w:tc>
        <w:tc>
          <w:tcPr>
            <w:tcW w:w="955" w:type="dxa"/>
            <w:tcBorders>
              <w:top w:val="nil"/>
              <w:left w:val="nil"/>
              <w:bottom w:val="single" w:color="000000" w:sz="12" w:space="0"/>
              <w:right w:val="nil"/>
            </w:tcBorders>
            <w:shd w:val="clear" w:color="auto" w:fill="auto"/>
            <w:noWrap/>
            <w:vAlign w:val="center"/>
          </w:tcPr>
          <w:p>
            <w:pPr>
              <w:widowControl/>
              <w:spacing w:line="240" w:lineRule="auto"/>
              <w:ind w:firstLine="0" w:firstLineChars="0"/>
              <w:jc w:val="center"/>
              <w:textAlignment w:val="bottom"/>
              <w:rPr>
                <w:rFonts w:hint="default" w:ascii="Times New Roman" w:hAnsi="Times New Roman" w:eastAsia="仿宋" w:cs="Times New Roman"/>
                <w:color w:val="000000"/>
                <w:sz w:val="18"/>
                <w:szCs w:val="18"/>
                <w:highlight w:val="none"/>
                <w:lang w:val="en-US" w:eastAsia="zh-CN" w:bidi="ar"/>
              </w:rPr>
            </w:pPr>
          </w:p>
        </w:tc>
        <w:tc>
          <w:tcPr>
            <w:tcW w:w="1527" w:type="dxa"/>
            <w:tcBorders>
              <w:top w:val="nil"/>
              <w:left w:val="nil"/>
              <w:bottom w:val="single" w:color="000000" w:sz="12" w:space="0"/>
              <w:right w:val="nil"/>
            </w:tcBorders>
            <w:shd w:val="clear" w:color="auto" w:fill="auto"/>
            <w:noWrap/>
            <w:vAlign w:val="center"/>
          </w:tcPr>
          <w:p>
            <w:pPr>
              <w:widowControl/>
              <w:spacing w:line="240" w:lineRule="auto"/>
              <w:ind w:firstLine="0" w:firstLineChars="0"/>
              <w:jc w:val="center"/>
              <w:textAlignment w:val="bottom"/>
              <w:rPr>
                <w:rFonts w:hint="default" w:ascii="Times New Roman" w:hAnsi="Times New Roman" w:eastAsia="仿宋" w:cs="Times New Roman"/>
                <w:color w:val="000000"/>
                <w:sz w:val="18"/>
                <w:szCs w:val="18"/>
                <w:highlight w:val="none"/>
                <w:lang w:val="en-US" w:eastAsia="zh-CN" w:bidi="ar"/>
              </w:rPr>
            </w:pPr>
          </w:p>
        </w:tc>
        <w:tc>
          <w:tcPr>
            <w:tcW w:w="1172" w:type="dxa"/>
            <w:tcBorders>
              <w:top w:val="nil"/>
              <w:left w:val="nil"/>
              <w:bottom w:val="single" w:color="000000" w:sz="12" w:space="0"/>
              <w:right w:val="nil"/>
            </w:tcBorders>
            <w:shd w:val="clear" w:color="auto" w:fill="auto"/>
            <w:noWrap/>
            <w:vAlign w:val="center"/>
          </w:tcPr>
          <w:p>
            <w:pPr>
              <w:widowControl/>
              <w:spacing w:line="240" w:lineRule="auto"/>
              <w:ind w:firstLine="0" w:firstLineChars="0"/>
              <w:jc w:val="center"/>
              <w:textAlignment w:val="bottom"/>
              <w:rPr>
                <w:rFonts w:hint="default" w:ascii="Times New Roman" w:hAnsi="Times New Roman" w:eastAsia="仿宋" w:cs="Times New Roman"/>
                <w:color w:val="000000"/>
                <w:sz w:val="18"/>
                <w:szCs w:val="18"/>
                <w:highlight w:val="none"/>
                <w:lang w:val="en-US" w:eastAsia="zh-CN" w:bidi="ar"/>
              </w:rPr>
            </w:pPr>
          </w:p>
        </w:tc>
        <w:tc>
          <w:tcPr>
            <w:tcW w:w="2155" w:type="dxa"/>
            <w:tcBorders>
              <w:top w:val="nil"/>
              <w:left w:val="nil"/>
              <w:bottom w:val="single" w:color="000000" w:sz="12" w:space="0"/>
              <w:right w:val="nil"/>
            </w:tcBorders>
            <w:shd w:val="clear" w:color="auto" w:fill="auto"/>
            <w:noWrap/>
            <w:vAlign w:val="center"/>
          </w:tcPr>
          <w:p>
            <w:pPr>
              <w:widowControl/>
              <w:spacing w:line="240" w:lineRule="auto"/>
              <w:ind w:firstLine="0" w:firstLineChars="0"/>
              <w:jc w:val="center"/>
              <w:textAlignment w:val="bottom"/>
              <w:rPr>
                <w:rFonts w:hint="default" w:ascii="Times New Roman" w:hAnsi="Times New Roman" w:eastAsia="仿宋" w:cs="Times New Roman"/>
                <w:color w:val="000000"/>
                <w:sz w:val="18"/>
                <w:szCs w:val="18"/>
                <w:highlight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2" w:hRule="atLeast"/>
        </w:trPr>
        <w:tc>
          <w:tcPr>
            <w:tcW w:w="1201" w:type="dxa"/>
            <w:tcBorders>
              <w:top w:val="single" w:color="000000" w:sz="12" w:space="0"/>
              <w:left w:val="single" w:color="000000" w:sz="12"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序号</w:t>
            </w:r>
          </w:p>
        </w:tc>
        <w:tc>
          <w:tcPr>
            <w:tcW w:w="1492" w:type="dxa"/>
            <w:tcBorders>
              <w:top w:val="single" w:color="000000" w:sz="12"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名称</w:t>
            </w:r>
          </w:p>
        </w:tc>
        <w:tc>
          <w:tcPr>
            <w:tcW w:w="955" w:type="dxa"/>
            <w:tcBorders>
              <w:top w:val="single" w:color="000000" w:sz="12"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单位</w:t>
            </w:r>
          </w:p>
        </w:tc>
        <w:tc>
          <w:tcPr>
            <w:tcW w:w="1527" w:type="dxa"/>
            <w:tcBorders>
              <w:top w:val="single" w:color="000000" w:sz="12"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数量</w:t>
            </w:r>
          </w:p>
        </w:tc>
        <w:tc>
          <w:tcPr>
            <w:tcW w:w="1172" w:type="dxa"/>
            <w:tcBorders>
              <w:top w:val="single" w:color="000000" w:sz="12"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单价</w:t>
            </w:r>
          </w:p>
        </w:tc>
        <w:tc>
          <w:tcPr>
            <w:tcW w:w="2155" w:type="dxa"/>
            <w:tcBorders>
              <w:top w:val="single" w:color="000000" w:sz="12" w:space="0"/>
              <w:left w:val="single" w:color="000000" w:sz="4" w:space="0"/>
              <w:bottom w:val="single" w:color="000000" w:sz="4" w:space="0"/>
              <w:right w:val="single" w:color="000000" w:sz="12"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2" w:hRule="atLeast"/>
        </w:trPr>
        <w:tc>
          <w:tcPr>
            <w:tcW w:w="1201"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一</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直接费</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1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2155"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219.14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2" w:hRule="atLeast"/>
        </w:trPr>
        <w:tc>
          <w:tcPr>
            <w:tcW w:w="1201"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（一）</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直接工程费</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1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2155"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211.52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2" w:hRule="atLeast"/>
        </w:trPr>
        <w:tc>
          <w:tcPr>
            <w:tcW w:w="1201"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1</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人工费</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1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2155"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38.78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2" w:hRule="atLeast"/>
        </w:trPr>
        <w:tc>
          <w:tcPr>
            <w:tcW w:w="1201"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甲类工</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工日</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1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61.25 </w:t>
            </w:r>
          </w:p>
        </w:tc>
        <w:tc>
          <w:tcPr>
            <w:tcW w:w="2155"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2" w:hRule="atLeast"/>
        </w:trPr>
        <w:tc>
          <w:tcPr>
            <w:tcW w:w="1201"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乙类工</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工日</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0.70 </w:t>
            </w:r>
          </w:p>
        </w:tc>
        <w:tc>
          <w:tcPr>
            <w:tcW w:w="11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48.17 </w:t>
            </w:r>
          </w:p>
        </w:tc>
        <w:tc>
          <w:tcPr>
            <w:tcW w:w="2155"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33.72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2" w:hRule="atLeast"/>
        </w:trPr>
        <w:tc>
          <w:tcPr>
            <w:tcW w:w="1201"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其他费用</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15.00 </w:t>
            </w:r>
          </w:p>
        </w:tc>
        <w:tc>
          <w:tcPr>
            <w:tcW w:w="11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33.72 </w:t>
            </w:r>
          </w:p>
        </w:tc>
        <w:tc>
          <w:tcPr>
            <w:tcW w:w="2155"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5.06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2" w:hRule="atLeast"/>
        </w:trPr>
        <w:tc>
          <w:tcPr>
            <w:tcW w:w="1201"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2</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机械费</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1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2155"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172.74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2" w:hRule="atLeast"/>
        </w:trPr>
        <w:tc>
          <w:tcPr>
            <w:tcW w:w="1201"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挖掘机油动1m</w:t>
            </w:r>
            <w:r>
              <w:rPr>
                <w:rFonts w:hint="default" w:ascii="Times New Roman" w:hAnsi="Times New Roman" w:eastAsia="仿宋" w:cs="Times New Roman"/>
                <w:color w:val="000000"/>
                <w:sz w:val="18"/>
                <w:szCs w:val="18"/>
                <w:highlight w:val="none"/>
                <w:vertAlign w:val="superscript"/>
                <w:lang w:val="en-US" w:eastAsia="zh-CN" w:bidi="ar"/>
              </w:rPr>
              <w:t>3</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台班</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0.20 </w:t>
            </w:r>
          </w:p>
        </w:tc>
        <w:tc>
          <w:tcPr>
            <w:tcW w:w="11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751.06 </w:t>
            </w:r>
          </w:p>
        </w:tc>
        <w:tc>
          <w:tcPr>
            <w:tcW w:w="2155"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150.21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2" w:hRule="atLeast"/>
        </w:trPr>
        <w:tc>
          <w:tcPr>
            <w:tcW w:w="1201"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其他费用</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15.00 </w:t>
            </w:r>
          </w:p>
        </w:tc>
        <w:tc>
          <w:tcPr>
            <w:tcW w:w="11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150.21 </w:t>
            </w:r>
          </w:p>
        </w:tc>
        <w:tc>
          <w:tcPr>
            <w:tcW w:w="2155"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22.53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2" w:hRule="atLeast"/>
        </w:trPr>
        <w:tc>
          <w:tcPr>
            <w:tcW w:w="1201"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（二）</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措施费</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3.60 </w:t>
            </w:r>
          </w:p>
        </w:tc>
        <w:tc>
          <w:tcPr>
            <w:tcW w:w="11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211.52 </w:t>
            </w:r>
          </w:p>
        </w:tc>
        <w:tc>
          <w:tcPr>
            <w:tcW w:w="2155"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7.61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2" w:hRule="atLeast"/>
        </w:trPr>
        <w:tc>
          <w:tcPr>
            <w:tcW w:w="1201"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二</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间接费</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5.00 </w:t>
            </w:r>
          </w:p>
        </w:tc>
        <w:tc>
          <w:tcPr>
            <w:tcW w:w="11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219.14 </w:t>
            </w:r>
          </w:p>
        </w:tc>
        <w:tc>
          <w:tcPr>
            <w:tcW w:w="2155"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10.96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2" w:hRule="atLeast"/>
        </w:trPr>
        <w:tc>
          <w:tcPr>
            <w:tcW w:w="1201"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三</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利润</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3.00 </w:t>
            </w:r>
          </w:p>
        </w:tc>
        <w:tc>
          <w:tcPr>
            <w:tcW w:w="11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230.10 </w:t>
            </w:r>
          </w:p>
        </w:tc>
        <w:tc>
          <w:tcPr>
            <w:tcW w:w="2155"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6.90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2" w:hRule="atLeast"/>
        </w:trPr>
        <w:tc>
          <w:tcPr>
            <w:tcW w:w="1201"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四</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材料价差</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1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2155"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56.62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2" w:hRule="atLeast"/>
        </w:trPr>
        <w:tc>
          <w:tcPr>
            <w:tcW w:w="1201" w:type="dxa"/>
            <w:tcBorders>
              <w:top w:val="single" w:color="000000" w:sz="4" w:space="0"/>
              <w:left w:val="single" w:color="000000" w:sz="12" w:space="0"/>
              <w:bottom w:val="single" w:color="000000" w:sz="4" w:space="0"/>
              <w:right w:val="single" w:color="000000" w:sz="4" w:space="0"/>
            </w:tcBorders>
            <w:shd w:val="clear" w:color="auto" w:fill="auto"/>
            <w:noWrap/>
            <w:vAlign w:val="bottom"/>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柴油</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kg</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14.40 </w:t>
            </w:r>
          </w:p>
        </w:tc>
        <w:tc>
          <w:tcPr>
            <w:tcW w:w="11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3.93 </w:t>
            </w:r>
          </w:p>
        </w:tc>
        <w:tc>
          <w:tcPr>
            <w:tcW w:w="2155"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56.62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2" w:hRule="atLeast"/>
        </w:trPr>
        <w:tc>
          <w:tcPr>
            <w:tcW w:w="1201"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五</w:t>
            </w:r>
          </w:p>
        </w:tc>
        <w:tc>
          <w:tcPr>
            <w:tcW w:w="14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税金</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9.00 </w:t>
            </w:r>
          </w:p>
        </w:tc>
        <w:tc>
          <w:tcPr>
            <w:tcW w:w="11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293.62 </w:t>
            </w:r>
          </w:p>
        </w:tc>
        <w:tc>
          <w:tcPr>
            <w:tcW w:w="2155"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26.43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2" w:hRule="atLeast"/>
        </w:trPr>
        <w:tc>
          <w:tcPr>
            <w:tcW w:w="2693" w:type="dxa"/>
            <w:gridSpan w:val="2"/>
            <w:tcBorders>
              <w:top w:val="single" w:color="000000" w:sz="4" w:space="0"/>
              <w:left w:val="single" w:color="000000" w:sz="12" w:space="0"/>
              <w:bottom w:val="single" w:color="000000" w:sz="12"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合计</w:t>
            </w:r>
          </w:p>
        </w:tc>
        <w:tc>
          <w:tcPr>
            <w:tcW w:w="955" w:type="dxa"/>
            <w:tcBorders>
              <w:top w:val="single" w:color="000000" w:sz="4" w:space="0"/>
              <w:left w:val="single" w:color="000000" w:sz="4" w:space="0"/>
              <w:bottom w:val="single" w:color="000000" w:sz="12"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527" w:type="dxa"/>
            <w:tcBorders>
              <w:top w:val="single" w:color="000000" w:sz="4" w:space="0"/>
              <w:left w:val="single" w:color="000000" w:sz="4" w:space="0"/>
              <w:bottom w:val="single" w:color="000000" w:sz="12"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172" w:type="dxa"/>
            <w:tcBorders>
              <w:top w:val="single" w:color="000000" w:sz="4" w:space="0"/>
              <w:left w:val="single" w:color="000000" w:sz="4" w:space="0"/>
              <w:bottom w:val="single" w:color="000000" w:sz="12"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2155" w:type="dxa"/>
            <w:tcBorders>
              <w:top w:val="single" w:color="000000" w:sz="4" w:space="0"/>
              <w:left w:val="single" w:color="000000" w:sz="4" w:space="0"/>
              <w:bottom w:val="single" w:color="000000" w:sz="12" w:space="0"/>
              <w:right w:val="single" w:color="000000" w:sz="12"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320.04 </w:t>
            </w:r>
          </w:p>
        </w:tc>
      </w:tr>
    </w:tbl>
    <w:p>
      <w:pPr>
        <w:pStyle w:val="2"/>
        <w:ind w:left="0" w:leftChars="0" w:firstLine="0" w:firstLineChars="0"/>
        <w:rPr>
          <w:rFonts w:hint="default" w:ascii="Times New Roman" w:hAnsi="Times New Roman" w:cs="Times New Roman"/>
          <w:highlight w:val="none"/>
        </w:rPr>
      </w:pPr>
    </w:p>
    <w:p>
      <w:pPr>
        <w:pStyle w:val="2"/>
        <w:ind w:left="0" w:leftChars="0" w:firstLine="0" w:firstLineChars="0"/>
        <w:rPr>
          <w:rFonts w:hint="default" w:ascii="Times New Roman" w:hAnsi="Times New Roman" w:cs="Times New Roman"/>
          <w:highlight w:val="none"/>
        </w:rPr>
      </w:pPr>
    </w:p>
    <w:tbl>
      <w:tblPr>
        <w:tblStyle w:val="22"/>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16"/>
        <w:gridCol w:w="2196"/>
        <w:gridCol w:w="1085"/>
        <w:gridCol w:w="1279"/>
        <w:gridCol w:w="1391"/>
        <w:gridCol w:w="14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 w:hRule="exact"/>
        </w:trPr>
        <w:tc>
          <w:tcPr>
            <w:tcW w:w="1116" w:type="dxa"/>
            <w:tcBorders>
              <w:top w:val="nil"/>
              <w:left w:val="nil"/>
              <w:bottom w:val="nil"/>
              <w:right w:val="nil"/>
            </w:tcBorders>
            <w:shd w:val="clear" w:color="auto" w:fill="auto"/>
            <w:noWrap/>
            <w:vAlign w:val="bottom"/>
          </w:tcPr>
          <w:p>
            <w:pPr>
              <w:widowControl/>
              <w:spacing w:line="240" w:lineRule="auto"/>
              <w:ind w:firstLine="0" w:firstLineChars="0"/>
              <w:jc w:val="left"/>
              <w:textAlignment w:val="bottom"/>
              <w:rPr>
                <w:rFonts w:hint="default" w:ascii="Times New Roman" w:hAnsi="Times New Roman" w:eastAsia="仿宋" w:cs="Times New Roman"/>
                <w:color w:val="000000"/>
                <w:sz w:val="18"/>
                <w:szCs w:val="18"/>
                <w:highlight w:val="none"/>
                <w:lang w:val="en-US" w:eastAsia="zh-CN" w:bidi="ar"/>
              </w:rPr>
            </w:pPr>
          </w:p>
          <w:p>
            <w:pPr>
              <w:widowControl/>
              <w:spacing w:line="240" w:lineRule="auto"/>
              <w:ind w:firstLine="0" w:firstLineChars="0"/>
              <w:jc w:val="left"/>
              <w:textAlignment w:val="bottom"/>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定额编号</w:t>
            </w:r>
          </w:p>
        </w:tc>
        <w:tc>
          <w:tcPr>
            <w:tcW w:w="2196" w:type="dxa"/>
            <w:tcBorders>
              <w:top w:val="nil"/>
              <w:left w:val="nil"/>
              <w:bottom w:val="nil"/>
              <w:right w:val="nil"/>
            </w:tcBorders>
            <w:shd w:val="clear" w:color="auto" w:fill="auto"/>
            <w:noWrap/>
            <w:vAlign w:val="bottom"/>
          </w:tcPr>
          <w:p>
            <w:pPr>
              <w:widowControl/>
              <w:spacing w:line="240" w:lineRule="auto"/>
              <w:ind w:firstLine="0" w:firstLineChars="0"/>
              <w:jc w:val="left"/>
              <w:textAlignment w:val="bottom"/>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1022</w:t>
            </w:r>
            <w:r>
              <w:rPr>
                <w:rFonts w:hint="eastAsia" w:ascii="Times New Roman" w:hAnsi="Times New Roman" w:eastAsia="仿宋" w:cs="Times New Roman"/>
                <w:color w:val="000000"/>
                <w:sz w:val="18"/>
                <w:szCs w:val="18"/>
                <w:highlight w:val="none"/>
                <w:lang w:val="en-US" w:eastAsia="zh-CN" w:bidi="ar"/>
              </w:rPr>
              <w:t>3</w:t>
            </w:r>
          </w:p>
        </w:tc>
        <w:tc>
          <w:tcPr>
            <w:tcW w:w="3755" w:type="dxa"/>
            <w:gridSpan w:val="3"/>
            <w:tcBorders>
              <w:top w:val="nil"/>
              <w:left w:val="nil"/>
              <w:bottom w:val="nil"/>
              <w:right w:val="nil"/>
            </w:tcBorders>
            <w:shd w:val="clear" w:color="auto" w:fill="auto"/>
            <w:noWrap/>
            <w:vAlign w:val="bottom"/>
          </w:tcPr>
          <w:p>
            <w:pPr>
              <w:widowControl/>
              <w:spacing w:line="240" w:lineRule="auto"/>
              <w:ind w:firstLine="0" w:firstLineChars="0"/>
              <w:jc w:val="left"/>
              <w:textAlignment w:val="bottom"/>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1m</w:t>
            </w:r>
            <w:r>
              <w:rPr>
                <w:rFonts w:hint="default" w:ascii="Times New Roman" w:hAnsi="Times New Roman" w:eastAsia="仿宋" w:cs="Times New Roman"/>
                <w:color w:val="000000"/>
                <w:sz w:val="18"/>
                <w:szCs w:val="18"/>
                <w:highlight w:val="none"/>
                <w:vertAlign w:val="superscript"/>
                <w:lang w:val="en-US" w:eastAsia="zh-CN" w:bidi="ar"/>
              </w:rPr>
              <w:t>3</w:t>
            </w:r>
            <w:r>
              <w:rPr>
                <w:rFonts w:hint="default" w:ascii="Times New Roman" w:hAnsi="Times New Roman" w:eastAsia="仿宋" w:cs="Times New Roman"/>
                <w:color w:val="000000"/>
                <w:sz w:val="18"/>
                <w:szCs w:val="18"/>
                <w:highlight w:val="none"/>
                <w:lang w:val="en-US" w:eastAsia="zh-CN" w:bidi="ar"/>
              </w:rPr>
              <w:t>挖掘机挖装自卸汽车运土（运距</w:t>
            </w:r>
            <w:r>
              <w:rPr>
                <w:rFonts w:hint="eastAsia" w:ascii="Times New Roman" w:hAnsi="Times New Roman" w:eastAsia="仿宋" w:cs="Times New Roman"/>
                <w:color w:val="000000"/>
                <w:sz w:val="18"/>
                <w:szCs w:val="18"/>
                <w:highlight w:val="none"/>
                <w:lang w:val="en-US" w:eastAsia="zh-CN" w:bidi="ar"/>
              </w:rPr>
              <w:t>3</w:t>
            </w:r>
            <w:r>
              <w:rPr>
                <w:rFonts w:hint="default" w:ascii="Times New Roman" w:hAnsi="Times New Roman" w:eastAsia="仿宋" w:cs="Times New Roman"/>
                <w:color w:val="000000"/>
                <w:sz w:val="18"/>
                <w:szCs w:val="18"/>
                <w:highlight w:val="none"/>
                <w:lang w:val="en-US" w:eastAsia="zh-CN" w:bidi="ar"/>
              </w:rPr>
              <w:t>-</w:t>
            </w:r>
            <w:r>
              <w:rPr>
                <w:rFonts w:hint="eastAsia" w:ascii="Times New Roman" w:hAnsi="Times New Roman" w:eastAsia="仿宋" w:cs="Times New Roman"/>
                <w:color w:val="000000"/>
                <w:sz w:val="18"/>
                <w:szCs w:val="18"/>
                <w:highlight w:val="none"/>
                <w:lang w:val="en-US" w:eastAsia="zh-CN" w:bidi="ar"/>
              </w:rPr>
              <w:t>4</w:t>
            </w:r>
            <w:r>
              <w:rPr>
                <w:rFonts w:hint="default" w:ascii="Times New Roman" w:hAnsi="Times New Roman" w:eastAsia="仿宋" w:cs="Times New Roman"/>
                <w:color w:val="000000"/>
                <w:sz w:val="18"/>
                <w:szCs w:val="18"/>
                <w:highlight w:val="none"/>
                <w:lang w:val="en-US" w:eastAsia="zh-CN" w:bidi="ar"/>
              </w:rPr>
              <w:t>km）</w:t>
            </w:r>
          </w:p>
        </w:tc>
        <w:tc>
          <w:tcPr>
            <w:tcW w:w="1455" w:type="dxa"/>
            <w:tcBorders>
              <w:top w:val="nil"/>
              <w:left w:val="nil"/>
              <w:bottom w:val="nil"/>
              <w:right w:val="nil"/>
            </w:tcBorders>
            <w:shd w:val="clear" w:color="auto" w:fill="auto"/>
            <w:noWrap/>
            <w:vAlign w:val="bottom"/>
          </w:tcPr>
          <w:p>
            <w:pPr>
              <w:widowControl/>
              <w:spacing w:line="240" w:lineRule="auto"/>
              <w:ind w:firstLine="0" w:firstLineChars="0"/>
              <w:jc w:val="left"/>
              <w:textAlignment w:val="bottom"/>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单位：元/100m</w:t>
            </w:r>
            <w:r>
              <w:rPr>
                <w:rFonts w:hint="default" w:ascii="Times New Roman" w:hAnsi="Times New Roman" w:eastAsia="仿宋" w:cs="Times New Roman"/>
                <w:color w:val="000000"/>
                <w:sz w:val="18"/>
                <w:szCs w:val="18"/>
                <w:highlight w:val="none"/>
                <w:vertAlign w:val="superscript"/>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exact"/>
        </w:trPr>
        <w:tc>
          <w:tcPr>
            <w:tcW w:w="1116" w:type="dxa"/>
            <w:tcBorders>
              <w:top w:val="nil"/>
              <w:left w:val="nil"/>
              <w:bottom w:val="nil"/>
              <w:right w:val="nil"/>
            </w:tcBorders>
            <w:shd w:val="clear" w:color="auto" w:fill="auto"/>
            <w:noWrap/>
            <w:vAlign w:val="bottom"/>
          </w:tcPr>
          <w:p>
            <w:pPr>
              <w:widowControl/>
              <w:spacing w:line="240" w:lineRule="auto"/>
              <w:ind w:firstLine="0" w:firstLineChars="0"/>
              <w:jc w:val="left"/>
              <w:textAlignment w:val="bottom"/>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适用范围：</w:t>
            </w:r>
          </w:p>
        </w:tc>
        <w:tc>
          <w:tcPr>
            <w:tcW w:w="2196" w:type="dxa"/>
            <w:tcBorders>
              <w:top w:val="nil"/>
              <w:left w:val="nil"/>
              <w:bottom w:val="nil"/>
              <w:right w:val="nil"/>
            </w:tcBorders>
            <w:shd w:val="clear" w:color="auto" w:fill="auto"/>
            <w:noWrap/>
            <w:vAlign w:val="bottom"/>
          </w:tcPr>
          <w:p>
            <w:pPr>
              <w:widowControl/>
              <w:spacing w:line="240" w:lineRule="auto"/>
              <w:ind w:firstLine="0" w:firstLineChars="0"/>
              <w:jc w:val="left"/>
              <w:textAlignment w:val="bottom"/>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露天作业</w:t>
            </w:r>
          </w:p>
        </w:tc>
        <w:tc>
          <w:tcPr>
            <w:tcW w:w="1085" w:type="dxa"/>
            <w:tcBorders>
              <w:top w:val="nil"/>
              <w:left w:val="nil"/>
              <w:bottom w:val="nil"/>
              <w:right w:val="nil"/>
            </w:tcBorders>
            <w:shd w:val="clear" w:color="auto" w:fill="auto"/>
            <w:noWrap/>
            <w:vAlign w:val="bottom"/>
          </w:tcPr>
          <w:p>
            <w:pPr>
              <w:widowControl/>
              <w:spacing w:line="240" w:lineRule="auto"/>
              <w:ind w:firstLine="0" w:firstLineChars="0"/>
              <w:jc w:val="left"/>
              <w:textAlignment w:val="bottom"/>
              <w:rPr>
                <w:rFonts w:hint="default" w:ascii="Times New Roman" w:hAnsi="Times New Roman" w:eastAsia="仿宋" w:cs="Times New Roman"/>
                <w:color w:val="000000"/>
                <w:sz w:val="18"/>
                <w:szCs w:val="18"/>
                <w:highlight w:val="none"/>
                <w:lang w:val="en-US" w:eastAsia="zh-CN" w:bidi="ar"/>
              </w:rPr>
            </w:pPr>
          </w:p>
        </w:tc>
        <w:tc>
          <w:tcPr>
            <w:tcW w:w="1279" w:type="dxa"/>
            <w:tcBorders>
              <w:top w:val="nil"/>
              <w:left w:val="nil"/>
              <w:bottom w:val="nil"/>
              <w:right w:val="nil"/>
            </w:tcBorders>
            <w:shd w:val="clear" w:color="auto" w:fill="auto"/>
            <w:noWrap/>
            <w:vAlign w:val="bottom"/>
          </w:tcPr>
          <w:p>
            <w:pPr>
              <w:widowControl/>
              <w:spacing w:line="240" w:lineRule="auto"/>
              <w:ind w:firstLine="0" w:firstLineChars="0"/>
              <w:jc w:val="left"/>
              <w:textAlignment w:val="bottom"/>
              <w:rPr>
                <w:rFonts w:hint="default" w:ascii="Times New Roman" w:hAnsi="Times New Roman" w:eastAsia="仿宋" w:cs="Times New Roman"/>
                <w:color w:val="000000"/>
                <w:sz w:val="18"/>
                <w:szCs w:val="18"/>
                <w:highlight w:val="none"/>
                <w:lang w:val="en-US" w:eastAsia="zh-CN" w:bidi="ar"/>
              </w:rPr>
            </w:pPr>
          </w:p>
        </w:tc>
        <w:tc>
          <w:tcPr>
            <w:tcW w:w="1391" w:type="dxa"/>
            <w:tcBorders>
              <w:top w:val="nil"/>
              <w:left w:val="nil"/>
              <w:bottom w:val="nil"/>
              <w:right w:val="nil"/>
            </w:tcBorders>
            <w:shd w:val="clear" w:color="auto" w:fill="auto"/>
            <w:noWrap/>
            <w:vAlign w:val="bottom"/>
          </w:tcPr>
          <w:p>
            <w:pPr>
              <w:widowControl/>
              <w:spacing w:line="240" w:lineRule="auto"/>
              <w:ind w:firstLine="0" w:firstLineChars="0"/>
              <w:jc w:val="left"/>
              <w:textAlignment w:val="bottom"/>
              <w:rPr>
                <w:rFonts w:hint="default" w:ascii="Times New Roman" w:hAnsi="Times New Roman" w:eastAsia="仿宋" w:cs="Times New Roman"/>
                <w:color w:val="000000"/>
                <w:sz w:val="18"/>
                <w:szCs w:val="18"/>
                <w:highlight w:val="none"/>
                <w:lang w:val="en-US" w:eastAsia="zh-CN" w:bidi="ar"/>
              </w:rPr>
            </w:pPr>
          </w:p>
        </w:tc>
        <w:tc>
          <w:tcPr>
            <w:tcW w:w="1455" w:type="dxa"/>
            <w:tcBorders>
              <w:top w:val="nil"/>
              <w:left w:val="nil"/>
              <w:bottom w:val="nil"/>
              <w:right w:val="nil"/>
            </w:tcBorders>
            <w:shd w:val="clear" w:color="auto" w:fill="auto"/>
            <w:noWrap/>
            <w:vAlign w:val="bottom"/>
          </w:tcPr>
          <w:p>
            <w:pPr>
              <w:widowControl/>
              <w:spacing w:line="240" w:lineRule="auto"/>
              <w:ind w:firstLine="0" w:firstLineChars="0"/>
              <w:jc w:val="left"/>
              <w:textAlignment w:val="bottom"/>
              <w:rPr>
                <w:rFonts w:hint="default" w:ascii="Times New Roman" w:hAnsi="Times New Roman" w:eastAsia="仿宋" w:cs="Times New Roman"/>
                <w:color w:val="000000"/>
                <w:sz w:val="18"/>
                <w:szCs w:val="18"/>
                <w:highlight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exact"/>
        </w:trPr>
        <w:tc>
          <w:tcPr>
            <w:tcW w:w="1116" w:type="dxa"/>
            <w:tcBorders>
              <w:top w:val="nil"/>
              <w:left w:val="nil"/>
              <w:bottom w:val="single" w:color="000000" w:sz="12" w:space="0"/>
              <w:right w:val="nil"/>
            </w:tcBorders>
            <w:shd w:val="clear" w:color="auto" w:fill="auto"/>
            <w:noWrap/>
            <w:vAlign w:val="bottom"/>
          </w:tcPr>
          <w:p>
            <w:pPr>
              <w:widowControl/>
              <w:spacing w:line="240" w:lineRule="auto"/>
              <w:ind w:firstLine="0" w:firstLineChars="0"/>
              <w:jc w:val="left"/>
              <w:textAlignment w:val="bottom"/>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工作内容：</w:t>
            </w:r>
          </w:p>
        </w:tc>
        <w:tc>
          <w:tcPr>
            <w:tcW w:w="2196" w:type="dxa"/>
            <w:tcBorders>
              <w:top w:val="nil"/>
              <w:left w:val="nil"/>
              <w:bottom w:val="single" w:color="000000" w:sz="12" w:space="0"/>
              <w:right w:val="nil"/>
            </w:tcBorders>
            <w:shd w:val="clear" w:color="auto" w:fill="auto"/>
            <w:noWrap/>
            <w:vAlign w:val="bottom"/>
          </w:tcPr>
          <w:p>
            <w:pPr>
              <w:widowControl/>
              <w:spacing w:line="240" w:lineRule="auto"/>
              <w:ind w:firstLine="0" w:firstLineChars="0"/>
              <w:jc w:val="left"/>
              <w:textAlignment w:val="bottom"/>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挖装、运输、卸除、空回</w:t>
            </w:r>
          </w:p>
        </w:tc>
        <w:tc>
          <w:tcPr>
            <w:tcW w:w="1085" w:type="dxa"/>
            <w:tcBorders>
              <w:top w:val="nil"/>
              <w:left w:val="nil"/>
              <w:bottom w:val="single" w:color="000000" w:sz="12" w:space="0"/>
              <w:right w:val="nil"/>
            </w:tcBorders>
            <w:shd w:val="clear" w:color="auto" w:fill="auto"/>
            <w:noWrap/>
            <w:vAlign w:val="bottom"/>
          </w:tcPr>
          <w:p>
            <w:pPr>
              <w:widowControl/>
              <w:spacing w:line="240" w:lineRule="auto"/>
              <w:ind w:firstLine="0" w:firstLineChars="0"/>
              <w:jc w:val="left"/>
              <w:textAlignment w:val="bottom"/>
              <w:rPr>
                <w:rFonts w:hint="default" w:ascii="Times New Roman" w:hAnsi="Times New Roman" w:eastAsia="仿宋" w:cs="Times New Roman"/>
                <w:color w:val="000000"/>
                <w:sz w:val="18"/>
                <w:szCs w:val="18"/>
                <w:highlight w:val="none"/>
                <w:lang w:val="en-US" w:eastAsia="zh-CN" w:bidi="ar"/>
              </w:rPr>
            </w:pPr>
          </w:p>
        </w:tc>
        <w:tc>
          <w:tcPr>
            <w:tcW w:w="1279" w:type="dxa"/>
            <w:tcBorders>
              <w:top w:val="nil"/>
              <w:left w:val="nil"/>
              <w:bottom w:val="single" w:color="000000" w:sz="12" w:space="0"/>
              <w:right w:val="nil"/>
            </w:tcBorders>
            <w:shd w:val="clear" w:color="auto" w:fill="auto"/>
            <w:noWrap/>
            <w:vAlign w:val="bottom"/>
          </w:tcPr>
          <w:p>
            <w:pPr>
              <w:widowControl/>
              <w:spacing w:line="240" w:lineRule="auto"/>
              <w:ind w:firstLine="0" w:firstLineChars="0"/>
              <w:jc w:val="left"/>
              <w:textAlignment w:val="bottom"/>
              <w:rPr>
                <w:rFonts w:hint="default" w:ascii="Times New Roman" w:hAnsi="Times New Roman" w:eastAsia="仿宋" w:cs="Times New Roman"/>
                <w:color w:val="000000"/>
                <w:sz w:val="18"/>
                <w:szCs w:val="18"/>
                <w:highlight w:val="none"/>
                <w:lang w:val="en-US" w:eastAsia="zh-CN" w:bidi="ar"/>
              </w:rPr>
            </w:pPr>
          </w:p>
        </w:tc>
        <w:tc>
          <w:tcPr>
            <w:tcW w:w="1391" w:type="dxa"/>
            <w:tcBorders>
              <w:top w:val="nil"/>
              <w:left w:val="nil"/>
              <w:bottom w:val="single" w:color="000000" w:sz="12" w:space="0"/>
              <w:right w:val="nil"/>
            </w:tcBorders>
            <w:shd w:val="clear" w:color="auto" w:fill="auto"/>
            <w:noWrap/>
            <w:vAlign w:val="bottom"/>
          </w:tcPr>
          <w:p>
            <w:pPr>
              <w:widowControl/>
              <w:spacing w:line="240" w:lineRule="auto"/>
              <w:ind w:firstLine="0" w:firstLineChars="0"/>
              <w:jc w:val="left"/>
              <w:textAlignment w:val="bottom"/>
              <w:rPr>
                <w:rFonts w:hint="default" w:ascii="Times New Roman" w:hAnsi="Times New Roman" w:eastAsia="仿宋" w:cs="Times New Roman"/>
                <w:color w:val="000000"/>
                <w:sz w:val="18"/>
                <w:szCs w:val="18"/>
                <w:highlight w:val="none"/>
                <w:lang w:val="en-US" w:eastAsia="zh-CN" w:bidi="ar"/>
              </w:rPr>
            </w:pPr>
          </w:p>
        </w:tc>
        <w:tc>
          <w:tcPr>
            <w:tcW w:w="1455" w:type="dxa"/>
            <w:tcBorders>
              <w:top w:val="nil"/>
              <w:left w:val="nil"/>
              <w:bottom w:val="single" w:color="000000" w:sz="12" w:space="0"/>
              <w:right w:val="nil"/>
            </w:tcBorders>
            <w:shd w:val="clear" w:color="auto" w:fill="auto"/>
            <w:noWrap/>
            <w:vAlign w:val="bottom"/>
          </w:tcPr>
          <w:p>
            <w:pPr>
              <w:widowControl/>
              <w:spacing w:line="240" w:lineRule="auto"/>
              <w:ind w:firstLine="0" w:firstLineChars="0"/>
              <w:jc w:val="left"/>
              <w:textAlignment w:val="bottom"/>
              <w:rPr>
                <w:rFonts w:hint="default" w:ascii="Times New Roman" w:hAnsi="Times New Roman" w:eastAsia="仿宋" w:cs="Times New Roman"/>
                <w:color w:val="000000"/>
                <w:sz w:val="18"/>
                <w:szCs w:val="18"/>
                <w:highlight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exact"/>
        </w:trPr>
        <w:tc>
          <w:tcPr>
            <w:tcW w:w="1116" w:type="dxa"/>
            <w:tcBorders>
              <w:top w:val="single" w:color="000000" w:sz="12" w:space="0"/>
              <w:left w:val="single" w:color="000000" w:sz="12"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序号</w:t>
            </w:r>
          </w:p>
        </w:tc>
        <w:tc>
          <w:tcPr>
            <w:tcW w:w="2196" w:type="dxa"/>
            <w:tcBorders>
              <w:top w:val="single" w:color="000000" w:sz="12"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名称</w:t>
            </w:r>
          </w:p>
        </w:tc>
        <w:tc>
          <w:tcPr>
            <w:tcW w:w="1085" w:type="dxa"/>
            <w:tcBorders>
              <w:top w:val="single" w:color="000000" w:sz="12"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单位</w:t>
            </w:r>
          </w:p>
        </w:tc>
        <w:tc>
          <w:tcPr>
            <w:tcW w:w="1279" w:type="dxa"/>
            <w:tcBorders>
              <w:top w:val="single" w:color="000000" w:sz="12"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数量</w:t>
            </w:r>
          </w:p>
        </w:tc>
        <w:tc>
          <w:tcPr>
            <w:tcW w:w="1391" w:type="dxa"/>
            <w:tcBorders>
              <w:top w:val="single" w:color="000000" w:sz="12"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单价</w:t>
            </w:r>
          </w:p>
        </w:tc>
        <w:tc>
          <w:tcPr>
            <w:tcW w:w="1455" w:type="dxa"/>
            <w:tcBorders>
              <w:top w:val="single" w:color="000000" w:sz="12" w:space="0"/>
              <w:left w:val="single" w:color="000000" w:sz="4" w:space="0"/>
              <w:bottom w:val="single" w:color="000000" w:sz="4" w:space="0"/>
              <w:right w:val="single" w:color="000000" w:sz="12"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exact"/>
        </w:trPr>
        <w:tc>
          <w:tcPr>
            <w:tcW w:w="1116"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一</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直接费</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2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455"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1339.93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exact"/>
        </w:trPr>
        <w:tc>
          <w:tcPr>
            <w:tcW w:w="1116"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（一）</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直接工程费</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2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455"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1293.37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exact"/>
        </w:trPr>
        <w:tc>
          <w:tcPr>
            <w:tcW w:w="1116"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1</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人工费</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2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455"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50.62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exact"/>
        </w:trPr>
        <w:tc>
          <w:tcPr>
            <w:tcW w:w="1116"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甲类工</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工日</w:t>
            </w:r>
          </w:p>
        </w:tc>
        <w:tc>
          <w:tcPr>
            <w:tcW w:w="12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0.10 </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61.25 </w:t>
            </w:r>
          </w:p>
        </w:tc>
        <w:tc>
          <w:tcPr>
            <w:tcW w:w="1455"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6.12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exact"/>
        </w:trPr>
        <w:tc>
          <w:tcPr>
            <w:tcW w:w="1116"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乙类工</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工日</w:t>
            </w:r>
          </w:p>
        </w:tc>
        <w:tc>
          <w:tcPr>
            <w:tcW w:w="12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0.90 </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48.17 </w:t>
            </w:r>
          </w:p>
        </w:tc>
        <w:tc>
          <w:tcPr>
            <w:tcW w:w="1455"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43.36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exact"/>
        </w:trPr>
        <w:tc>
          <w:tcPr>
            <w:tcW w:w="1116"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其他费用</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w:t>
            </w:r>
          </w:p>
        </w:tc>
        <w:tc>
          <w:tcPr>
            <w:tcW w:w="12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2.30 </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49.48 </w:t>
            </w:r>
          </w:p>
        </w:tc>
        <w:tc>
          <w:tcPr>
            <w:tcW w:w="1455"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1.14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exact"/>
        </w:trPr>
        <w:tc>
          <w:tcPr>
            <w:tcW w:w="1116"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2</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机械费</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2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455"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1242.75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exact"/>
        </w:trPr>
        <w:tc>
          <w:tcPr>
            <w:tcW w:w="1116"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挖掘机油动1m</w:t>
            </w:r>
            <w:r>
              <w:rPr>
                <w:rFonts w:hint="default" w:ascii="Times New Roman" w:hAnsi="Times New Roman" w:eastAsia="仿宋" w:cs="Times New Roman"/>
                <w:color w:val="000000"/>
                <w:sz w:val="18"/>
                <w:szCs w:val="18"/>
                <w:highlight w:val="none"/>
                <w:vertAlign w:val="superscript"/>
                <w:lang w:val="en-US" w:eastAsia="zh-CN" w:bidi="ar"/>
              </w:rPr>
              <w:t>3</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台班</w:t>
            </w:r>
          </w:p>
        </w:tc>
        <w:tc>
          <w:tcPr>
            <w:tcW w:w="12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0.22 </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751.06 </w:t>
            </w:r>
          </w:p>
        </w:tc>
        <w:tc>
          <w:tcPr>
            <w:tcW w:w="1455"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165.23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exact"/>
        </w:trPr>
        <w:tc>
          <w:tcPr>
            <w:tcW w:w="1116"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推土机59kw</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台班</w:t>
            </w:r>
          </w:p>
        </w:tc>
        <w:tc>
          <w:tcPr>
            <w:tcW w:w="12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0.16 </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388.76 </w:t>
            </w:r>
          </w:p>
        </w:tc>
        <w:tc>
          <w:tcPr>
            <w:tcW w:w="1455"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62.20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exact"/>
        </w:trPr>
        <w:tc>
          <w:tcPr>
            <w:tcW w:w="1116"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自卸汽车8t</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台班</w:t>
            </w:r>
          </w:p>
        </w:tc>
        <w:tc>
          <w:tcPr>
            <w:tcW w:w="12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1.90 </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519.67 </w:t>
            </w:r>
          </w:p>
        </w:tc>
        <w:tc>
          <w:tcPr>
            <w:tcW w:w="1455"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987.38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exact"/>
        </w:trPr>
        <w:tc>
          <w:tcPr>
            <w:tcW w:w="1116"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其他费用</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w:t>
            </w:r>
          </w:p>
        </w:tc>
        <w:tc>
          <w:tcPr>
            <w:tcW w:w="12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2.30 </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1214.81 </w:t>
            </w:r>
          </w:p>
        </w:tc>
        <w:tc>
          <w:tcPr>
            <w:tcW w:w="1455"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27.94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exact"/>
        </w:trPr>
        <w:tc>
          <w:tcPr>
            <w:tcW w:w="1116"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（二）</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措施费</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w:t>
            </w:r>
          </w:p>
        </w:tc>
        <w:tc>
          <w:tcPr>
            <w:tcW w:w="12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3.60 </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1293.37 </w:t>
            </w:r>
          </w:p>
        </w:tc>
        <w:tc>
          <w:tcPr>
            <w:tcW w:w="1455"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46.56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exact"/>
        </w:trPr>
        <w:tc>
          <w:tcPr>
            <w:tcW w:w="1116"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二</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间接费</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w:t>
            </w:r>
          </w:p>
        </w:tc>
        <w:tc>
          <w:tcPr>
            <w:tcW w:w="12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5.00 </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1339.93 </w:t>
            </w:r>
          </w:p>
        </w:tc>
        <w:tc>
          <w:tcPr>
            <w:tcW w:w="1455"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67.00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exact"/>
        </w:trPr>
        <w:tc>
          <w:tcPr>
            <w:tcW w:w="1116"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三</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利润</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w:t>
            </w:r>
          </w:p>
        </w:tc>
        <w:tc>
          <w:tcPr>
            <w:tcW w:w="12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3.00 </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1406.93 </w:t>
            </w:r>
          </w:p>
        </w:tc>
        <w:tc>
          <w:tcPr>
            <w:tcW w:w="1455"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42.21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exact"/>
        </w:trPr>
        <w:tc>
          <w:tcPr>
            <w:tcW w:w="1116"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四</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材料价差</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2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455"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381.30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exact"/>
        </w:trPr>
        <w:tc>
          <w:tcPr>
            <w:tcW w:w="1116" w:type="dxa"/>
            <w:tcBorders>
              <w:top w:val="single" w:color="000000" w:sz="4" w:space="0"/>
              <w:left w:val="single" w:color="000000" w:sz="12" w:space="0"/>
              <w:bottom w:val="single" w:color="000000" w:sz="4" w:space="0"/>
              <w:right w:val="single" w:color="000000" w:sz="4" w:space="0"/>
            </w:tcBorders>
            <w:shd w:val="clear" w:color="auto" w:fill="auto"/>
            <w:noWrap/>
            <w:vAlign w:val="bottom"/>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柴油</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kg</w:t>
            </w:r>
          </w:p>
        </w:tc>
        <w:tc>
          <w:tcPr>
            <w:tcW w:w="12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96.98 </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3.93 </w:t>
            </w:r>
          </w:p>
        </w:tc>
        <w:tc>
          <w:tcPr>
            <w:tcW w:w="1455"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381.30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exact"/>
        </w:trPr>
        <w:tc>
          <w:tcPr>
            <w:tcW w:w="1116" w:type="dxa"/>
            <w:tcBorders>
              <w:top w:val="single" w:color="000000" w:sz="4" w:space="0"/>
              <w:left w:val="single" w:color="000000" w:sz="12"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五</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税金</w:t>
            </w:r>
          </w:p>
        </w:tc>
        <w:tc>
          <w:tcPr>
            <w:tcW w:w="10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w:t>
            </w:r>
          </w:p>
        </w:tc>
        <w:tc>
          <w:tcPr>
            <w:tcW w:w="12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9.00 </w:t>
            </w:r>
          </w:p>
        </w:tc>
        <w:tc>
          <w:tcPr>
            <w:tcW w:w="13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1830.44 </w:t>
            </w:r>
          </w:p>
        </w:tc>
        <w:tc>
          <w:tcPr>
            <w:tcW w:w="1455"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164.74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3" w:hRule="exact"/>
        </w:trPr>
        <w:tc>
          <w:tcPr>
            <w:tcW w:w="3312" w:type="dxa"/>
            <w:gridSpan w:val="2"/>
            <w:tcBorders>
              <w:top w:val="single" w:color="000000" w:sz="4" w:space="0"/>
              <w:left w:val="single" w:color="000000" w:sz="12" w:space="0"/>
              <w:bottom w:val="single" w:color="000000" w:sz="12"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default" w:ascii="Times New Roman" w:hAnsi="Times New Roman" w:eastAsia="仿宋" w:cs="Times New Roman"/>
                <w:color w:val="000000"/>
                <w:sz w:val="18"/>
                <w:szCs w:val="18"/>
                <w:highlight w:val="none"/>
                <w:lang w:val="en-US" w:eastAsia="zh-CN" w:bidi="ar"/>
              </w:rPr>
              <w:t>合计</w:t>
            </w:r>
          </w:p>
        </w:tc>
        <w:tc>
          <w:tcPr>
            <w:tcW w:w="1085" w:type="dxa"/>
            <w:tcBorders>
              <w:top w:val="single" w:color="000000" w:sz="4" w:space="0"/>
              <w:left w:val="single" w:color="000000" w:sz="4" w:space="0"/>
              <w:bottom w:val="single" w:color="000000" w:sz="12"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279" w:type="dxa"/>
            <w:tcBorders>
              <w:top w:val="single" w:color="000000" w:sz="4" w:space="0"/>
              <w:left w:val="single" w:color="000000" w:sz="4" w:space="0"/>
              <w:bottom w:val="single" w:color="000000" w:sz="12"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391" w:type="dxa"/>
            <w:tcBorders>
              <w:top w:val="single" w:color="000000" w:sz="4" w:space="0"/>
              <w:left w:val="single" w:color="000000" w:sz="4" w:space="0"/>
              <w:bottom w:val="single" w:color="000000" w:sz="12"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p>
        </w:tc>
        <w:tc>
          <w:tcPr>
            <w:tcW w:w="1455" w:type="dxa"/>
            <w:tcBorders>
              <w:top w:val="single" w:color="000000" w:sz="4" w:space="0"/>
              <w:left w:val="single" w:color="000000" w:sz="4" w:space="0"/>
              <w:bottom w:val="single" w:color="000000" w:sz="12" w:space="0"/>
              <w:right w:val="single" w:color="000000" w:sz="12" w:space="0"/>
            </w:tcBorders>
            <w:shd w:val="clear" w:color="auto" w:fill="auto"/>
            <w:noWrap/>
            <w:vAlign w:val="center"/>
          </w:tcPr>
          <w:p>
            <w:pPr>
              <w:widowControl/>
              <w:spacing w:line="240" w:lineRule="auto"/>
              <w:ind w:firstLine="0" w:firstLineChars="0"/>
              <w:jc w:val="center"/>
              <w:textAlignment w:val="center"/>
              <w:rPr>
                <w:rFonts w:hint="default" w:ascii="Times New Roman" w:hAnsi="Times New Roman" w:eastAsia="仿宋" w:cs="Times New Roman"/>
                <w:color w:val="000000"/>
                <w:sz w:val="18"/>
                <w:szCs w:val="18"/>
                <w:highlight w:val="none"/>
                <w:lang w:val="en-US" w:eastAsia="zh-CN" w:bidi="ar"/>
              </w:rPr>
            </w:pPr>
            <w:r>
              <w:rPr>
                <w:rFonts w:hint="eastAsia" w:ascii="Times New Roman" w:hAnsi="Times New Roman" w:eastAsia="仿宋" w:cs="Times New Roman"/>
                <w:color w:val="000000"/>
                <w:sz w:val="18"/>
                <w:szCs w:val="18"/>
                <w:highlight w:val="none"/>
                <w:lang w:val="en-US" w:eastAsia="zh-CN" w:bidi="ar"/>
              </w:rPr>
              <w:t xml:space="preserve">1995.18 </w:t>
            </w:r>
          </w:p>
        </w:tc>
      </w:tr>
    </w:tbl>
    <w:p>
      <w:pPr>
        <w:ind w:firstLine="480"/>
        <w:rPr>
          <w:rFonts w:hint="default" w:ascii="Times New Roman" w:hAnsi="Times New Roman" w:cs="Times New Roman"/>
          <w:highlight w:val="none"/>
        </w:rPr>
      </w:pPr>
    </w:p>
    <w:p>
      <w:pPr>
        <w:rPr>
          <w:color w:val="auto"/>
          <w:highlight w:val="none"/>
        </w:rPr>
      </w:pPr>
      <w:bookmarkStart w:id="191" w:name="_Toc5657"/>
      <w:r>
        <w:rPr>
          <w:color w:val="auto"/>
          <w:highlight w:val="none"/>
        </w:rPr>
        <w:br w:type="page"/>
      </w:r>
    </w:p>
    <w:p>
      <w:pPr>
        <w:pStyle w:val="3"/>
        <w:shd w:val="clear"/>
        <w:rPr>
          <w:rFonts w:hint="eastAsia" w:cs="Times New Roman"/>
          <w:color w:val="auto"/>
          <w:highlight w:val="none"/>
          <w:lang w:val="en-US" w:eastAsia="zh-CN"/>
        </w:rPr>
      </w:pPr>
      <w:bookmarkStart w:id="192" w:name="_Toc11489"/>
      <w:r>
        <w:rPr>
          <w:rFonts w:hint="eastAsia" w:cs="Times New Roman"/>
          <w:color w:val="auto"/>
          <w:highlight w:val="none"/>
          <w:lang w:val="en-US" w:eastAsia="zh-CN"/>
        </w:rPr>
        <w:t>8土地复垦服务年限与复垦工作计划安排</w:t>
      </w:r>
      <w:bookmarkEnd w:id="191"/>
      <w:bookmarkEnd w:id="192"/>
    </w:p>
    <w:p>
      <w:pPr>
        <w:pStyle w:val="4"/>
        <w:keepNext/>
        <w:keepLines/>
        <w:pageBreakBefore w:val="0"/>
        <w:widowControl w:val="0"/>
        <w:shd w:val="clear"/>
        <w:kinsoku/>
        <w:wordWrap/>
        <w:overflowPunct/>
        <w:topLinePunct w:val="0"/>
        <w:autoSpaceDE/>
        <w:autoSpaceDN/>
        <w:bidi w:val="0"/>
        <w:adjustRightInd/>
        <w:snapToGrid/>
        <w:spacing w:before="0" w:after="0" w:line="360" w:lineRule="auto"/>
        <w:textAlignment w:val="auto"/>
        <w:rPr>
          <w:rFonts w:hint="eastAsia" w:cs="Times New Roman"/>
          <w:color w:val="auto"/>
          <w:highlight w:val="none"/>
          <w:lang w:val="en-US" w:eastAsia="zh-CN"/>
        </w:rPr>
      </w:pPr>
      <w:bookmarkStart w:id="193" w:name="_Toc31397"/>
      <w:bookmarkStart w:id="194" w:name="_Toc12809"/>
      <w:r>
        <w:rPr>
          <w:rFonts w:hint="eastAsia" w:cs="Times New Roman"/>
          <w:color w:val="auto"/>
          <w:highlight w:val="none"/>
          <w:lang w:val="en-US" w:eastAsia="zh-CN"/>
        </w:rPr>
        <w:t>8.1土地复垦服务年限</w:t>
      </w:r>
      <w:bookmarkEnd w:id="193"/>
      <w:bookmarkEnd w:id="194"/>
    </w:p>
    <w:p>
      <w:pPr>
        <w:shd w:val="clear"/>
        <w:spacing w:line="360" w:lineRule="auto"/>
        <w:ind w:firstLine="480" w:firstLineChars="200"/>
        <w:rPr>
          <w:rFonts w:hint="eastAsia" w:ascii="Times New Roman" w:hAnsi="Times New Roman" w:eastAsia="仿宋_GB2312" w:cs="Times New Roman"/>
          <w:color w:val="auto"/>
          <w:sz w:val="24"/>
          <w:szCs w:val="24"/>
          <w:highlight w:val="yellow"/>
          <w:lang w:eastAsia="zh-CN"/>
        </w:rPr>
      </w:pPr>
      <w:bookmarkStart w:id="195" w:name="_Toc53593091"/>
      <w:bookmarkStart w:id="196" w:name="_Toc53225620"/>
      <w:bookmarkStart w:id="197" w:name="_Toc53225501"/>
      <w:r>
        <w:rPr>
          <w:rFonts w:hint="default" w:ascii="Times New Roman" w:hAnsi="Times New Roman" w:eastAsia="仿宋" w:cs="Times New Roman"/>
          <w:color w:val="auto"/>
          <w:sz w:val="24"/>
          <w:szCs w:val="24"/>
          <w:highlight w:val="none"/>
          <w:lang w:val="en-US" w:eastAsia="zh-CN"/>
        </w:rPr>
        <w:t>项目于2023年8月-2025年8月建设，建设工期2年，工程建设期内采取边施工边复垦方式完成所有临时用地复垦工作，加之复垦工作存在一定的滞后性，将复垦施工期确定为工程建设期后1个月，故复垦施工期为2023年8月至2025年9月。</w:t>
      </w:r>
      <w:r>
        <w:rPr>
          <w:rFonts w:hint="eastAsia" w:ascii="Times New Roman" w:hAnsi="Times New Roman" w:eastAsia="仿宋" w:cs="Times New Roman"/>
          <w:color w:val="auto"/>
          <w:sz w:val="24"/>
          <w:szCs w:val="24"/>
          <w:highlight w:val="none"/>
          <w:lang w:val="en-US" w:eastAsia="zh-CN"/>
        </w:rPr>
        <w:t>经调查，项目占用临时用地不需要后期管护</w:t>
      </w:r>
      <w:r>
        <w:rPr>
          <w:rFonts w:hint="default" w:ascii="Times New Roman" w:hAnsi="Times New Roman" w:eastAsia="仿宋" w:cs="Times New Roman"/>
          <w:color w:val="auto"/>
          <w:sz w:val="24"/>
          <w:szCs w:val="24"/>
          <w:highlight w:val="none"/>
          <w:lang w:val="en-US" w:eastAsia="zh-CN"/>
        </w:rPr>
        <w:t>，最终确定本复垦方案的服务年限为</w:t>
      </w:r>
      <w:r>
        <w:rPr>
          <w:rFonts w:hint="eastAsia" w:ascii="Times New Roman" w:hAnsi="Times New Roman" w:eastAsia="仿宋" w:cs="Times New Roman"/>
          <w:color w:val="auto"/>
          <w:sz w:val="24"/>
          <w:szCs w:val="24"/>
          <w:highlight w:val="none"/>
          <w:lang w:val="en-US" w:eastAsia="zh-CN"/>
        </w:rPr>
        <w:t>2023年8月-2025年9月</w:t>
      </w:r>
      <w:r>
        <w:rPr>
          <w:rFonts w:hint="default" w:ascii="Times New Roman" w:hAnsi="Times New Roman" w:eastAsia="仿宋" w:cs="Times New Roman"/>
          <w:color w:val="auto"/>
          <w:sz w:val="24"/>
          <w:szCs w:val="24"/>
          <w:highlight w:val="none"/>
          <w:lang w:val="en-US" w:eastAsia="zh-CN"/>
        </w:rPr>
        <w:t>，服务期限为</w:t>
      </w:r>
      <w:r>
        <w:rPr>
          <w:rFonts w:hint="eastAsia" w:ascii="Times New Roman" w:hAnsi="Times New Roman" w:eastAsia="仿宋" w:cs="Times New Roman"/>
          <w:color w:val="auto"/>
          <w:sz w:val="24"/>
          <w:szCs w:val="24"/>
          <w:highlight w:val="none"/>
          <w:lang w:val="en-US" w:eastAsia="zh-CN"/>
        </w:rPr>
        <w:t>25个月</w:t>
      </w:r>
      <w:r>
        <w:rPr>
          <w:rFonts w:hint="default" w:ascii="Times New Roman" w:hAnsi="Times New Roman" w:eastAsia="仿宋" w:cs="Times New Roman"/>
          <w:color w:val="auto"/>
          <w:sz w:val="24"/>
          <w:szCs w:val="24"/>
          <w:highlight w:val="none"/>
          <w:lang w:val="en-US" w:eastAsia="zh-CN"/>
        </w:rPr>
        <w:t>。若出现特殊情况项目提前或延后完工，复垦方案的服务年限随之提前或延后。</w:t>
      </w:r>
    </w:p>
    <w:p>
      <w:pPr>
        <w:pStyle w:val="4"/>
        <w:keepNext/>
        <w:keepLines/>
        <w:pageBreakBefore w:val="0"/>
        <w:widowControl w:val="0"/>
        <w:shd w:val="clear"/>
        <w:kinsoku/>
        <w:wordWrap/>
        <w:overflowPunct/>
        <w:topLinePunct w:val="0"/>
        <w:autoSpaceDE/>
        <w:autoSpaceDN/>
        <w:bidi w:val="0"/>
        <w:adjustRightInd/>
        <w:snapToGrid/>
        <w:spacing w:before="0" w:after="0" w:line="360" w:lineRule="auto"/>
        <w:textAlignment w:val="auto"/>
        <w:rPr>
          <w:rFonts w:hint="eastAsia" w:cs="Times New Roman"/>
          <w:color w:val="auto"/>
          <w:highlight w:val="none"/>
          <w:lang w:val="en-US" w:eastAsia="zh-CN"/>
        </w:rPr>
      </w:pPr>
      <w:bookmarkStart w:id="198" w:name="_Toc18270"/>
      <w:bookmarkStart w:id="199" w:name="_Toc32531"/>
      <w:r>
        <w:rPr>
          <w:rFonts w:hint="eastAsia" w:cs="Times New Roman"/>
          <w:color w:val="auto"/>
          <w:highlight w:val="none"/>
          <w:lang w:val="en-US" w:eastAsia="zh-CN"/>
        </w:rPr>
        <w:t>8.2土地复垦工作计划安排</w:t>
      </w:r>
      <w:bookmarkEnd w:id="195"/>
      <w:bookmarkEnd w:id="196"/>
      <w:bookmarkEnd w:id="197"/>
      <w:bookmarkEnd w:id="198"/>
      <w:bookmarkEnd w:id="199"/>
    </w:p>
    <w:p>
      <w:pPr>
        <w:pStyle w:val="5"/>
        <w:keepNext w:val="0"/>
        <w:keepLines w:val="0"/>
        <w:tabs>
          <w:tab w:val="left" w:pos="426"/>
        </w:tabs>
        <w:adjustRightInd w:val="0"/>
        <w:snapToGrid w:val="0"/>
        <w:spacing w:before="0" w:after="0" w:line="360" w:lineRule="auto"/>
        <w:ind w:firstLine="482" w:firstLineChars="200"/>
        <w:textAlignment w:val="baseline"/>
        <w:rPr>
          <w:rFonts w:hint="default" w:ascii="Times New Roman" w:hAnsi="Times New Roman" w:cs="Times New Roman"/>
          <w:b/>
          <w:bCs w:val="0"/>
          <w:kern w:val="0"/>
          <w:szCs w:val="28"/>
          <w:highlight w:val="none"/>
          <w:lang w:val="en-US" w:eastAsia="zh-CN"/>
        </w:rPr>
      </w:pPr>
      <w:bookmarkStart w:id="200" w:name="_Toc10356"/>
      <w:bookmarkStart w:id="201" w:name="_Toc906"/>
      <w:r>
        <w:rPr>
          <w:rFonts w:hint="default" w:ascii="Times New Roman" w:hAnsi="Times New Roman" w:cs="Times New Roman"/>
          <w:b/>
          <w:bCs w:val="0"/>
          <w:kern w:val="0"/>
          <w:szCs w:val="28"/>
          <w:highlight w:val="none"/>
          <w:lang w:val="en-US" w:eastAsia="zh-CN"/>
        </w:rPr>
        <w:t>8.2.1土地复垦总体安排</w:t>
      </w:r>
      <w:bookmarkEnd w:id="200"/>
      <w:bookmarkEnd w:id="201"/>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根据</w:t>
      </w:r>
      <w:r>
        <w:rPr>
          <w:rFonts w:hint="eastAsia" w:ascii="Times New Roman" w:hAnsi="Times New Roman" w:eastAsia="仿宋" w:cs="Times New Roman"/>
          <w:color w:val="auto"/>
          <w:sz w:val="24"/>
          <w:szCs w:val="24"/>
          <w:highlight w:val="none"/>
          <w:lang w:val="en-US" w:eastAsia="zh-CN"/>
        </w:rPr>
        <w:t>G219线岳普湖-英吉沙公路建设项目</w:t>
      </w:r>
      <w:r>
        <w:rPr>
          <w:rFonts w:hint="default" w:ascii="Times New Roman" w:hAnsi="Times New Roman" w:eastAsia="仿宋" w:cs="Times New Roman"/>
          <w:color w:val="auto"/>
          <w:sz w:val="24"/>
          <w:szCs w:val="24"/>
          <w:highlight w:val="none"/>
          <w:lang w:val="en-US" w:eastAsia="zh-CN"/>
        </w:rPr>
        <w:t>的施工工艺、工程进度及临时用地损毁的阶段性和区位性特点，制定土地复垦工作计划，以确保尽早及时</w:t>
      </w:r>
      <w:r>
        <w:rPr>
          <w:rFonts w:hint="eastAsia" w:ascii="Times New Roman" w:hAnsi="Times New Roman" w:eastAsia="仿宋" w:cs="Times New Roman"/>
          <w:color w:val="auto"/>
          <w:sz w:val="24"/>
          <w:szCs w:val="24"/>
          <w:highlight w:val="none"/>
          <w:lang w:val="en-US" w:eastAsia="zh-CN"/>
        </w:rPr>
        <w:t>地</w:t>
      </w:r>
      <w:r>
        <w:rPr>
          <w:rFonts w:hint="default" w:ascii="Times New Roman" w:hAnsi="Times New Roman" w:eastAsia="仿宋" w:cs="Times New Roman"/>
          <w:color w:val="auto"/>
          <w:sz w:val="24"/>
          <w:szCs w:val="24"/>
          <w:highlight w:val="none"/>
          <w:lang w:val="en-US" w:eastAsia="zh-CN"/>
        </w:rPr>
        <w:t>复垦被损毁土地，土地复垦工作计划安排如下：</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a）土地复垦位置、目标及任务</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本方案土地复垦位置为</w:t>
      </w:r>
      <w:r>
        <w:rPr>
          <w:rFonts w:hint="eastAsia" w:ascii="Times New Roman" w:hAnsi="Times New Roman" w:eastAsia="仿宋" w:cs="Times New Roman"/>
          <w:color w:val="auto"/>
          <w:sz w:val="24"/>
          <w:szCs w:val="24"/>
          <w:highlight w:val="none"/>
          <w:lang w:val="en-US" w:eastAsia="zh-CN"/>
        </w:rPr>
        <w:t>施工便道1处，</w:t>
      </w:r>
      <w:r>
        <w:rPr>
          <w:rFonts w:hint="default" w:ascii="Times New Roman" w:hAnsi="Times New Roman" w:eastAsia="仿宋" w:cs="Times New Roman"/>
          <w:color w:val="auto"/>
          <w:sz w:val="24"/>
          <w:szCs w:val="24"/>
          <w:highlight w:val="none"/>
          <w:lang w:val="en-US" w:eastAsia="zh-CN"/>
        </w:rPr>
        <w:t>土地复垦目标为</w:t>
      </w:r>
      <w:r>
        <w:rPr>
          <w:rFonts w:hint="eastAsia" w:ascii="Times New Roman" w:hAnsi="Times New Roman" w:eastAsia="仿宋" w:cs="Times New Roman"/>
          <w:color w:val="auto"/>
          <w:sz w:val="24"/>
          <w:szCs w:val="24"/>
          <w:highlight w:val="none"/>
          <w:lang w:val="en-US" w:eastAsia="zh-CN"/>
        </w:rPr>
        <w:t>2.4296公顷</w:t>
      </w:r>
      <w:r>
        <w:rPr>
          <w:rFonts w:hint="default" w:ascii="Times New Roman" w:hAnsi="Times New Roman" w:eastAsia="仿宋" w:cs="Times New Roman"/>
          <w:color w:val="auto"/>
          <w:sz w:val="24"/>
          <w:szCs w:val="24"/>
          <w:highlight w:val="none"/>
          <w:lang w:val="en-US" w:eastAsia="zh-CN"/>
        </w:rPr>
        <w:t>。</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b）主要措施和分部工程量</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本方案采取的复垦措施主要有</w:t>
      </w:r>
      <w:r>
        <w:rPr>
          <w:rFonts w:hint="eastAsia" w:ascii="Times New Roman" w:hAnsi="Times New Roman" w:eastAsia="仿宋" w:cs="Times New Roman"/>
          <w:color w:val="auto"/>
          <w:sz w:val="24"/>
          <w:szCs w:val="24"/>
          <w:highlight w:val="none"/>
          <w:lang w:val="en-US" w:eastAsia="zh-CN"/>
        </w:rPr>
        <w:t>地表固化物的清理、垃圾清运和土地平整</w:t>
      </w:r>
      <w:r>
        <w:rPr>
          <w:rFonts w:hint="default" w:ascii="Times New Roman" w:hAnsi="Times New Roman" w:eastAsia="仿宋" w:cs="Times New Roman"/>
          <w:color w:val="auto"/>
          <w:sz w:val="24"/>
          <w:szCs w:val="24"/>
          <w:highlight w:val="none"/>
          <w:lang w:val="en-US" w:eastAsia="zh-CN"/>
        </w:rPr>
        <w:t>。</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c）土地复垦投资估算</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根据工程量测算和统计结果，估算出复垦总投资及各复垦单元的投资。</w:t>
      </w:r>
    </w:p>
    <w:p>
      <w:pPr>
        <w:pStyle w:val="5"/>
        <w:keepNext w:val="0"/>
        <w:keepLines w:val="0"/>
        <w:tabs>
          <w:tab w:val="left" w:pos="426"/>
        </w:tabs>
        <w:adjustRightInd w:val="0"/>
        <w:snapToGrid w:val="0"/>
        <w:spacing w:before="0" w:after="0" w:line="360" w:lineRule="auto"/>
        <w:ind w:firstLine="482" w:firstLineChars="200"/>
        <w:textAlignment w:val="baseline"/>
        <w:rPr>
          <w:rFonts w:hint="default" w:ascii="Times New Roman" w:hAnsi="Times New Roman" w:cs="Times New Roman"/>
          <w:b/>
          <w:bCs w:val="0"/>
          <w:kern w:val="0"/>
          <w:szCs w:val="28"/>
          <w:highlight w:val="none"/>
          <w:lang w:val="en-US" w:eastAsia="zh-CN"/>
        </w:rPr>
      </w:pPr>
      <w:bookmarkStart w:id="202" w:name="_Toc6515"/>
      <w:bookmarkStart w:id="203" w:name="_Toc28688"/>
      <w:r>
        <w:rPr>
          <w:rFonts w:hint="default" w:ascii="Times New Roman" w:hAnsi="Times New Roman" w:cs="Times New Roman"/>
          <w:b/>
          <w:bCs w:val="0"/>
          <w:kern w:val="0"/>
          <w:szCs w:val="28"/>
          <w:highlight w:val="none"/>
          <w:lang w:val="en-US" w:eastAsia="zh-CN"/>
        </w:rPr>
        <w:t>8.2.2年度土地复垦实施计划</w:t>
      </w:r>
      <w:bookmarkEnd w:id="202"/>
      <w:bookmarkEnd w:id="203"/>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本项目复垦责任范围内所有临时用地全为</w:t>
      </w:r>
      <w:r>
        <w:rPr>
          <w:rFonts w:hint="eastAsia" w:ascii="Times New Roman" w:hAnsi="Times New Roman" w:eastAsia="仿宋" w:cs="Times New Roman"/>
          <w:color w:val="auto"/>
          <w:sz w:val="24"/>
          <w:szCs w:val="24"/>
          <w:highlight w:val="none"/>
          <w:lang w:val="en-US" w:eastAsia="zh-CN"/>
        </w:rPr>
        <w:t>已损毁</w:t>
      </w:r>
      <w:r>
        <w:rPr>
          <w:rFonts w:hint="default" w:ascii="Times New Roman" w:hAnsi="Times New Roman" w:eastAsia="仿宋" w:cs="Times New Roman"/>
          <w:color w:val="auto"/>
          <w:sz w:val="24"/>
          <w:szCs w:val="24"/>
          <w:highlight w:val="none"/>
          <w:lang w:val="en-US" w:eastAsia="zh-CN"/>
        </w:rPr>
        <w:t>土地。本方案遵循“统一规划、源头控制、防复结合”的原则，根据工程施工工艺、工程进度计划及临时用地对土地损毁的阶段性和区位性特点，结合项目投资性研究报告中的施工组织安排，制定土地复垦进度计划安排表以及复垦静动态投资，明确不同阶段土地复垦应采取的工程措施以及资金需求。为建设单位顺利开展建设临时用地复垦工作提供指引。</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综上，本方案确定土地复垦进度具体可划分为以下三个阶段：</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第一阶段（</w:t>
      </w:r>
      <w:r>
        <w:rPr>
          <w:rFonts w:hint="eastAsia" w:ascii="Times New Roman" w:hAnsi="Times New Roman" w:eastAsia="仿宋" w:cs="Times New Roman"/>
          <w:color w:val="auto"/>
          <w:sz w:val="24"/>
          <w:szCs w:val="24"/>
          <w:highlight w:val="none"/>
          <w:lang w:val="en-US" w:eastAsia="zh-CN"/>
        </w:rPr>
        <w:t>2023年8月-2025年8月</w:t>
      </w:r>
      <w:r>
        <w:rPr>
          <w:rFonts w:hint="default" w:ascii="Times New Roman" w:hAnsi="Times New Roman" w:eastAsia="仿宋" w:cs="Times New Roman"/>
          <w:color w:val="auto"/>
          <w:sz w:val="24"/>
          <w:szCs w:val="24"/>
          <w:highlight w:val="none"/>
          <w:lang w:val="en-US" w:eastAsia="zh-CN"/>
        </w:rPr>
        <w:t>）在此期间主要目标为</w:t>
      </w:r>
      <w:r>
        <w:rPr>
          <w:rFonts w:hint="eastAsia" w:ascii="Times New Roman" w:hAnsi="Times New Roman" w:eastAsia="仿宋" w:cs="Times New Roman"/>
          <w:color w:val="auto"/>
          <w:sz w:val="24"/>
          <w:szCs w:val="24"/>
          <w:highlight w:val="none"/>
          <w:lang w:val="en-US" w:eastAsia="zh-CN"/>
        </w:rPr>
        <w:t>施工便道</w:t>
      </w:r>
      <w:r>
        <w:rPr>
          <w:rFonts w:hint="default" w:ascii="Times New Roman" w:hAnsi="Times New Roman" w:eastAsia="仿宋" w:cs="Times New Roman"/>
          <w:color w:val="auto"/>
          <w:sz w:val="24"/>
          <w:szCs w:val="24"/>
          <w:highlight w:val="none"/>
          <w:lang w:val="en-US" w:eastAsia="zh-CN"/>
        </w:rPr>
        <w:t>原始地貌监测、损毁情况监测，监测临时用地使用过程中是否加深了土地损毁程度，采取相关的预防控制措施，加强管理，严格按照设计施工，避免造成新的土地损毁。</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第二阶段（</w:t>
      </w:r>
      <w:r>
        <w:rPr>
          <w:rFonts w:hint="eastAsia" w:ascii="Times New Roman" w:hAnsi="Times New Roman" w:eastAsia="仿宋" w:cs="Times New Roman"/>
          <w:color w:val="auto"/>
          <w:sz w:val="24"/>
          <w:szCs w:val="24"/>
          <w:highlight w:val="none"/>
          <w:lang w:val="en-US" w:eastAsia="zh-CN"/>
        </w:rPr>
        <w:t>2025年8月-2025年9月</w:t>
      </w:r>
      <w:r>
        <w:rPr>
          <w:rFonts w:hint="default" w:ascii="Times New Roman" w:hAnsi="Times New Roman" w:eastAsia="仿宋" w:cs="Times New Roman"/>
          <w:color w:val="auto"/>
          <w:sz w:val="24"/>
          <w:szCs w:val="24"/>
          <w:highlight w:val="none"/>
          <w:lang w:val="en-US" w:eastAsia="zh-CN"/>
        </w:rPr>
        <w:t>）主要进行土地复垦施工，包括</w:t>
      </w:r>
      <w:r>
        <w:rPr>
          <w:rFonts w:hint="eastAsia" w:ascii="Times New Roman" w:hAnsi="Times New Roman" w:eastAsia="仿宋" w:cs="Times New Roman"/>
          <w:color w:val="auto"/>
          <w:sz w:val="24"/>
          <w:szCs w:val="24"/>
          <w:highlight w:val="none"/>
          <w:lang w:val="en-US" w:eastAsia="zh-CN"/>
        </w:rPr>
        <w:t>施工便道地表固化物的清理、垃圾清运和土地平整</w:t>
      </w:r>
      <w:r>
        <w:rPr>
          <w:rFonts w:hint="default" w:ascii="Times New Roman" w:hAnsi="Times New Roman" w:eastAsia="仿宋" w:cs="Times New Roman"/>
          <w:color w:val="auto"/>
          <w:sz w:val="24"/>
          <w:szCs w:val="24"/>
          <w:highlight w:val="none"/>
          <w:lang w:val="en-US" w:eastAsia="zh-CN"/>
        </w:rPr>
        <w:t>。</w:t>
      </w:r>
    </w:p>
    <w:p>
      <w:pPr>
        <w:shd w:val="clear"/>
        <w:spacing w:line="360" w:lineRule="auto"/>
        <w:ind w:firstLine="480" w:firstLineChars="200"/>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 w:cs="Times New Roman"/>
          <w:color w:val="auto"/>
          <w:sz w:val="24"/>
          <w:szCs w:val="24"/>
          <w:highlight w:val="none"/>
          <w:lang w:val="en-US" w:eastAsia="zh-CN"/>
        </w:rPr>
        <w:t>第三阶段（</w:t>
      </w:r>
      <w:r>
        <w:rPr>
          <w:rFonts w:hint="eastAsia" w:ascii="Times New Roman" w:hAnsi="Times New Roman" w:eastAsia="仿宋" w:cs="Times New Roman"/>
          <w:color w:val="auto"/>
          <w:sz w:val="24"/>
          <w:szCs w:val="24"/>
          <w:highlight w:val="none"/>
          <w:lang w:val="en-US" w:eastAsia="zh-CN"/>
        </w:rPr>
        <w:t>2025年9月</w:t>
      </w:r>
      <w:r>
        <w:rPr>
          <w:rFonts w:hint="default" w:ascii="Times New Roman" w:hAnsi="Times New Roman" w:eastAsia="仿宋" w:cs="Times New Roman"/>
          <w:color w:val="auto"/>
          <w:sz w:val="24"/>
          <w:szCs w:val="24"/>
          <w:highlight w:val="none"/>
          <w:lang w:val="en-US" w:eastAsia="zh-CN"/>
        </w:rPr>
        <w:t>）为土地复垦完成后竣工验收期。</w:t>
      </w:r>
    </w:p>
    <w:p>
      <w:pPr>
        <w:pStyle w:val="43"/>
        <w:ind w:firstLine="420"/>
        <w:rPr>
          <w:rFonts w:ascii="Times New Roman" w:hAnsi="Times New Roman" w:cs="Times New Roman"/>
          <w:color w:val="auto"/>
          <w:highlight w:val="none"/>
        </w:rPr>
      </w:pPr>
      <w:r>
        <w:rPr>
          <w:rFonts w:ascii="Times New Roman" w:hAnsi="Times New Roman" w:cs="Times New Roman"/>
          <w:color w:val="auto"/>
          <w:highlight w:val="none"/>
        </w:rPr>
        <w:t xml:space="preserve">表8-1 </w:t>
      </w:r>
      <w:r>
        <w:rPr>
          <w:rFonts w:hint="eastAsia" w:ascii="Times New Roman" w:hAnsi="Times New Roman" w:cs="Times New Roman"/>
          <w:color w:val="auto"/>
          <w:highlight w:val="none"/>
        </w:rPr>
        <w:t xml:space="preserve"> </w:t>
      </w:r>
      <w:r>
        <w:rPr>
          <w:rFonts w:ascii="Times New Roman" w:hAnsi="Times New Roman" w:cs="Times New Roman"/>
          <w:color w:val="auto"/>
          <w:highlight w:val="none"/>
        </w:rPr>
        <w:t>土地复垦实施计划表</w:t>
      </w:r>
    </w:p>
    <w:tbl>
      <w:tblPr>
        <w:tblStyle w:val="22"/>
        <w:tblW w:w="8420"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88"/>
        <w:gridCol w:w="1673"/>
        <w:gridCol w:w="2239"/>
        <w:gridCol w:w="1419"/>
        <w:gridCol w:w="190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1188" w:type="dxa"/>
            <w:tcBorders>
              <w:tl2br w:val="nil"/>
              <w:tr2bl w:val="nil"/>
            </w:tcBorders>
            <w:shd w:val="clear" w:color="auto" w:fill="auto"/>
            <w:vAlign w:val="center"/>
          </w:tcPr>
          <w:p>
            <w:pPr>
              <w:pStyle w:val="40"/>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复垦阶段</w:t>
            </w:r>
          </w:p>
        </w:tc>
        <w:tc>
          <w:tcPr>
            <w:tcW w:w="1673" w:type="dxa"/>
            <w:tcBorders>
              <w:tl2br w:val="nil"/>
              <w:tr2bl w:val="nil"/>
            </w:tcBorders>
            <w:shd w:val="clear" w:color="auto" w:fill="auto"/>
            <w:vAlign w:val="center"/>
          </w:tcPr>
          <w:p>
            <w:pPr>
              <w:pStyle w:val="40"/>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复垦单元</w:t>
            </w:r>
          </w:p>
        </w:tc>
        <w:tc>
          <w:tcPr>
            <w:tcW w:w="2239" w:type="dxa"/>
            <w:tcBorders>
              <w:tl2br w:val="nil"/>
              <w:tr2bl w:val="nil"/>
            </w:tcBorders>
            <w:shd w:val="clear" w:color="auto" w:fill="auto"/>
            <w:vAlign w:val="center"/>
          </w:tcPr>
          <w:p>
            <w:pPr>
              <w:pStyle w:val="40"/>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复垦年度</w:t>
            </w:r>
          </w:p>
        </w:tc>
        <w:tc>
          <w:tcPr>
            <w:tcW w:w="1419" w:type="dxa"/>
            <w:tcBorders>
              <w:tl2br w:val="nil"/>
              <w:tr2bl w:val="nil"/>
            </w:tcBorders>
            <w:shd w:val="clear" w:color="auto" w:fill="auto"/>
            <w:vAlign w:val="center"/>
          </w:tcPr>
          <w:p>
            <w:pPr>
              <w:pStyle w:val="40"/>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主要复垦措施</w:t>
            </w:r>
          </w:p>
        </w:tc>
        <w:tc>
          <w:tcPr>
            <w:tcW w:w="1901" w:type="dxa"/>
            <w:tcBorders>
              <w:tl2br w:val="nil"/>
              <w:tr2bl w:val="nil"/>
            </w:tcBorders>
            <w:shd w:val="clear" w:color="auto" w:fill="auto"/>
            <w:vAlign w:val="center"/>
          </w:tcPr>
          <w:p>
            <w:pPr>
              <w:pStyle w:val="40"/>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主要工作量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1188" w:type="dxa"/>
            <w:tcBorders>
              <w:tl2br w:val="nil"/>
              <w:tr2bl w:val="nil"/>
            </w:tcBorders>
            <w:shd w:val="clear" w:color="auto" w:fill="auto"/>
            <w:vAlign w:val="center"/>
          </w:tcPr>
          <w:p>
            <w:pPr>
              <w:pStyle w:val="40"/>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第一阶段</w:t>
            </w:r>
          </w:p>
        </w:tc>
        <w:tc>
          <w:tcPr>
            <w:tcW w:w="1673" w:type="dxa"/>
            <w:tcBorders>
              <w:tl2br w:val="nil"/>
              <w:tr2bl w:val="nil"/>
            </w:tcBorders>
            <w:shd w:val="clear" w:color="auto" w:fill="auto"/>
            <w:vAlign w:val="center"/>
          </w:tcPr>
          <w:p>
            <w:pPr>
              <w:pStyle w:val="40"/>
              <w:ind w:firstLine="0" w:firstLineChars="0"/>
              <w:rPr>
                <w:rFonts w:hint="default" w:ascii="Times New Roman" w:hAnsi="Times New Roman" w:eastAsia="仿宋_GB2312" w:cs="Times New Roman"/>
                <w:color w:val="auto"/>
                <w:highlight w:val="none"/>
                <w:lang w:eastAsia="zh-CN"/>
              </w:rPr>
            </w:pPr>
            <w:r>
              <w:rPr>
                <w:rFonts w:hint="default" w:ascii="Times New Roman" w:hAnsi="Times New Roman" w:cs="Times New Roman"/>
                <w:color w:val="auto"/>
                <w:highlight w:val="none"/>
                <w:lang w:eastAsia="zh-CN"/>
              </w:rPr>
              <w:t>施工便道</w:t>
            </w:r>
          </w:p>
        </w:tc>
        <w:tc>
          <w:tcPr>
            <w:tcW w:w="2239" w:type="dxa"/>
            <w:tcBorders>
              <w:tl2br w:val="nil"/>
              <w:tr2bl w:val="nil"/>
            </w:tcBorders>
            <w:shd w:val="clear" w:color="auto" w:fill="auto"/>
            <w:vAlign w:val="center"/>
          </w:tcPr>
          <w:p>
            <w:pPr>
              <w:pStyle w:val="40"/>
              <w:ind w:firstLine="0" w:firstLineChars="0"/>
              <w:rPr>
                <w:rFonts w:hint="default" w:ascii="Times New Roman" w:hAnsi="Times New Roman" w:eastAsia="仿宋_GB2312" w:cs="Times New Roman"/>
                <w:color w:val="auto"/>
                <w:highlight w:val="none"/>
                <w:lang w:eastAsia="zh-CN"/>
              </w:rPr>
            </w:pPr>
            <w:r>
              <w:rPr>
                <w:rFonts w:hint="default" w:ascii="Times New Roman" w:hAnsi="Times New Roman" w:cs="Times New Roman"/>
                <w:color w:val="auto"/>
                <w:highlight w:val="none"/>
                <w:lang w:eastAsia="zh-CN"/>
              </w:rPr>
              <w:t>2023年8月-2025年8月</w:t>
            </w:r>
          </w:p>
        </w:tc>
        <w:tc>
          <w:tcPr>
            <w:tcW w:w="1419" w:type="dxa"/>
            <w:tcBorders>
              <w:tl2br w:val="nil"/>
              <w:tr2bl w:val="nil"/>
            </w:tcBorders>
            <w:shd w:val="clear" w:color="auto" w:fill="FFFFFF"/>
            <w:noWrap/>
            <w:vAlign w:val="center"/>
          </w:tcPr>
          <w:p>
            <w:pPr>
              <w:pStyle w:val="40"/>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土地损毁监测</w:t>
            </w:r>
          </w:p>
        </w:tc>
        <w:tc>
          <w:tcPr>
            <w:tcW w:w="1901" w:type="dxa"/>
            <w:tcBorders>
              <w:tl2br w:val="nil"/>
              <w:tr2bl w:val="nil"/>
            </w:tcBorders>
            <w:shd w:val="clear" w:color="auto" w:fill="auto"/>
            <w:noWrap/>
            <w:vAlign w:val="center"/>
          </w:tcPr>
          <w:p>
            <w:pPr>
              <w:pStyle w:val="40"/>
              <w:ind w:firstLine="0" w:firstLineChars="0"/>
              <w:rPr>
                <w:rFonts w:hint="default" w:ascii="Times New Roman" w:hAnsi="Times New Roman" w:cs="Times New Roman"/>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1324" w:hRule="atLeast"/>
        </w:trPr>
        <w:tc>
          <w:tcPr>
            <w:tcW w:w="1188" w:type="dxa"/>
            <w:tcBorders>
              <w:tl2br w:val="nil"/>
              <w:tr2bl w:val="nil"/>
            </w:tcBorders>
            <w:shd w:val="clear" w:color="auto" w:fill="auto"/>
            <w:vAlign w:val="center"/>
          </w:tcPr>
          <w:p>
            <w:pPr>
              <w:pStyle w:val="40"/>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第二阶段</w:t>
            </w:r>
          </w:p>
        </w:tc>
        <w:tc>
          <w:tcPr>
            <w:tcW w:w="1673" w:type="dxa"/>
            <w:tcBorders>
              <w:tl2br w:val="nil"/>
              <w:tr2bl w:val="nil"/>
            </w:tcBorders>
            <w:shd w:val="clear" w:color="auto" w:fill="auto"/>
            <w:vAlign w:val="center"/>
          </w:tcPr>
          <w:p>
            <w:pPr>
              <w:pStyle w:val="40"/>
              <w:ind w:firstLine="0" w:firstLineChars="0"/>
              <w:rPr>
                <w:rFonts w:hint="default" w:ascii="Times New Roman" w:hAnsi="Times New Roman" w:eastAsia="仿宋_GB2312" w:cs="Times New Roman"/>
                <w:color w:val="auto"/>
                <w:highlight w:val="none"/>
                <w:lang w:eastAsia="zh-CN"/>
              </w:rPr>
            </w:pPr>
            <w:r>
              <w:rPr>
                <w:rFonts w:hint="default" w:ascii="Times New Roman" w:hAnsi="Times New Roman" w:cs="Times New Roman"/>
                <w:color w:val="auto"/>
                <w:highlight w:val="none"/>
                <w:lang w:eastAsia="zh-CN"/>
              </w:rPr>
              <w:t>施工便道</w:t>
            </w:r>
          </w:p>
        </w:tc>
        <w:tc>
          <w:tcPr>
            <w:tcW w:w="2239" w:type="dxa"/>
            <w:tcBorders>
              <w:tl2br w:val="nil"/>
              <w:tr2bl w:val="nil"/>
            </w:tcBorders>
            <w:shd w:val="clear" w:color="auto" w:fill="auto"/>
            <w:vAlign w:val="center"/>
          </w:tcPr>
          <w:p>
            <w:pPr>
              <w:pStyle w:val="40"/>
              <w:ind w:firstLine="0" w:firstLineChars="0"/>
              <w:rPr>
                <w:rFonts w:hint="default" w:ascii="Times New Roman" w:hAnsi="Times New Roman" w:eastAsia="仿宋_GB2312" w:cs="Times New Roman"/>
                <w:color w:val="auto"/>
                <w:highlight w:val="none"/>
                <w:lang w:eastAsia="zh-CN"/>
              </w:rPr>
            </w:pPr>
            <w:r>
              <w:rPr>
                <w:rFonts w:hint="default" w:ascii="Times New Roman" w:hAnsi="Times New Roman" w:cs="Times New Roman"/>
                <w:color w:val="auto"/>
                <w:highlight w:val="none"/>
                <w:lang w:eastAsia="zh-CN"/>
              </w:rPr>
              <w:t>2025年8月-2025年9月</w:t>
            </w:r>
          </w:p>
        </w:tc>
        <w:tc>
          <w:tcPr>
            <w:tcW w:w="1419" w:type="dxa"/>
            <w:tcBorders>
              <w:tl2br w:val="nil"/>
              <w:tr2bl w:val="nil"/>
            </w:tcBorders>
            <w:shd w:val="clear" w:color="auto" w:fill="FFFFFF"/>
            <w:noWrap/>
            <w:vAlign w:val="center"/>
          </w:tcPr>
          <w:p>
            <w:pPr>
              <w:pStyle w:val="40"/>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土地复垦</w:t>
            </w:r>
          </w:p>
        </w:tc>
        <w:tc>
          <w:tcPr>
            <w:tcW w:w="1901" w:type="dxa"/>
            <w:tcBorders>
              <w:tl2br w:val="nil"/>
              <w:tr2bl w:val="nil"/>
            </w:tcBorders>
            <w:shd w:val="clear" w:color="auto" w:fill="auto"/>
            <w:noWrap/>
            <w:vAlign w:val="center"/>
          </w:tcPr>
          <w:p>
            <w:pPr>
              <w:pStyle w:val="40"/>
              <w:ind w:firstLine="0" w:firstLineChars="0"/>
              <w:rPr>
                <w:rFonts w:hint="default" w:ascii="Times New Roman" w:hAnsi="Times New Roman" w:eastAsia="仿宋_GB2312" w:cs="Times New Roman"/>
                <w:color w:val="auto"/>
                <w:highlight w:val="none"/>
                <w:lang w:eastAsia="zh-CN"/>
              </w:rPr>
            </w:pPr>
            <w:r>
              <w:rPr>
                <w:rFonts w:hint="default" w:ascii="Times New Roman" w:hAnsi="Times New Roman" w:cs="Times New Roman"/>
                <w:color w:val="auto"/>
                <w:highlight w:val="none"/>
                <w:lang w:eastAsia="zh-CN"/>
              </w:rPr>
              <w:t>地表固化物的清理、垃圾清运和土地平整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trPr>
        <w:tc>
          <w:tcPr>
            <w:tcW w:w="1188" w:type="dxa"/>
            <w:tcBorders>
              <w:tl2br w:val="nil"/>
              <w:tr2bl w:val="nil"/>
            </w:tcBorders>
            <w:shd w:val="clear" w:color="auto" w:fill="auto"/>
            <w:vAlign w:val="center"/>
          </w:tcPr>
          <w:p>
            <w:pPr>
              <w:pStyle w:val="40"/>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第三阶段</w:t>
            </w:r>
          </w:p>
        </w:tc>
        <w:tc>
          <w:tcPr>
            <w:tcW w:w="1673" w:type="dxa"/>
            <w:tcBorders>
              <w:tl2br w:val="nil"/>
              <w:tr2bl w:val="nil"/>
            </w:tcBorders>
            <w:shd w:val="clear" w:color="auto" w:fill="auto"/>
            <w:vAlign w:val="center"/>
          </w:tcPr>
          <w:p>
            <w:pPr>
              <w:pStyle w:val="40"/>
              <w:ind w:firstLine="0" w:firstLineChars="0"/>
              <w:rPr>
                <w:rFonts w:hint="default" w:ascii="Times New Roman" w:hAnsi="Times New Roman" w:eastAsia="仿宋_GB2312" w:cs="Times New Roman"/>
                <w:color w:val="auto"/>
                <w:highlight w:val="none"/>
                <w:lang w:eastAsia="zh-CN"/>
              </w:rPr>
            </w:pPr>
            <w:r>
              <w:rPr>
                <w:rFonts w:hint="default" w:ascii="Times New Roman" w:hAnsi="Times New Roman" w:cs="Times New Roman"/>
                <w:color w:val="auto"/>
                <w:highlight w:val="none"/>
                <w:lang w:eastAsia="zh-CN"/>
              </w:rPr>
              <w:t>施工便道</w:t>
            </w:r>
          </w:p>
        </w:tc>
        <w:tc>
          <w:tcPr>
            <w:tcW w:w="2239" w:type="dxa"/>
            <w:tcBorders>
              <w:tl2br w:val="nil"/>
              <w:tr2bl w:val="nil"/>
            </w:tcBorders>
            <w:shd w:val="clear" w:color="auto" w:fill="auto"/>
            <w:vAlign w:val="center"/>
          </w:tcPr>
          <w:p>
            <w:pPr>
              <w:pStyle w:val="40"/>
              <w:ind w:firstLine="0" w:firstLineChars="0"/>
              <w:rPr>
                <w:rFonts w:hint="default" w:ascii="Times New Roman" w:hAnsi="Times New Roman" w:eastAsia="仿宋_GB2312" w:cs="Times New Roman"/>
                <w:color w:val="auto"/>
                <w:highlight w:val="none"/>
                <w:lang w:val="en-US" w:eastAsia="zh-CN"/>
              </w:rPr>
            </w:pPr>
            <w:r>
              <w:rPr>
                <w:rFonts w:hint="default" w:ascii="Times New Roman" w:hAnsi="Times New Roman" w:cs="Times New Roman"/>
                <w:color w:val="auto"/>
                <w:highlight w:val="none"/>
                <w:lang w:eastAsia="zh-CN"/>
              </w:rPr>
              <w:t>2025年9月</w:t>
            </w:r>
          </w:p>
        </w:tc>
        <w:tc>
          <w:tcPr>
            <w:tcW w:w="1419" w:type="dxa"/>
            <w:tcBorders>
              <w:tl2br w:val="nil"/>
              <w:tr2bl w:val="nil"/>
            </w:tcBorders>
            <w:shd w:val="clear" w:color="auto" w:fill="FFFFFF"/>
            <w:noWrap/>
            <w:vAlign w:val="center"/>
          </w:tcPr>
          <w:p>
            <w:pPr>
              <w:pStyle w:val="40"/>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竣工验收</w:t>
            </w:r>
          </w:p>
        </w:tc>
        <w:tc>
          <w:tcPr>
            <w:tcW w:w="1901" w:type="dxa"/>
            <w:tcBorders>
              <w:tl2br w:val="nil"/>
              <w:tr2bl w:val="nil"/>
            </w:tcBorders>
            <w:shd w:val="clear" w:color="auto" w:fill="auto"/>
            <w:noWrap/>
            <w:vAlign w:val="center"/>
          </w:tcPr>
          <w:p>
            <w:pPr>
              <w:pStyle w:val="40"/>
              <w:ind w:firstLine="0" w:firstLineChars="0"/>
              <w:rPr>
                <w:rFonts w:hint="default" w:ascii="Times New Roman" w:hAnsi="Times New Roman" w:eastAsia="仿宋_GB2312" w:cs="Times New Roman"/>
                <w:color w:val="auto"/>
                <w:highlight w:val="none"/>
                <w:lang w:val="en-US" w:eastAsia="zh-CN"/>
              </w:rPr>
            </w:pPr>
            <w:r>
              <w:rPr>
                <w:rFonts w:hint="default" w:ascii="Times New Roman" w:hAnsi="Times New Roman" w:cs="Times New Roman"/>
                <w:color w:val="auto"/>
                <w:highlight w:val="none"/>
              </w:rPr>
              <w:t>竣工验收</w:t>
            </w:r>
          </w:p>
        </w:tc>
      </w:tr>
    </w:tbl>
    <w:p>
      <w:pPr>
        <w:pStyle w:val="4"/>
        <w:keepNext/>
        <w:keepLines/>
        <w:pageBreakBefore w:val="0"/>
        <w:widowControl w:val="0"/>
        <w:shd w:val="clear"/>
        <w:kinsoku/>
        <w:wordWrap/>
        <w:overflowPunct/>
        <w:topLinePunct w:val="0"/>
        <w:autoSpaceDE/>
        <w:autoSpaceDN/>
        <w:bidi w:val="0"/>
        <w:adjustRightInd/>
        <w:snapToGrid/>
        <w:spacing w:before="0" w:after="0" w:line="360" w:lineRule="auto"/>
        <w:textAlignment w:val="auto"/>
        <w:rPr>
          <w:rFonts w:hint="eastAsia" w:cs="Times New Roman"/>
          <w:color w:val="auto"/>
          <w:highlight w:val="none"/>
          <w:lang w:val="en-US" w:eastAsia="zh-CN"/>
        </w:rPr>
      </w:pPr>
      <w:bookmarkStart w:id="204" w:name="_Toc28462"/>
      <w:bookmarkStart w:id="205" w:name="_Toc2147"/>
      <w:r>
        <w:rPr>
          <w:rFonts w:hint="eastAsia" w:cs="Times New Roman"/>
          <w:color w:val="auto"/>
          <w:highlight w:val="none"/>
          <w:lang w:val="en-US" w:eastAsia="zh-CN"/>
        </w:rPr>
        <w:t>8.3土地复垦费用安排</w:t>
      </w:r>
      <w:bookmarkEnd w:id="204"/>
      <w:bookmarkEnd w:id="205"/>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eastAsia" w:ascii="Times New Roman" w:hAnsi="Times New Roman" w:eastAsia="仿宋" w:cs="Times New Roman"/>
          <w:color w:val="auto"/>
          <w:sz w:val="24"/>
          <w:szCs w:val="24"/>
          <w:highlight w:val="none"/>
          <w:lang w:val="en-US" w:eastAsia="zh-CN"/>
        </w:rPr>
        <w:t>G219线岳普湖-英吉沙公路建设项目疏勒段施工便道</w:t>
      </w:r>
      <w:r>
        <w:rPr>
          <w:rFonts w:hint="default" w:ascii="Times New Roman" w:hAnsi="Times New Roman" w:eastAsia="仿宋" w:cs="Times New Roman"/>
          <w:color w:val="auto"/>
          <w:sz w:val="24"/>
          <w:szCs w:val="24"/>
          <w:highlight w:val="none"/>
          <w:lang w:val="en-US" w:eastAsia="zh-CN"/>
        </w:rPr>
        <w:t>土地复垦方案中的复垦总投资共计</w:t>
      </w:r>
      <w:r>
        <w:rPr>
          <w:rFonts w:hint="eastAsia" w:ascii="Times New Roman" w:hAnsi="Times New Roman" w:eastAsia="仿宋" w:cs="Times New Roman"/>
          <w:color w:val="auto"/>
          <w:sz w:val="24"/>
          <w:szCs w:val="24"/>
          <w:highlight w:val="none"/>
          <w:lang w:val="en-US" w:eastAsia="zh-CN"/>
        </w:rPr>
        <w:t>10.78</w:t>
      </w:r>
      <w:r>
        <w:rPr>
          <w:rFonts w:hint="default" w:ascii="Times New Roman" w:hAnsi="Times New Roman" w:eastAsia="仿宋" w:cs="Times New Roman"/>
          <w:color w:val="auto"/>
          <w:sz w:val="24"/>
          <w:szCs w:val="24"/>
          <w:highlight w:val="none"/>
          <w:lang w:val="en-US" w:eastAsia="zh-CN"/>
        </w:rPr>
        <w:t>万元。</w:t>
      </w:r>
      <w:bookmarkStart w:id="206" w:name="OLE_LINK2"/>
      <w:bookmarkStart w:id="207" w:name="OLE_LINK10"/>
      <w:r>
        <w:rPr>
          <w:rFonts w:hint="default" w:ascii="Times New Roman" w:hAnsi="Times New Roman" w:eastAsia="仿宋" w:cs="Times New Roman"/>
          <w:color w:val="auto"/>
          <w:sz w:val="24"/>
          <w:szCs w:val="24"/>
          <w:highlight w:val="none"/>
          <w:lang w:val="en-US" w:eastAsia="zh-CN"/>
        </w:rPr>
        <w:t>将该项目土地复垦费用全额列入本项目建设总投资，并按照《土地复垦方案编制规程》要求，在复垦方案批复后1个月内一次性预存完毕。后期分阶段、加大前期提取资金进度的原则对复垦资金进行计提</w:t>
      </w:r>
      <w:bookmarkEnd w:id="206"/>
      <w:bookmarkEnd w:id="207"/>
      <w:r>
        <w:rPr>
          <w:rFonts w:hint="default" w:ascii="Times New Roman" w:hAnsi="Times New Roman" w:eastAsia="仿宋" w:cs="Times New Roman"/>
          <w:color w:val="auto"/>
          <w:sz w:val="24"/>
          <w:szCs w:val="24"/>
          <w:highlight w:val="none"/>
          <w:lang w:val="en-US" w:eastAsia="zh-CN"/>
        </w:rPr>
        <w:t>。</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具体实施过程如下：</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首先，本项目建设单位从项目建设总投资中进行资金提取，并分摊到建设总投资，土地复垦费用存入由</w:t>
      </w:r>
      <w:r>
        <w:rPr>
          <w:rFonts w:hint="eastAsia" w:ascii="Times New Roman" w:hAnsi="Times New Roman" w:eastAsia="仿宋" w:cs="Times New Roman"/>
          <w:color w:val="auto"/>
          <w:sz w:val="24"/>
          <w:szCs w:val="24"/>
          <w:highlight w:val="none"/>
          <w:lang w:val="en-US" w:eastAsia="zh-CN"/>
        </w:rPr>
        <w:t>新疆路桥南疆工程建设有限公司</w:t>
      </w:r>
      <w:r>
        <w:rPr>
          <w:rFonts w:hint="default" w:ascii="Times New Roman" w:hAnsi="Times New Roman" w:eastAsia="仿宋" w:cs="Times New Roman"/>
          <w:color w:val="auto"/>
          <w:sz w:val="24"/>
          <w:szCs w:val="24"/>
          <w:highlight w:val="none"/>
          <w:lang w:val="en-US" w:eastAsia="zh-CN"/>
        </w:rPr>
        <w:t>、</w:t>
      </w:r>
      <w:r>
        <w:rPr>
          <w:rFonts w:hint="eastAsia" w:ascii="Times New Roman" w:hAnsi="Times New Roman" w:eastAsia="仿宋" w:cs="Times New Roman"/>
          <w:color w:val="auto"/>
          <w:sz w:val="24"/>
          <w:szCs w:val="24"/>
          <w:highlight w:val="none"/>
          <w:lang w:val="en-US" w:eastAsia="zh-CN"/>
        </w:rPr>
        <w:t>疏勒县自然资源局</w:t>
      </w:r>
      <w:r>
        <w:rPr>
          <w:rFonts w:hint="default" w:ascii="Times New Roman" w:hAnsi="Times New Roman" w:eastAsia="仿宋" w:cs="Times New Roman"/>
          <w:color w:val="auto"/>
          <w:sz w:val="24"/>
          <w:szCs w:val="24"/>
          <w:highlight w:val="none"/>
          <w:lang w:val="en-US" w:eastAsia="zh-CN"/>
        </w:rPr>
        <w:t>及银行三方建立的复垦资金共管</w:t>
      </w:r>
      <w:r>
        <w:rPr>
          <w:rFonts w:hint="eastAsia" w:ascii="Times New Roman" w:hAnsi="Times New Roman" w:eastAsia="仿宋" w:cs="Times New Roman"/>
          <w:color w:val="auto"/>
          <w:sz w:val="24"/>
          <w:szCs w:val="24"/>
          <w:highlight w:val="none"/>
          <w:lang w:val="en-US" w:eastAsia="zh-CN"/>
        </w:rPr>
        <w:t>专用账户</w:t>
      </w:r>
      <w:r>
        <w:rPr>
          <w:rFonts w:hint="default" w:ascii="Times New Roman" w:hAnsi="Times New Roman" w:eastAsia="仿宋" w:cs="Times New Roman"/>
          <w:color w:val="auto"/>
          <w:sz w:val="24"/>
          <w:szCs w:val="24"/>
          <w:highlight w:val="none"/>
          <w:lang w:val="en-US" w:eastAsia="zh-CN"/>
        </w:rPr>
        <w:t>。</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为保证土地复垦方案按计划实施，保证土地复垦资金的落实，建设单位将严格按照土地复垦方案的制定进行资金提取。</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为保证能够足额、提前计提复垦资金，并考虑存款物价上涨、通货膨胀、国家宏观调控以及地方经济发展等因素，结合项目建设期限及方案服务年限，本复垦方案计划在复垦方案批复后将复垦资金全部预存完毕，提取复垦静态投资总额</w:t>
      </w:r>
      <w:r>
        <w:rPr>
          <w:rFonts w:hint="eastAsia" w:ascii="Times New Roman" w:hAnsi="Times New Roman" w:eastAsia="仿宋" w:cs="Times New Roman"/>
          <w:color w:val="auto"/>
          <w:sz w:val="24"/>
          <w:szCs w:val="24"/>
          <w:highlight w:val="none"/>
          <w:lang w:val="en-US" w:eastAsia="zh-CN"/>
        </w:rPr>
        <w:t>10.78</w:t>
      </w:r>
      <w:r>
        <w:rPr>
          <w:rFonts w:hint="default" w:ascii="Times New Roman" w:hAnsi="Times New Roman" w:eastAsia="仿宋" w:cs="Times New Roman"/>
          <w:color w:val="auto"/>
          <w:sz w:val="24"/>
          <w:szCs w:val="24"/>
          <w:highlight w:val="none"/>
          <w:lang w:val="en-US" w:eastAsia="zh-CN"/>
        </w:rPr>
        <w:t>万元。</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shd w:val="clear"/>
        <w:rPr>
          <w:rFonts w:hint="eastAsia" w:cs="Times New Roman"/>
          <w:color w:val="auto"/>
          <w:highlight w:val="none"/>
          <w:lang w:val="en-US" w:eastAsia="zh-CN"/>
        </w:rPr>
      </w:pPr>
      <w:bookmarkStart w:id="208" w:name="_Toc19565"/>
      <w:bookmarkStart w:id="209" w:name="_Toc19707"/>
      <w:r>
        <w:rPr>
          <w:rFonts w:hint="eastAsia" w:cs="Times New Roman"/>
          <w:color w:val="auto"/>
          <w:highlight w:val="none"/>
          <w:lang w:val="en-US" w:eastAsia="zh-CN"/>
        </w:rPr>
        <w:t>9土地复垦效益分析</w:t>
      </w:r>
      <w:bookmarkEnd w:id="208"/>
      <w:bookmarkEnd w:id="209"/>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土地复垦将改变生态环境，影响生产与生活，土地复垦效益包括社会效益与生态效益，三者在复垦的不同阶段的表现各不相同。整体表现为前期以通过预防控制措施减少土地损毁为主，以通过土地复垦工程解决一定就业的社会效益为主。后期以生态、经济效益与社会效益综合发展。从效益服务对象上，其效益既包括项目业主因减少土地损毁而少缴的相关费用，又包括土地使用权人对复垦土地再利用产生的效益。从宏观上，还包括因土地复垦避免社会不稳定因素等带来的社会效益。</w:t>
      </w:r>
    </w:p>
    <w:p>
      <w:pPr>
        <w:pStyle w:val="4"/>
        <w:keepNext/>
        <w:keepLines/>
        <w:pageBreakBefore w:val="0"/>
        <w:widowControl w:val="0"/>
        <w:shd w:val="clear"/>
        <w:kinsoku/>
        <w:wordWrap/>
        <w:overflowPunct/>
        <w:topLinePunct w:val="0"/>
        <w:autoSpaceDE/>
        <w:autoSpaceDN/>
        <w:bidi w:val="0"/>
        <w:adjustRightInd/>
        <w:snapToGrid/>
        <w:spacing w:before="0" w:after="0" w:line="360" w:lineRule="auto"/>
        <w:textAlignment w:val="auto"/>
        <w:rPr>
          <w:rFonts w:hint="eastAsia" w:cs="Times New Roman"/>
          <w:color w:val="auto"/>
          <w:highlight w:val="none"/>
          <w:lang w:val="en-US" w:eastAsia="zh-CN"/>
        </w:rPr>
      </w:pPr>
      <w:bookmarkStart w:id="210" w:name="_Toc53225624"/>
      <w:bookmarkStart w:id="211" w:name="_Toc27350"/>
      <w:bookmarkStart w:id="212" w:name="_Toc53225505"/>
      <w:bookmarkStart w:id="213" w:name="_Toc53593095"/>
      <w:bookmarkStart w:id="214" w:name="_Toc2092"/>
      <w:r>
        <w:rPr>
          <w:rFonts w:hint="eastAsia" w:cs="Times New Roman"/>
          <w:color w:val="auto"/>
          <w:highlight w:val="none"/>
          <w:lang w:val="en-US" w:eastAsia="zh-CN"/>
        </w:rPr>
        <w:t>9.1社会效益</w:t>
      </w:r>
      <w:bookmarkEnd w:id="210"/>
      <w:bookmarkEnd w:id="211"/>
      <w:bookmarkEnd w:id="212"/>
      <w:bookmarkEnd w:id="213"/>
      <w:bookmarkEnd w:id="214"/>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土地复垦是关系到社会经济发展的大事，不仅对生态环境有着重要的意义，而且是保证项目区域可持续发展的重要组成部分。通过临时用地土地复垦方案的实施，一是有利于促进当地劳动力的就业，增加农民的收入；二是有利于项目区的生产生活，实现当地社会经济的可持续发展。土地复垦不仅对生态恢复有着重大意义，而且对全社会的安定团结和稳定发展也起着重要作用。土地复垦在取得显著社会效益的同时，也存在一定的社会风险，所以在实施过程中一定要采取切实可行的措施给予有效防范。</w:t>
      </w:r>
    </w:p>
    <w:p>
      <w:pPr>
        <w:pStyle w:val="4"/>
        <w:keepNext/>
        <w:keepLines/>
        <w:pageBreakBefore w:val="0"/>
        <w:widowControl w:val="0"/>
        <w:shd w:val="clear"/>
        <w:kinsoku/>
        <w:wordWrap/>
        <w:overflowPunct/>
        <w:topLinePunct w:val="0"/>
        <w:autoSpaceDE/>
        <w:autoSpaceDN/>
        <w:bidi w:val="0"/>
        <w:adjustRightInd/>
        <w:snapToGrid/>
        <w:spacing w:before="0" w:after="0" w:line="360" w:lineRule="auto"/>
        <w:textAlignment w:val="auto"/>
        <w:rPr>
          <w:rFonts w:hint="eastAsia" w:cs="Times New Roman"/>
          <w:color w:val="auto"/>
          <w:highlight w:val="none"/>
          <w:lang w:val="en-US" w:eastAsia="zh-CN"/>
        </w:rPr>
      </w:pPr>
      <w:bookmarkStart w:id="215" w:name="_Toc23385"/>
      <w:bookmarkStart w:id="216" w:name="_Toc53593096"/>
      <w:bookmarkStart w:id="217" w:name="_Toc53225506"/>
      <w:bookmarkStart w:id="218" w:name="_Toc7131"/>
      <w:bookmarkStart w:id="219" w:name="_Toc53225625"/>
      <w:r>
        <w:rPr>
          <w:rFonts w:hint="eastAsia" w:cs="Times New Roman"/>
          <w:color w:val="auto"/>
          <w:highlight w:val="none"/>
          <w:lang w:val="en-US" w:eastAsia="zh-CN"/>
        </w:rPr>
        <w:t>9.2生态效益</w:t>
      </w:r>
      <w:bookmarkEnd w:id="215"/>
      <w:bookmarkEnd w:id="216"/>
      <w:bookmarkEnd w:id="217"/>
      <w:bookmarkEnd w:id="218"/>
      <w:bookmarkEnd w:id="219"/>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土地是一个自然、经济、社会的综合体，同时也是一个巨大的生态系统。土地复垦与生态重建对于区域的生态意义极其重大。土地复垦与生态重建的实施对防止水土流失具有重要意义。</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本方案土地复垦工程实施贯穿主体工程施工始终，将有效控制工程建设造成损毁土地的新增水土流失，减少拟建项目周边的水土流失，保护和改善项目周边的生态环境，实现资源可持续利用。</w:t>
      </w:r>
    </w:p>
    <w:p>
      <w:pPr>
        <w:ind w:firstLine="480"/>
        <w:rPr>
          <w:highlight w:val="yellow"/>
          <w:lang w:eastAsia="zh-CN"/>
        </w:rPr>
      </w:pPr>
    </w:p>
    <w:p>
      <w:pPr>
        <w:ind w:firstLine="480"/>
        <w:rPr>
          <w:highlight w:val="yellow"/>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shd w:val="clear"/>
        <w:rPr>
          <w:rFonts w:hint="eastAsia" w:cs="Times New Roman"/>
          <w:color w:val="auto"/>
          <w:highlight w:val="none"/>
          <w:lang w:val="en-US" w:eastAsia="zh-CN"/>
        </w:rPr>
      </w:pPr>
      <w:bookmarkStart w:id="220" w:name="_Toc12411"/>
      <w:bookmarkStart w:id="221" w:name="_Toc7173"/>
      <w:r>
        <w:rPr>
          <w:rFonts w:hint="eastAsia" w:cs="Times New Roman"/>
          <w:color w:val="auto"/>
          <w:highlight w:val="none"/>
          <w:lang w:val="en-US" w:eastAsia="zh-CN"/>
        </w:rPr>
        <w:t>10保障措施</w:t>
      </w:r>
      <w:bookmarkEnd w:id="220"/>
      <w:bookmarkEnd w:id="221"/>
    </w:p>
    <w:p>
      <w:pPr>
        <w:pStyle w:val="4"/>
        <w:keepNext/>
        <w:keepLines/>
        <w:pageBreakBefore w:val="0"/>
        <w:widowControl w:val="0"/>
        <w:shd w:val="clear"/>
        <w:kinsoku/>
        <w:wordWrap/>
        <w:overflowPunct/>
        <w:topLinePunct w:val="0"/>
        <w:autoSpaceDE/>
        <w:autoSpaceDN/>
        <w:bidi w:val="0"/>
        <w:adjustRightInd/>
        <w:snapToGrid/>
        <w:spacing w:before="0" w:after="0" w:line="360" w:lineRule="auto"/>
        <w:textAlignment w:val="auto"/>
        <w:rPr>
          <w:rFonts w:hint="eastAsia" w:cs="Times New Roman"/>
          <w:color w:val="auto"/>
          <w:highlight w:val="none"/>
          <w:lang w:val="en-US" w:eastAsia="zh-CN"/>
        </w:rPr>
      </w:pPr>
      <w:bookmarkStart w:id="222" w:name="_Toc789"/>
      <w:bookmarkStart w:id="223" w:name="_Toc25924"/>
      <w:r>
        <w:rPr>
          <w:rFonts w:hint="eastAsia" w:cs="Times New Roman"/>
          <w:color w:val="auto"/>
          <w:highlight w:val="none"/>
          <w:lang w:val="en-US" w:eastAsia="zh-CN"/>
        </w:rPr>
        <w:t>10.1组织保障措施</w:t>
      </w:r>
      <w:bookmarkEnd w:id="222"/>
      <w:bookmarkEnd w:id="223"/>
    </w:p>
    <w:p>
      <w:pPr>
        <w:pStyle w:val="5"/>
        <w:keepNext w:val="0"/>
        <w:keepLines w:val="0"/>
        <w:tabs>
          <w:tab w:val="left" w:pos="426"/>
        </w:tabs>
        <w:adjustRightInd w:val="0"/>
        <w:snapToGrid w:val="0"/>
        <w:spacing w:before="0" w:after="0" w:line="360" w:lineRule="auto"/>
        <w:ind w:firstLine="482" w:firstLineChars="200"/>
        <w:textAlignment w:val="baseline"/>
        <w:rPr>
          <w:rFonts w:hint="default" w:ascii="Times New Roman" w:hAnsi="Times New Roman" w:cs="Times New Roman"/>
          <w:b/>
          <w:bCs w:val="0"/>
          <w:kern w:val="0"/>
          <w:szCs w:val="28"/>
          <w:highlight w:val="none"/>
          <w:lang w:val="en-US" w:eastAsia="zh-CN"/>
        </w:rPr>
      </w:pPr>
      <w:bookmarkStart w:id="224" w:name="_Toc29595"/>
      <w:bookmarkStart w:id="225" w:name="_Toc3135"/>
      <w:r>
        <w:rPr>
          <w:rFonts w:hint="default" w:ascii="Times New Roman" w:hAnsi="Times New Roman" w:cs="Times New Roman"/>
          <w:b/>
          <w:bCs w:val="0"/>
          <w:kern w:val="0"/>
          <w:szCs w:val="28"/>
          <w:highlight w:val="none"/>
          <w:lang w:val="en-US" w:eastAsia="zh-CN"/>
        </w:rPr>
        <w:t>10.1.1组织保障</w:t>
      </w:r>
      <w:bookmarkEnd w:id="224"/>
      <w:bookmarkEnd w:id="225"/>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确保土地复垦方案提出的各项土地损毁防治措施的实施和落实，</w:t>
      </w:r>
      <w:r>
        <w:rPr>
          <w:rFonts w:hint="eastAsia" w:ascii="Times New Roman" w:hAnsi="Times New Roman" w:eastAsia="仿宋" w:cs="Times New Roman"/>
          <w:color w:val="auto"/>
          <w:sz w:val="24"/>
          <w:szCs w:val="24"/>
          <w:highlight w:val="none"/>
          <w:lang w:val="en-US" w:eastAsia="zh-CN"/>
        </w:rPr>
        <w:t>疏勒县自然资源局</w:t>
      </w:r>
      <w:r>
        <w:rPr>
          <w:rFonts w:hint="default" w:ascii="Times New Roman" w:hAnsi="Times New Roman" w:eastAsia="仿宋" w:cs="Times New Roman"/>
          <w:color w:val="auto"/>
          <w:sz w:val="24"/>
          <w:szCs w:val="24"/>
          <w:highlight w:val="none"/>
          <w:lang w:val="en-US" w:eastAsia="zh-CN"/>
        </w:rPr>
        <w:t>与项目单位联合成立土地复垦领导小组，负责工程建设中的土地复垦工程管理和实施工作，按照土地复垦实施方案的治理措施、进度安排、技术标准等，严格要求施工单位，保质保量地完成土地复垦各项措施。</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同时，设立专门机构，选调责任心强，政策水平高，懂专业的得力人员，具体负责土地复垦的各项工作。土地复垦明确分工、责任到人，同时制定本复垦方案实施的领导责任制，制定机构内部自我检查、监督制度，杜绝边复垦、边损毁的现象发生，定期向主管领导汇报复垦进展情况，接受</w:t>
      </w:r>
      <w:r>
        <w:rPr>
          <w:rFonts w:hint="eastAsia" w:ascii="Times New Roman" w:hAnsi="Times New Roman" w:eastAsia="仿宋" w:cs="Times New Roman"/>
          <w:color w:val="auto"/>
          <w:sz w:val="24"/>
          <w:szCs w:val="24"/>
          <w:highlight w:val="none"/>
          <w:lang w:val="en-US" w:eastAsia="zh-CN"/>
        </w:rPr>
        <w:t>疏勒县自然资源局</w:t>
      </w:r>
      <w:r>
        <w:rPr>
          <w:rFonts w:hint="default" w:ascii="Times New Roman" w:hAnsi="Times New Roman" w:eastAsia="仿宋" w:cs="Times New Roman"/>
          <w:color w:val="auto"/>
          <w:sz w:val="24"/>
          <w:szCs w:val="24"/>
          <w:highlight w:val="none"/>
          <w:lang w:val="en-US" w:eastAsia="zh-CN"/>
        </w:rPr>
        <w:t>对本方案复垦工作的监督检查。</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土地复垦义务人应严格按照建设工程招投标制度选择和确定施工队伍，并对施工队伍的资质、人员的素质乃至项目经理、工程师的经历、能力进行必要的严格考核。一方面保证工程质量，另一方面使土地复垦投资合理化。同时，加强规章制度建设和业务学习培训，防止质量事故、安全事故的发生。</w:t>
      </w:r>
    </w:p>
    <w:p>
      <w:pPr>
        <w:pStyle w:val="5"/>
        <w:keepNext w:val="0"/>
        <w:keepLines w:val="0"/>
        <w:tabs>
          <w:tab w:val="left" w:pos="426"/>
        </w:tabs>
        <w:adjustRightInd w:val="0"/>
        <w:snapToGrid w:val="0"/>
        <w:spacing w:before="0" w:after="0" w:line="360" w:lineRule="auto"/>
        <w:ind w:firstLine="482" w:firstLineChars="200"/>
        <w:textAlignment w:val="baseline"/>
        <w:rPr>
          <w:rFonts w:hint="default" w:ascii="Times New Roman" w:hAnsi="Times New Roman" w:cs="Times New Roman"/>
          <w:b/>
          <w:bCs w:val="0"/>
          <w:kern w:val="0"/>
          <w:szCs w:val="28"/>
          <w:highlight w:val="none"/>
          <w:lang w:val="en-US" w:eastAsia="zh-CN"/>
        </w:rPr>
      </w:pPr>
      <w:bookmarkStart w:id="226" w:name="_Toc15068"/>
      <w:bookmarkStart w:id="227" w:name="_Toc3609"/>
      <w:bookmarkStart w:id="228" w:name="_Toc53225629"/>
      <w:r>
        <w:rPr>
          <w:rFonts w:hint="default" w:ascii="Times New Roman" w:hAnsi="Times New Roman" w:cs="Times New Roman"/>
          <w:b/>
          <w:bCs w:val="0"/>
          <w:kern w:val="0"/>
          <w:szCs w:val="28"/>
          <w:highlight w:val="none"/>
          <w:lang w:val="en-US" w:eastAsia="zh-CN"/>
        </w:rPr>
        <w:t>10.1.2管理保障</w:t>
      </w:r>
      <w:bookmarkEnd w:id="226"/>
      <w:bookmarkEnd w:id="227"/>
      <w:bookmarkEnd w:id="228"/>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a）加强对复垦后土地的管理，严格执行《</w:t>
      </w:r>
      <w:r>
        <w:rPr>
          <w:rFonts w:hint="eastAsia" w:ascii="Times New Roman" w:hAnsi="Times New Roman" w:eastAsia="仿宋" w:cs="Times New Roman"/>
          <w:color w:val="auto"/>
          <w:sz w:val="24"/>
          <w:szCs w:val="24"/>
          <w:highlight w:val="none"/>
          <w:lang w:val="en-US" w:eastAsia="zh-CN"/>
        </w:rPr>
        <w:t>G219线岳普湖-英吉沙公路建设项目疏勒段施工便道</w:t>
      </w:r>
      <w:r>
        <w:rPr>
          <w:rFonts w:hint="default" w:ascii="Times New Roman" w:hAnsi="Times New Roman" w:eastAsia="仿宋" w:cs="Times New Roman"/>
          <w:color w:val="auto"/>
          <w:sz w:val="24"/>
          <w:szCs w:val="24"/>
          <w:highlight w:val="none"/>
          <w:lang w:val="en-US" w:eastAsia="zh-CN"/>
        </w:rPr>
        <w:t>土地复垦方案报告书》中的相关复垦责任义务；</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b）按照方案确定的年度复垦方案逐地块落实，对土地复垦实行统一管理；</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c）保护土地复垦单位的利益，调动土地复垦的积极性；</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d）坚持全面规划，综合治理，要治理一片见效一片，不搞半截子工程。在工程建设中严格实行招标制，按照公开、公正、公平的原则，择优选择工程队伍以确保工程质量，降低工程成本，加快工程进度；</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e）同时对施工单位组织学习、宣传工作，提高工程建设者的土地复垦自觉行动意识。同时应配备土地复垦专业人员，以解决措施实施过程中的技术问题，接受当地主管部门的监督检查。</w:t>
      </w:r>
    </w:p>
    <w:p>
      <w:pPr>
        <w:pStyle w:val="4"/>
        <w:keepNext/>
        <w:keepLines/>
        <w:pageBreakBefore w:val="0"/>
        <w:widowControl w:val="0"/>
        <w:shd w:val="clear"/>
        <w:kinsoku/>
        <w:wordWrap/>
        <w:overflowPunct/>
        <w:topLinePunct w:val="0"/>
        <w:autoSpaceDE/>
        <w:autoSpaceDN/>
        <w:bidi w:val="0"/>
        <w:adjustRightInd/>
        <w:snapToGrid/>
        <w:spacing w:before="0" w:after="0" w:line="360" w:lineRule="auto"/>
        <w:textAlignment w:val="auto"/>
        <w:rPr>
          <w:rFonts w:hint="eastAsia" w:cs="Times New Roman"/>
          <w:color w:val="auto"/>
          <w:highlight w:val="none"/>
          <w:lang w:val="en-US" w:eastAsia="zh-CN"/>
        </w:rPr>
      </w:pPr>
      <w:bookmarkStart w:id="229" w:name="_Toc8928"/>
      <w:bookmarkStart w:id="230" w:name="_Toc2523"/>
      <w:bookmarkStart w:id="231" w:name="_Toc53593099"/>
      <w:r>
        <w:rPr>
          <w:rFonts w:hint="eastAsia" w:cs="Times New Roman"/>
          <w:color w:val="auto"/>
          <w:highlight w:val="none"/>
          <w:lang w:val="en-US" w:eastAsia="zh-CN"/>
        </w:rPr>
        <w:t>10.2费用保障措施</w:t>
      </w:r>
      <w:bookmarkEnd w:id="229"/>
      <w:bookmarkEnd w:id="230"/>
      <w:bookmarkEnd w:id="231"/>
    </w:p>
    <w:p>
      <w:pPr>
        <w:pStyle w:val="5"/>
        <w:keepNext w:val="0"/>
        <w:keepLines w:val="0"/>
        <w:tabs>
          <w:tab w:val="left" w:pos="426"/>
        </w:tabs>
        <w:adjustRightInd w:val="0"/>
        <w:snapToGrid w:val="0"/>
        <w:spacing w:before="0" w:after="0" w:line="360" w:lineRule="auto"/>
        <w:ind w:firstLine="482" w:firstLineChars="200"/>
        <w:textAlignment w:val="baseline"/>
        <w:rPr>
          <w:rFonts w:hint="default" w:ascii="Times New Roman" w:hAnsi="Times New Roman" w:cs="Times New Roman"/>
          <w:b/>
          <w:bCs w:val="0"/>
          <w:kern w:val="0"/>
          <w:szCs w:val="28"/>
          <w:highlight w:val="none"/>
          <w:lang w:val="en-US" w:eastAsia="zh-CN"/>
        </w:rPr>
      </w:pPr>
      <w:bookmarkStart w:id="232" w:name="_Toc32374"/>
      <w:bookmarkStart w:id="233" w:name="_Toc24645"/>
      <w:bookmarkStart w:id="234" w:name="_Toc53225631"/>
      <w:r>
        <w:rPr>
          <w:rFonts w:hint="default" w:ascii="Times New Roman" w:hAnsi="Times New Roman" w:cs="Times New Roman"/>
          <w:b/>
          <w:bCs w:val="0"/>
          <w:kern w:val="0"/>
          <w:szCs w:val="28"/>
          <w:highlight w:val="none"/>
          <w:lang w:val="en-US" w:eastAsia="zh-CN"/>
        </w:rPr>
        <w:t>10.2.1资金来源</w:t>
      </w:r>
      <w:bookmarkEnd w:id="232"/>
      <w:bookmarkEnd w:id="233"/>
      <w:bookmarkEnd w:id="234"/>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复垦资金的保证是土地复垦工作顺利开展和取得成功的重要保证。没有资金支持，即使拥有再好的复垦技术和复垦条件，要想取得良好的治理效果也是非常困难的。根据我国《土地复垦条例》（国务院令〔2011〕第592号）第3条和15条的规定：生产建设活动损毁的土地，按照“谁损毁、谁复垦”的原则，由生产建设单位或者个人（土地复垦义务人）负责复垦；土地复垦义务人应当将土地复垦费用列入生产成本或者建设项目总投资。</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另外《关于加强生产建设项目土地复垦管理工作的通知》（国土资发〔2006〕225号）也明确规定：“土地复垦费要列入生产成本或建设项目总投资并足额预算”。这都表明了土地复垦费用应由生产或建设单位全部承担并将其计入生产成本或建设总投资。因此，项目单位全部</w:t>
      </w:r>
      <w:r>
        <w:rPr>
          <w:rFonts w:hint="eastAsia" w:ascii="Times New Roman" w:hAnsi="Times New Roman" w:eastAsia="仿宋" w:cs="Times New Roman"/>
          <w:color w:val="auto"/>
          <w:sz w:val="24"/>
          <w:szCs w:val="24"/>
          <w:highlight w:val="none"/>
          <w:lang w:val="en-US" w:eastAsia="zh-CN"/>
        </w:rPr>
        <w:t>承担</w:t>
      </w:r>
      <w:r>
        <w:rPr>
          <w:rFonts w:hint="default" w:ascii="Times New Roman" w:hAnsi="Times New Roman" w:eastAsia="仿宋" w:cs="Times New Roman"/>
          <w:color w:val="auto"/>
          <w:sz w:val="24"/>
          <w:szCs w:val="24"/>
          <w:highlight w:val="none"/>
          <w:lang w:val="en-US" w:eastAsia="zh-CN"/>
        </w:rPr>
        <w:t>土地复垦费用并将其计入项目建设总投资。</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本项目土地复垦工程静态总投资</w:t>
      </w:r>
      <w:r>
        <w:rPr>
          <w:rFonts w:hint="eastAsia" w:ascii="Times New Roman" w:hAnsi="Times New Roman" w:eastAsia="仿宋" w:cs="Times New Roman"/>
          <w:color w:val="auto"/>
          <w:sz w:val="24"/>
          <w:szCs w:val="24"/>
          <w:highlight w:val="none"/>
          <w:lang w:val="en-US" w:eastAsia="zh-CN"/>
        </w:rPr>
        <w:t>10.78</w:t>
      </w:r>
      <w:r>
        <w:rPr>
          <w:rFonts w:hint="default" w:ascii="Times New Roman" w:hAnsi="Times New Roman" w:eastAsia="仿宋" w:cs="Times New Roman"/>
          <w:color w:val="auto"/>
          <w:sz w:val="24"/>
          <w:szCs w:val="24"/>
          <w:highlight w:val="none"/>
          <w:lang w:val="en-US" w:eastAsia="zh-CN"/>
        </w:rPr>
        <w:t>万元，全部列入该项目建设总投资，由项目单位全部承担。</w:t>
      </w:r>
    </w:p>
    <w:p>
      <w:pPr>
        <w:pStyle w:val="5"/>
        <w:keepNext w:val="0"/>
        <w:keepLines w:val="0"/>
        <w:tabs>
          <w:tab w:val="left" w:pos="426"/>
        </w:tabs>
        <w:adjustRightInd w:val="0"/>
        <w:snapToGrid w:val="0"/>
        <w:spacing w:before="0" w:after="0" w:line="360" w:lineRule="auto"/>
        <w:ind w:firstLine="482" w:firstLineChars="200"/>
        <w:textAlignment w:val="baseline"/>
        <w:rPr>
          <w:rFonts w:hint="default" w:ascii="Times New Roman" w:hAnsi="Times New Roman" w:cs="Times New Roman"/>
          <w:b/>
          <w:bCs w:val="0"/>
          <w:kern w:val="0"/>
          <w:szCs w:val="28"/>
          <w:highlight w:val="none"/>
          <w:lang w:val="en-US" w:eastAsia="zh-CN"/>
        </w:rPr>
      </w:pPr>
      <w:bookmarkStart w:id="235" w:name="_Toc2532"/>
      <w:bookmarkStart w:id="236" w:name="_Toc53225632"/>
      <w:bookmarkStart w:id="237" w:name="_Toc31745"/>
      <w:r>
        <w:rPr>
          <w:rFonts w:hint="default" w:ascii="Times New Roman" w:hAnsi="Times New Roman" w:cs="Times New Roman"/>
          <w:b/>
          <w:bCs w:val="0"/>
          <w:kern w:val="0"/>
          <w:szCs w:val="28"/>
          <w:highlight w:val="none"/>
          <w:lang w:val="en-US" w:eastAsia="zh-CN"/>
        </w:rPr>
        <w:t>10.2.2费用存放</w:t>
      </w:r>
      <w:bookmarkEnd w:id="235"/>
      <w:bookmarkEnd w:id="236"/>
      <w:bookmarkEnd w:id="237"/>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项目建设单位在当地银行建立“</w:t>
      </w:r>
      <w:r>
        <w:rPr>
          <w:rFonts w:hint="eastAsia" w:ascii="Times New Roman" w:hAnsi="Times New Roman" w:eastAsia="仿宋" w:cs="Times New Roman"/>
          <w:color w:val="auto"/>
          <w:sz w:val="24"/>
          <w:szCs w:val="24"/>
          <w:highlight w:val="none"/>
          <w:lang w:val="en-US" w:eastAsia="zh-CN"/>
        </w:rPr>
        <w:t>G219线岳普湖-英吉沙公路建设项目疏勒段施工便道</w:t>
      </w:r>
      <w:r>
        <w:rPr>
          <w:rFonts w:hint="default" w:ascii="Times New Roman" w:hAnsi="Times New Roman" w:eastAsia="仿宋" w:cs="Times New Roman"/>
          <w:color w:val="auto"/>
          <w:sz w:val="24"/>
          <w:szCs w:val="24"/>
          <w:highlight w:val="none"/>
          <w:lang w:val="en-US" w:eastAsia="zh-CN"/>
        </w:rPr>
        <w:t>土地复垦资金专用账户”，将土地复垦费用存入复垦费用专用账户中，结合复垦工作计划安排，并与</w:t>
      </w:r>
      <w:r>
        <w:rPr>
          <w:rFonts w:hint="eastAsia" w:ascii="Times New Roman" w:hAnsi="Times New Roman" w:eastAsia="仿宋" w:cs="Times New Roman"/>
          <w:color w:val="auto"/>
          <w:sz w:val="24"/>
          <w:szCs w:val="24"/>
          <w:highlight w:val="none"/>
          <w:lang w:val="en-US" w:eastAsia="zh-CN"/>
        </w:rPr>
        <w:t>疏勒县自然资源局</w:t>
      </w:r>
      <w:r>
        <w:rPr>
          <w:rFonts w:hint="default" w:ascii="Times New Roman" w:hAnsi="Times New Roman" w:eastAsia="仿宋" w:cs="Times New Roman"/>
          <w:color w:val="auto"/>
          <w:sz w:val="24"/>
          <w:szCs w:val="24"/>
          <w:highlight w:val="none"/>
          <w:lang w:val="en-US" w:eastAsia="zh-CN"/>
        </w:rPr>
        <w:t>、银行三方签订“土地复垦费用监管协议”，协议中需明确各方的责任，复垦费用的具体监管手段。土地复垦费用专用账户按照“企业所有，政府监管，专户存储、专款专用”的原则管理。</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每年年初建设单位应根据当年的土地复垦费用计提计划对复垦费用进行提取，并及时存入土地复垦资金专用账户中。</w:t>
      </w:r>
      <w:r>
        <w:rPr>
          <w:rFonts w:hint="eastAsia" w:ascii="Times New Roman" w:hAnsi="Times New Roman" w:eastAsia="仿宋" w:cs="Times New Roman"/>
          <w:color w:val="auto"/>
          <w:sz w:val="24"/>
          <w:szCs w:val="24"/>
          <w:highlight w:val="none"/>
          <w:lang w:val="en-US" w:eastAsia="zh-CN"/>
        </w:rPr>
        <w:t>疏勒县自然资源局</w:t>
      </w:r>
      <w:r>
        <w:rPr>
          <w:rFonts w:hint="default" w:ascii="Times New Roman" w:hAnsi="Times New Roman" w:eastAsia="仿宋" w:cs="Times New Roman"/>
          <w:color w:val="auto"/>
          <w:sz w:val="24"/>
          <w:szCs w:val="24"/>
          <w:highlight w:val="none"/>
          <w:lang w:val="en-US" w:eastAsia="zh-CN"/>
        </w:rPr>
        <w:t>将按照每年土地复垦计划，对土地复垦资金专用账户中的资金存储、使用情况进行监督管理。银行协助</w:t>
      </w:r>
      <w:r>
        <w:rPr>
          <w:rFonts w:hint="eastAsia" w:ascii="Times New Roman" w:hAnsi="Times New Roman" w:eastAsia="仿宋" w:cs="Times New Roman"/>
          <w:color w:val="auto"/>
          <w:sz w:val="24"/>
          <w:szCs w:val="24"/>
          <w:highlight w:val="none"/>
          <w:lang w:val="en-US" w:eastAsia="zh-CN"/>
        </w:rPr>
        <w:t>疏勒县自然资源局</w:t>
      </w:r>
      <w:r>
        <w:rPr>
          <w:rFonts w:hint="default" w:ascii="Times New Roman" w:hAnsi="Times New Roman" w:eastAsia="仿宋" w:cs="Times New Roman"/>
          <w:color w:val="auto"/>
          <w:sz w:val="24"/>
          <w:szCs w:val="24"/>
          <w:highlight w:val="none"/>
          <w:lang w:val="en-US" w:eastAsia="zh-CN"/>
        </w:rPr>
        <w:t>对本土地复垦费用的存储、支取进行监督管理。</w:t>
      </w:r>
    </w:p>
    <w:p>
      <w:pPr>
        <w:pStyle w:val="5"/>
        <w:keepNext w:val="0"/>
        <w:keepLines w:val="0"/>
        <w:tabs>
          <w:tab w:val="left" w:pos="426"/>
        </w:tabs>
        <w:adjustRightInd w:val="0"/>
        <w:snapToGrid w:val="0"/>
        <w:spacing w:before="0" w:after="0" w:line="360" w:lineRule="auto"/>
        <w:ind w:firstLine="482" w:firstLineChars="200"/>
        <w:textAlignment w:val="baseline"/>
        <w:rPr>
          <w:rFonts w:hint="default" w:ascii="Times New Roman" w:hAnsi="Times New Roman" w:cs="Times New Roman"/>
          <w:b/>
          <w:bCs w:val="0"/>
          <w:kern w:val="0"/>
          <w:szCs w:val="28"/>
          <w:highlight w:val="none"/>
          <w:lang w:val="en-US" w:eastAsia="zh-CN"/>
        </w:rPr>
      </w:pPr>
      <w:bookmarkStart w:id="238" w:name="_Toc20564"/>
      <w:bookmarkStart w:id="239" w:name="_Toc53225633"/>
      <w:bookmarkStart w:id="240" w:name="_Toc2358"/>
      <w:r>
        <w:rPr>
          <w:rFonts w:hint="default" w:ascii="Times New Roman" w:hAnsi="Times New Roman" w:cs="Times New Roman"/>
          <w:b/>
          <w:bCs w:val="0"/>
          <w:kern w:val="0"/>
          <w:szCs w:val="28"/>
          <w:highlight w:val="none"/>
          <w:lang w:val="en-US" w:eastAsia="zh-CN"/>
        </w:rPr>
        <w:t>10.2.3费用使用与管理</w:t>
      </w:r>
      <w:bookmarkEnd w:id="238"/>
      <w:bookmarkEnd w:id="239"/>
      <w:bookmarkEnd w:id="240"/>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复垦项目施工单位根据土地复垦工程的进度安排合理使用土地复垦资金，服从、接受</w:t>
      </w:r>
      <w:r>
        <w:rPr>
          <w:rFonts w:hint="eastAsia" w:ascii="Times New Roman" w:hAnsi="Times New Roman" w:eastAsia="仿宋" w:cs="Times New Roman"/>
          <w:color w:val="auto"/>
          <w:sz w:val="24"/>
          <w:szCs w:val="24"/>
          <w:highlight w:val="none"/>
          <w:lang w:val="en-US" w:eastAsia="zh-CN"/>
        </w:rPr>
        <w:t>疏勒县自然资源局</w:t>
      </w:r>
      <w:r>
        <w:rPr>
          <w:rFonts w:hint="default" w:ascii="Times New Roman" w:hAnsi="Times New Roman" w:eastAsia="仿宋" w:cs="Times New Roman"/>
          <w:color w:val="auto"/>
          <w:sz w:val="24"/>
          <w:szCs w:val="24"/>
          <w:highlight w:val="none"/>
          <w:lang w:val="en-US" w:eastAsia="zh-CN"/>
        </w:rPr>
        <w:t>对该项目复垦资金的提取、使用的监管与监督。</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a）复垦项目建设严格执行进度拨款制度。资金拨付由施工单位根据工程进度向本项目土地复垦管理机构提出申请，经审查签字后，报财务审批。每次提取复垦资金超过1万，或每月提取复垦资金超过2万，土地复垦管理机构须向</w:t>
      </w:r>
      <w:r>
        <w:rPr>
          <w:rFonts w:hint="eastAsia" w:ascii="Times New Roman" w:hAnsi="Times New Roman" w:eastAsia="仿宋" w:cs="Times New Roman"/>
          <w:color w:val="auto"/>
          <w:sz w:val="24"/>
          <w:szCs w:val="24"/>
          <w:highlight w:val="none"/>
          <w:lang w:val="en-US" w:eastAsia="zh-CN"/>
        </w:rPr>
        <w:t>疏勒县自然资源局</w:t>
      </w:r>
      <w:r>
        <w:rPr>
          <w:rFonts w:hint="default" w:ascii="Times New Roman" w:hAnsi="Times New Roman" w:eastAsia="仿宋" w:cs="Times New Roman"/>
          <w:color w:val="auto"/>
          <w:sz w:val="24"/>
          <w:szCs w:val="24"/>
          <w:highlight w:val="none"/>
          <w:lang w:val="en-US" w:eastAsia="zh-CN"/>
        </w:rPr>
        <w:t>提出申请。</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b）严格审核工程单据。第一次拨款使用完毕后，项目实施单位将原始凭证报财政部门，经审查无误填制核销单，项目单位凭核销单记账，再按工程进度第二次拨款。施工单位每年12月，根据土地复垦实施规划和年度计划，做出下一年度的复垦资金使用预算。土地复垦管理机构对复垦资金使用预算进行审核，并提交</w:t>
      </w:r>
      <w:r>
        <w:rPr>
          <w:rFonts w:hint="eastAsia" w:ascii="Times New Roman" w:hAnsi="Times New Roman" w:eastAsia="仿宋" w:cs="Times New Roman"/>
          <w:color w:val="auto"/>
          <w:sz w:val="24"/>
          <w:szCs w:val="24"/>
          <w:highlight w:val="none"/>
          <w:lang w:val="en-US" w:eastAsia="zh-CN"/>
        </w:rPr>
        <w:t>疏勒县自然资源局</w:t>
      </w:r>
      <w:r>
        <w:rPr>
          <w:rFonts w:hint="default" w:ascii="Times New Roman" w:hAnsi="Times New Roman" w:eastAsia="仿宋" w:cs="Times New Roman"/>
          <w:color w:val="auto"/>
          <w:sz w:val="24"/>
          <w:szCs w:val="24"/>
          <w:highlight w:val="none"/>
          <w:lang w:val="en-US" w:eastAsia="zh-CN"/>
        </w:rPr>
        <w:t>审查备案。</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c）复垦资金使用中各阶段复垦费用实际支出与预算金额相差超过20%时，须向土地复垦管理机构提交书面申请，主管人员审核通过后方可使用。</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d）施工单位每月填写复垦资金使用情况报表，对每一笔复垦资金的用途均要有详细明确的记录。复垦资金使用情况报表每月提交土地复垦管理机构审核备案。</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e）保证土地复垦费用专用于土地复垦工作，对截留、挤占、滥用、挪用土地复垦费用的，追究当事人、相关责任人的责任，依法给予相应的行政、经济处分；对当事人和相关责任人构成犯罪的，应依法追究刑事责任。</w:t>
      </w:r>
    </w:p>
    <w:p>
      <w:pPr>
        <w:pStyle w:val="5"/>
        <w:keepNext w:val="0"/>
        <w:keepLines w:val="0"/>
        <w:tabs>
          <w:tab w:val="left" w:pos="426"/>
        </w:tabs>
        <w:adjustRightInd w:val="0"/>
        <w:snapToGrid w:val="0"/>
        <w:spacing w:before="0" w:after="0" w:line="360" w:lineRule="auto"/>
        <w:ind w:firstLine="482" w:firstLineChars="200"/>
        <w:textAlignment w:val="baseline"/>
        <w:rPr>
          <w:rFonts w:hint="default" w:ascii="Times New Roman" w:hAnsi="Times New Roman" w:cs="Times New Roman"/>
          <w:b/>
          <w:bCs w:val="0"/>
          <w:kern w:val="0"/>
          <w:szCs w:val="28"/>
          <w:highlight w:val="none"/>
          <w:lang w:val="en-US" w:eastAsia="zh-CN"/>
        </w:rPr>
      </w:pPr>
      <w:bookmarkStart w:id="241" w:name="_Toc22522"/>
      <w:bookmarkStart w:id="242" w:name="_Toc29149"/>
      <w:bookmarkStart w:id="243" w:name="_Toc53225634"/>
      <w:r>
        <w:rPr>
          <w:rFonts w:hint="default" w:ascii="Times New Roman" w:hAnsi="Times New Roman" w:cs="Times New Roman"/>
          <w:b/>
          <w:bCs w:val="0"/>
          <w:kern w:val="0"/>
          <w:szCs w:val="28"/>
          <w:highlight w:val="none"/>
          <w:lang w:val="en-US" w:eastAsia="zh-CN"/>
        </w:rPr>
        <w:t>10.2.4费用审计</w:t>
      </w:r>
      <w:bookmarkEnd w:id="241"/>
      <w:bookmarkEnd w:id="242"/>
      <w:bookmarkEnd w:id="243"/>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土地复垦资金审计，由本项目土地复垦管理机构申请，</w:t>
      </w:r>
      <w:r>
        <w:rPr>
          <w:rFonts w:hint="eastAsia" w:ascii="Times New Roman" w:hAnsi="Times New Roman" w:eastAsia="仿宋" w:cs="Times New Roman"/>
          <w:color w:val="auto"/>
          <w:sz w:val="24"/>
          <w:szCs w:val="24"/>
          <w:highlight w:val="none"/>
          <w:lang w:val="en-US" w:eastAsia="zh-CN"/>
        </w:rPr>
        <w:t>疏勒县自然资源局</w:t>
      </w:r>
      <w:r>
        <w:rPr>
          <w:rFonts w:hint="default" w:ascii="Times New Roman" w:hAnsi="Times New Roman" w:eastAsia="仿宋" w:cs="Times New Roman"/>
          <w:color w:val="auto"/>
          <w:sz w:val="24"/>
          <w:szCs w:val="24"/>
          <w:highlight w:val="none"/>
          <w:lang w:val="en-US" w:eastAsia="zh-CN"/>
        </w:rPr>
        <w:t>组织和监督，委托中介机构（如：会计师事务所）进行复垦费用审计。审计内容包括费用规模、用途、时间进度等。</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a）审计复垦年度资金预算是否合理；</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b）审计复垦资金使用情况月度报表是否真实；</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c）审计复垦年度资金预算执行情况，以及年度复垦资金收支情况；</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d）审计阶段复垦资金收支及使用情况；</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e）确定资金的会计记录正确无误，金额正确，计量无误，</w:t>
      </w:r>
      <w:r>
        <w:rPr>
          <w:rFonts w:hint="eastAsia" w:ascii="Times New Roman" w:hAnsi="Times New Roman" w:eastAsia="仿宋" w:cs="Times New Roman"/>
          <w:color w:val="auto"/>
          <w:sz w:val="24"/>
          <w:szCs w:val="24"/>
          <w:highlight w:val="none"/>
          <w:lang w:val="en-US" w:eastAsia="zh-CN"/>
        </w:rPr>
        <w:t>明细账和总账</w:t>
      </w:r>
      <w:r>
        <w:rPr>
          <w:rFonts w:hint="default" w:ascii="Times New Roman" w:hAnsi="Times New Roman" w:eastAsia="仿宋" w:cs="Times New Roman"/>
          <w:color w:val="auto"/>
          <w:sz w:val="24"/>
          <w:szCs w:val="24"/>
          <w:highlight w:val="none"/>
          <w:lang w:val="en-US" w:eastAsia="zh-CN"/>
        </w:rPr>
        <w:t>一致，是否有被贪污或挪用现象。</w:t>
      </w:r>
    </w:p>
    <w:p>
      <w:pPr>
        <w:pStyle w:val="4"/>
        <w:keepNext/>
        <w:keepLines/>
        <w:pageBreakBefore w:val="0"/>
        <w:widowControl w:val="0"/>
        <w:shd w:val="clear"/>
        <w:kinsoku/>
        <w:wordWrap/>
        <w:overflowPunct/>
        <w:topLinePunct w:val="0"/>
        <w:autoSpaceDE/>
        <w:autoSpaceDN/>
        <w:bidi w:val="0"/>
        <w:adjustRightInd/>
        <w:snapToGrid/>
        <w:spacing w:before="0" w:after="0" w:line="360" w:lineRule="auto"/>
        <w:textAlignment w:val="auto"/>
        <w:rPr>
          <w:rFonts w:hint="eastAsia" w:cs="Times New Roman"/>
          <w:color w:val="auto"/>
          <w:highlight w:val="none"/>
          <w:lang w:val="en-US" w:eastAsia="zh-CN"/>
        </w:rPr>
      </w:pPr>
      <w:bookmarkStart w:id="244" w:name="_Toc53225510"/>
      <w:bookmarkStart w:id="245" w:name="_Toc17009"/>
      <w:bookmarkStart w:id="246" w:name="_Toc53225635"/>
      <w:bookmarkStart w:id="247" w:name="_Toc25030"/>
      <w:bookmarkStart w:id="248" w:name="_Toc53593100"/>
      <w:r>
        <w:rPr>
          <w:rFonts w:hint="eastAsia" w:cs="Times New Roman"/>
          <w:color w:val="auto"/>
          <w:highlight w:val="none"/>
          <w:lang w:val="en-US" w:eastAsia="zh-CN"/>
        </w:rPr>
        <w:t>10.3监管保障措施</w:t>
      </w:r>
      <w:bookmarkEnd w:id="244"/>
      <w:bookmarkEnd w:id="245"/>
      <w:bookmarkEnd w:id="246"/>
      <w:bookmarkEnd w:id="247"/>
      <w:bookmarkEnd w:id="248"/>
    </w:p>
    <w:p>
      <w:pPr>
        <w:pStyle w:val="5"/>
        <w:keepNext w:val="0"/>
        <w:keepLines w:val="0"/>
        <w:tabs>
          <w:tab w:val="left" w:pos="426"/>
        </w:tabs>
        <w:adjustRightInd w:val="0"/>
        <w:snapToGrid w:val="0"/>
        <w:spacing w:before="0" w:after="0" w:line="360" w:lineRule="auto"/>
        <w:ind w:firstLine="482" w:firstLineChars="200"/>
        <w:textAlignment w:val="baseline"/>
        <w:rPr>
          <w:rFonts w:hint="default" w:ascii="Times New Roman" w:hAnsi="Times New Roman" w:cs="Times New Roman"/>
          <w:b/>
          <w:bCs w:val="0"/>
          <w:kern w:val="0"/>
          <w:szCs w:val="28"/>
          <w:highlight w:val="none"/>
          <w:lang w:val="en-US" w:eastAsia="zh-CN"/>
        </w:rPr>
      </w:pPr>
      <w:bookmarkStart w:id="249" w:name="_Toc15202"/>
      <w:bookmarkStart w:id="250" w:name="_Toc53225636"/>
      <w:bookmarkStart w:id="251" w:name="_Toc6091"/>
      <w:r>
        <w:rPr>
          <w:rFonts w:hint="default" w:ascii="Times New Roman" w:hAnsi="Times New Roman" w:cs="Times New Roman"/>
          <w:b/>
          <w:bCs w:val="0"/>
          <w:kern w:val="0"/>
          <w:szCs w:val="28"/>
          <w:highlight w:val="none"/>
          <w:lang w:val="en-US" w:eastAsia="zh-CN"/>
        </w:rPr>
        <w:t>10.3.1土地复垦监测</w:t>
      </w:r>
      <w:bookmarkEnd w:id="249"/>
      <w:bookmarkEnd w:id="250"/>
      <w:bookmarkEnd w:id="251"/>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本项目土地复垦过程中的监测包括两个方面：一是复垦前</w:t>
      </w:r>
      <w:r>
        <w:rPr>
          <w:rFonts w:hint="eastAsia" w:ascii="Times New Roman" w:hAnsi="Times New Roman" w:eastAsia="仿宋" w:cs="Times New Roman"/>
          <w:color w:val="auto"/>
          <w:sz w:val="24"/>
          <w:szCs w:val="24"/>
          <w:highlight w:val="none"/>
          <w:lang w:val="en-US" w:eastAsia="zh-CN"/>
        </w:rPr>
        <w:t>地势</w:t>
      </w:r>
      <w:r>
        <w:rPr>
          <w:rFonts w:hint="default" w:ascii="Times New Roman" w:hAnsi="Times New Roman" w:eastAsia="仿宋" w:cs="Times New Roman"/>
          <w:color w:val="auto"/>
          <w:sz w:val="24"/>
          <w:szCs w:val="24"/>
          <w:highlight w:val="none"/>
          <w:lang w:val="en-US" w:eastAsia="zh-CN"/>
        </w:rPr>
        <w:t>地貌和损毁情况监测；二是复垦前后土地复垦效果监测，及时掌握复垦土地质量情况。通过严格监测，使复垦土地符合土地复垦质量要求和环境保护标准，保护生态环境。</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土地复垦监测实施以土地复垦管理部门为主，定期请当地的生态学、土壤学等专家进行。复垦义务人应当于每年12月31日前向</w:t>
      </w:r>
      <w:r>
        <w:rPr>
          <w:rFonts w:hint="eastAsia" w:ascii="Times New Roman" w:hAnsi="Times New Roman" w:eastAsia="仿宋" w:cs="Times New Roman"/>
          <w:color w:val="auto"/>
          <w:sz w:val="24"/>
          <w:szCs w:val="24"/>
          <w:highlight w:val="none"/>
          <w:lang w:val="en-US" w:eastAsia="zh-CN"/>
        </w:rPr>
        <w:t>疏勒县自然资源局</w:t>
      </w:r>
      <w:r>
        <w:rPr>
          <w:rFonts w:hint="default" w:ascii="Times New Roman" w:hAnsi="Times New Roman" w:eastAsia="仿宋" w:cs="Times New Roman"/>
          <w:color w:val="auto"/>
          <w:sz w:val="24"/>
          <w:szCs w:val="24"/>
          <w:highlight w:val="none"/>
          <w:lang w:val="en-US" w:eastAsia="zh-CN"/>
        </w:rPr>
        <w:t>报告项目土地复垦费用使用情况及土地复垦工程实施情况，积极配合</w:t>
      </w:r>
      <w:r>
        <w:rPr>
          <w:rFonts w:hint="eastAsia" w:ascii="Times New Roman" w:hAnsi="Times New Roman" w:eastAsia="仿宋" w:cs="Times New Roman"/>
          <w:color w:val="auto"/>
          <w:sz w:val="24"/>
          <w:szCs w:val="24"/>
          <w:highlight w:val="none"/>
          <w:lang w:val="en-US" w:eastAsia="zh-CN"/>
        </w:rPr>
        <w:t>疏勒县自然资源局</w:t>
      </w:r>
      <w:r>
        <w:rPr>
          <w:rFonts w:hint="default" w:ascii="Times New Roman" w:hAnsi="Times New Roman" w:eastAsia="仿宋" w:cs="Times New Roman"/>
          <w:color w:val="auto"/>
          <w:sz w:val="24"/>
          <w:szCs w:val="24"/>
          <w:highlight w:val="none"/>
          <w:lang w:val="en-US" w:eastAsia="zh-CN"/>
        </w:rPr>
        <w:t>对土地复垦费用的使用和土地复垦工程实施情况的监督检查。</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若复垦施工单位拒绝、阻碍自然资源主管部门监督检查，或者在接受监督检查时弄虚作假的，由</w:t>
      </w:r>
      <w:r>
        <w:rPr>
          <w:rFonts w:hint="eastAsia" w:ascii="Times New Roman" w:hAnsi="Times New Roman" w:eastAsia="仿宋" w:cs="Times New Roman"/>
          <w:color w:val="auto"/>
          <w:sz w:val="24"/>
          <w:szCs w:val="24"/>
          <w:highlight w:val="none"/>
          <w:lang w:val="en-US" w:eastAsia="zh-CN"/>
        </w:rPr>
        <w:t>疏勒县自然资源局</w:t>
      </w:r>
      <w:r>
        <w:rPr>
          <w:rFonts w:hint="default" w:ascii="Times New Roman" w:hAnsi="Times New Roman" w:eastAsia="仿宋" w:cs="Times New Roman"/>
          <w:color w:val="auto"/>
          <w:sz w:val="24"/>
          <w:szCs w:val="24"/>
          <w:highlight w:val="none"/>
          <w:lang w:val="en-US" w:eastAsia="zh-CN"/>
        </w:rPr>
        <w:t>责令改正，处2万元以上5万元以下的罚款；有关责任人员构成违反治安管理行为的，由公安机关依法予以治安管理处罚；有关责任人员构成犯罪的，依法追究刑事责任。</w:t>
      </w:r>
    </w:p>
    <w:p>
      <w:pPr>
        <w:pStyle w:val="5"/>
        <w:keepNext w:val="0"/>
        <w:keepLines w:val="0"/>
        <w:tabs>
          <w:tab w:val="left" w:pos="426"/>
        </w:tabs>
        <w:adjustRightInd w:val="0"/>
        <w:snapToGrid w:val="0"/>
        <w:spacing w:before="0" w:after="0" w:line="360" w:lineRule="auto"/>
        <w:ind w:firstLine="482" w:firstLineChars="200"/>
        <w:textAlignment w:val="baseline"/>
        <w:rPr>
          <w:rFonts w:hint="default" w:ascii="Times New Roman" w:hAnsi="Times New Roman" w:cs="Times New Roman"/>
          <w:b/>
          <w:bCs w:val="0"/>
          <w:kern w:val="0"/>
          <w:szCs w:val="28"/>
          <w:highlight w:val="none"/>
          <w:lang w:val="en-US" w:eastAsia="zh-CN"/>
        </w:rPr>
      </w:pPr>
      <w:bookmarkStart w:id="252" w:name="_Toc53225637"/>
      <w:bookmarkStart w:id="253" w:name="_Toc32178"/>
      <w:bookmarkStart w:id="254" w:name="_Toc24066"/>
      <w:r>
        <w:rPr>
          <w:rFonts w:hint="default" w:ascii="Times New Roman" w:hAnsi="Times New Roman" w:cs="Times New Roman"/>
          <w:b/>
          <w:bCs w:val="0"/>
          <w:kern w:val="0"/>
          <w:szCs w:val="28"/>
          <w:highlight w:val="none"/>
          <w:lang w:val="en-US" w:eastAsia="zh-CN"/>
        </w:rPr>
        <w:t>10.3.2土地复垦验收</w:t>
      </w:r>
      <w:bookmarkEnd w:id="252"/>
      <w:bookmarkEnd w:id="253"/>
      <w:bookmarkEnd w:id="254"/>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参与项目勘察、设计、施工及管理的单位，必须具备国家规定的资质条件，取得相应的资质证书；项目质量管理必须严格按照有关规范、规程执行，做到责任明确，奖罚分明，施工所需材料须经质检部门验收合格后方可使用。</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土地复垦义务人按照土地复垦方案的要求完成本项目土地复垦任务后，应当按照规定向</w:t>
      </w:r>
      <w:r>
        <w:rPr>
          <w:rFonts w:hint="eastAsia" w:ascii="Times New Roman" w:hAnsi="Times New Roman" w:eastAsia="仿宋" w:cs="Times New Roman"/>
          <w:color w:val="auto"/>
          <w:sz w:val="24"/>
          <w:szCs w:val="24"/>
          <w:highlight w:val="none"/>
          <w:lang w:val="en-US" w:eastAsia="zh-CN"/>
        </w:rPr>
        <w:t>疏勒县自然资源局</w:t>
      </w:r>
      <w:r>
        <w:rPr>
          <w:rFonts w:hint="default" w:ascii="Times New Roman" w:hAnsi="Times New Roman" w:eastAsia="仿宋" w:cs="Times New Roman"/>
          <w:color w:val="auto"/>
          <w:sz w:val="24"/>
          <w:szCs w:val="24"/>
          <w:highlight w:val="none"/>
          <w:lang w:val="en-US" w:eastAsia="zh-CN"/>
        </w:rPr>
        <w:t>申请验收，</w:t>
      </w:r>
      <w:r>
        <w:rPr>
          <w:rFonts w:hint="eastAsia" w:ascii="Times New Roman" w:hAnsi="Times New Roman" w:eastAsia="仿宋" w:cs="Times New Roman"/>
          <w:color w:val="auto"/>
          <w:sz w:val="24"/>
          <w:szCs w:val="24"/>
          <w:highlight w:val="none"/>
          <w:lang w:val="en-US" w:eastAsia="zh-CN"/>
        </w:rPr>
        <w:t>疏勒县自然资源局</w:t>
      </w:r>
      <w:r>
        <w:rPr>
          <w:rFonts w:hint="default" w:ascii="Times New Roman" w:hAnsi="Times New Roman" w:eastAsia="仿宋" w:cs="Times New Roman"/>
          <w:color w:val="auto"/>
          <w:sz w:val="24"/>
          <w:szCs w:val="24"/>
          <w:highlight w:val="none"/>
          <w:lang w:val="en-US" w:eastAsia="zh-CN"/>
        </w:rPr>
        <w:t>接到申请后会同当地农业、林业、环境保护等有关部门邀请有关专家进行现场踏勘，查验复垦后的土地是否符合土地复垦质量要求以及土地复垦方案的要求，核实复垦后的土地类型、面积和质量等情况，并将初步验收结果公告，听取相关权利人的意见。相关权利人对土地复垦完成情况提出异议的，</w:t>
      </w:r>
      <w:r>
        <w:rPr>
          <w:rFonts w:hint="eastAsia" w:ascii="Times New Roman" w:hAnsi="Times New Roman" w:eastAsia="仿宋" w:cs="Times New Roman"/>
          <w:color w:val="auto"/>
          <w:sz w:val="24"/>
          <w:szCs w:val="24"/>
          <w:highlight w:val="none"/>
          <w:lang w:val="en-US" w:eastAsia="zh-CN"/>
        </w:rPr>
        <w:t>疏勒县自然资源局</w:t>
      </w:r>
      <w:r>
        <w:rPr>
          <w:rFonts w:hint="default" w:ascii="Times New Roman" w:hAnsi="Times New Roman" w:eastAsia="仿宋" w:cs="Times New Roman"/>
          <w:color w:val="auto"/>
          <w:sz w:val="24"/>
          <w:szCs w:val="24"/>
          <w:highlight w:val="none"/>
          <w:lang w:val="en-US" w:eastAsia="zh-CN"/>
        </w:rPr>
        <w:t>将会同有关部门进一步核查，并将核查情况向相关权利人反馈；情况属实的，应向土地复垦义务人提出整改意见。</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本项目土地复垦验收为复垦工程完工之后，重点验收对象为采取工程措施复垦的内容，验收标准为工程措施标准。</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土地复垦经验收合格的，</w:t>
      </w:r>
      <w:r>
        <w:rPr>
          <w:rFonts w:hint="eastAsia" w:ascii="Times New Roman" w:hAnsi="Times New Roman" w:eastAsia="仿宋" w:cs="Times New Roman"/>
          <w:color w:val="auto"/>
          <w:sz w:val="24"/>
          <w:szCs w:val="24"/>
          <w:highlight w:val="none"/>
          <w:lang w:val="en-US" w:eastAsia="zh-CN"/>
        </w:rPr>
        <w:t>疏勒县自然资源局</w:t>
      </w:r>
      <w:r>
        <w:rPr>
          <w:rFonts w:hint="default" w:ascii="Times New Roman" w:hAnsi="Times New Roman" w:eastAsia="仿宋" w:cs="Times New Roman"/>
          <w:color w:val="auto"/>
          <w:sz w:val="24"/>
          <w:szCs w:val="24"/>
          <w:highlight w:val="none"/>
          <w:lang w:val="en-US" w:eastAsia="zh-CN"/>
        </w:rPr>
        <w:t>将向复垦单位出具验收合格确认书；经验收不合格的，将向复垦单位出具书面整改意见，复垦单位应按照整改意见进行整改，整改完成后重新申请验收。若整改后仍不合格的，应当缴纳土地复垦费，由</w:t>
      </w:r>
      <w:r>
        <w:rPr>
          <w:rFonts w:hint="eastAsia" w:ascii="Times New Roman" w:hAnsi="Times New Roman" w:eastAsia="仿宋" w:cs="Times New Roman"/>
          <w:color w:val="auto"/>
          <w:sz w:val="24"/>
          <w:szCs w:val="24"/>
          <w:highlight w:val="none"/>
          <w:lang w:val="en-US" w:eastAsia="zh-CN"/>
        </w:rPr>
        <w:t>疏勒县自然资源局</w:t>
      </w:r>
      <w:r>
        <w:rPr>
          <w:rFonts w:hint="default" w:ascii="Times New Roman" w:hAnsi="Times New Roman" w:eastAsia="仿宋" w:cs="Times New Roman"/>
          <w:color w:val="auto"/>
          <w:sz w:val="24"/>
          <w:szCs w:val="24"/>
          <w:highlight w:val="none"/>
          <w:lang w:val="en-US" w:eastAsia="zh-CN"/>
        </w:rPr>
        <w:t>代为组织复垦。若复垦义务人未按规定缴纳本项目土地复垦费的，由</w:t>
      </w:r>
      <w:r>
        <w:rPr>
          <w:rFonts w:hint="eastAsia" w:ascii="Times New Roman" w:hAnsi="Times New Roman" w:eastAsia="仿宋" w:cs="Times New Roman"/>
          <w:color w:val="auto"/>
          <w:sz w:val="24"/>
          <w:szCs w:val="24"/>
          <w:highlight w:val="none"/>
          <w:lang w:val="en-US" w:eastAsia="zh-CN"/>
        </w:rPr>
        <w:t>疏勒县自然资源局</w:t>
      </w:r>
      <w:r>
        <w:rPr>
          <w:rFonts w:hint="default" w:ascii="Times New Roman" w:hAnsi="Times New Roman" w:eastAsia="仿宋" w:cs="Times New Roman"/>
          <w:color w:val="auto"/>
          <w:sz w:val="24"/>
          <w:szCs w:val="24"/>
          <w:highlight w:val="none"/>
          <w:lang w:val="en-US" w:eastAsia="zh-CN"/>
        </w:rPr>
        <w:t>责令限期缴纳；逾期不缴纳的，按国家相关规定处罚。</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若复垦义务人未按照规定报告本项目土地损毁情况、土地复垦费用使用情况或者土地复垦工程实施情况的，由</w:t>
      </w:r>
      <w:r>
        <w:rPr>
          <w:rFonts w:hint="eastAsia" w:ascii="Times New Roman" w:hAnsi="Times New Roman" w:eastAsia="仿宋" w:cs="Times New Roman"/>
          <w:color w:val="auto"/>
          <w:sz w:val="24"/>
          <w:szCs w:val="24"/>
          <w:highlight w:val="none"/>
          <w:lang w:val="en-US" w:eastAsia="zh-CN"/>
        </w:rPr>
        <w:t>疏勒县自然资源局</w:t>
      </w:r>
      <w:r>
        <w:rPr>
          <w:rFonts w:hint="default" w:ascii="Times New Roman" w:hAnsi="Times New Roman" w:eastAsia="仿宋" w:cs="Times New Roman"/>
          <w:color w:val="auto"/>
          <w:sz w:val="24"/>
          <w:szCs w:val="24"/>
          <w:highlight w:val="none"/>
          <w:lang w:val="en-US" w:eastAsia="zh-CN"/>
        </w:rPr>
        <w:t>责令限期改正；逾期不改正，按国家相关规定处罚。</w:t>
      </w:r>
    </w:p>
    <w:p>
      <w:pPr>
        <w:pStyle w:val="4"/>
        <w:keepNext/>
        <w:keepLines/>
        <w:pageBreakBefore w:val="0"/>
        <w:widowControl w:val="0"/>
        <w:shd w:val="clear"/>
        <w:kinsoku/>
        <w:wordWrap/>
        <w:overflowPunct/>
        <w:topLinePunct w:val="0"/>
        <w:autoSpaceDE/>
        <w:autoSpaceDN/>
        <w:bidi w:val="0"/>
        <w:adjustRightInd/>
        <w:snapToGrid/>
        <w:spacing w:before="0" w:after="0" w:line="360" w:lineRule="auto"/>
        <w:textAlignment w:val="auto"/>
        <w:rPr>
          <w:rFonts w:hint="eastAsia" w:cs="Times New Roman"/>
          <w:color w:val="auto"/>
          <w:highlight w:val="none"/>
          <w:lang w:val="en-US" w:eastAsia="zh-CN"/>
        </w:rPr>
      </w:pPr>
      <w:bookmarkStart w:id="255" w:name="_Toc53593101"/>
      <w:bookmarkStart w:id="256" w:name="_Toc53225511"/>
      <w:bookmarkStart w:id="257" w:name="_Toc6162"/>
      <w:bookmarkStart w:id="258" w:name="_Toc53225638"/>
      <w:bookmarkStart w:id="259" w:name="_Toc10181"/>
      <w:r>
        <w:rPr>
          <w:rFonts w:hint="eastAsia" w:cs="Times New Roman"/>
          <w:color w:val="auto"/>
          <w:highlight w:val="none"/>
          <w:lang w:val="en-US" w:eastAsia="zh-CN"/>
        </w:rPr>
        <w:t>10.4技术保障措施</w:t>
      </w:r>
      <w:bookmarkEnd w:id="255"/>
      <w:bookmarkEnd w:id="256"/>
      <w:bookmarkEnd w:id="257"/>
      <w:bookmarkEnd w:id="258"/>
      <w:bookmarkEnd w:id="259"/>
    </w:p>
    <w:p>
      <w:pPr>
        <w:shd w:val="clear"/>
        <w:spacing w:line="360" w:lineRule="auto"/>
        <w:ind w:firstLine="480" w:firstLineChars="200"/>
        <w:rPr>
          <w:rFonts w:hint="default" w:ascii="Times New Roman" w:hAnsi="Times New Roman" w:eastAsia="仿宋_GB2312" w:cs="Times New Roman"/>
          <w:color w:val="auto"/>
          <w:sz w:val="24"/>
          <w:szCs w:val="24"/>
          <w:highlight w:val="none"/>
          <w:lang w:eastAsia="zh-CN"/>
        </w:rPr>
      </w:pPr>
      <w:r>
        <w:rPr>
          <w:rFonts w:hint="default" w:ascii="Times New Roman" w:hAnsi="Times New Roman" w:eastAsia="仿宋" w:cs="Times New Roman"/>
          <w:color w:val="auto"/>
          <w:sz w:val="24"/>
          <w:szCs w:val="24"/>
          <w:highlight w:val="none"/>
          <w:lang w:val="en-US" w:eastAsia="zh-CN"/>
        </w:rPr>
        <w:t>土地复垦工作人员须掌握土地复垦基础知识，受过相关专业的专门训练；在施工过程中技术人员要亲临现场进行施工监理，确保工程施工的质量及标准，及时解决复垦过程中的问题。本项目区的土地复垦工程与项目所在地区的相关规划和生态环境综合治理工作密切结合，在实际的复垦过程中，复垦单位将联合相关科研机构及当地国土、环保、农业等政府部门，进行多方联手攻关，保证复垦生态系统向良性方向发展</w:t>
      </w:r>
      <w:r>
        <w:rPr>
          <w:rFonts w:hint="default" w:ascii="Times New Roman" w:hAnsi="Times New Roman" w:eastAsia="仿宋_GB2312" w:cs="Times New Roman"/>
          <w:color w:val="auto"/>
          <w:sz w:val="24"/>
          <w:szCs w:val="24"/>
          <w:highlight w:val="none"/>
          <w:lang w:eastAsia="zh-CN"/>
        </w:rPr>
        <w:t>。</w:t>
      </w:r>
    </w:p>
    <w:p>
      <w:pPr>
        <w:pStyle w:val="4"/>
        <w:keepNext/>
        <w:keepLines/>
        <w:pageBreakBefore w:val="0"/>
        <w:widowControl w:val="0"/>
        <w:shd w:val="clear"/>
        <w:kinsoku/>
        <w:wordWrap/>
        <w:overflowPunct/>
        <w:topLinePunct w:val="0"/>
        <w:autoSpaceDE/>
        <w:autoSpaceDN/>
        <w:bidi w:val="0"/>
        <w:adjustRightInd/>
        <w:snapToGrid/>
        <w:spacing w:before="0" w:after="0" w:line="360" w:lineRule="auto"/>
        <w:textAlignment w:val="auto"/>
        <w:rPr>
          <w:rFonts w:hint="eastAsia" w:cs="Times New Roman"/>
          <w:color w:val="auto"/>
          <w:highlight w:val="none"/>
          <w:lang w:val="en-US" w:eastAsia="zh-CN"/>
        </w:rPr>
      </w:pPr>
      <w:bookmarkStart w:id="260" w:name="_Toc53225512"/>
      <w:bookmarkStart w:id="261" w:name="_Toc439"/>
      <w:bookmarkStart w:id="262" w:name="_Toc53225639"/>
      <w:bookmarkStart w:id="263" w:name="_Toc31545"/>
      <w:bookmarkStart w:id="264" w:name="_Toc53593102"/>
      <w:r>
        <w:rPr>
          <w:rFonts w:hint="eastAsia" w:cs="Times New Roman"/>
          <w:color w:val="auto"/>
          <w:highlight w:val="none"/>
          <w:lang w:val="en-US" w:eastAsia="zh-CN"/>
        </w:rPr>
        <w:t>10.5公众参与</w:t>
      </w:r>
      <w:bookmarkEnd w:id="260"/>
      <w:bookmarkEnd w:id="261"/>
      <w:bookmarkEnd w:id="262"/>
      <w:bookmarkEnd w:id="263"/>
      <w:bookmarkEnd w:id="264"/>
    </w:p>
    <w:p>
      <w:pPr>
        <w:pStyle w:val="5"/>
        <w:keepNext w:val="0"/>
        <w:keepLines w:val="0"/>
        <w:tabs>
          <w:tab w:val="left" w:pos="426"/>
        </w:tabs>
        <w:adjustRightInd w:val="0"/>
        <w:snapToGrid w:val="0"/>
        <w:spacing w:before="0" w:after="0" w:line="360" w:lineRule="auto"/>
        <w:ind w:firstLine="482" w:firstLineChars="200"/>
        <w:textAlignment w:val="baseline"/>
        <w:rPr>
          <w:rFonts w:hint="default" w:ascii="Times New Roman" w:hAnsi="Times New Roman" w:cs="Times New Roman"/>
          <w:b/>
          <w:bCs w:val="0"/>
          <w:kern w:val="0"/>
          <w:szCs w:val="28"/>
          <w:highlight w:val="none"/>
          <w:lang w:val="en-US" w:eastAsia="zh-CN"/>
        </w:rPr>
      </w:pPr>
      <w:bookmarkStart w:id="265" w:name="_Toc2105"/>
      <w:bookmarkStart w:id="266" w:name="_Toc53225640"/>
      <w:bookmarkStart w:id="267" w:name="_Toc24010"/>
      <w:r>
        <w:rPr>
          <w:rFonts w:hint="default" w:ascii="Times New Roman" w:hAnsi="Times New Roman" w:cs="Times New Roman"/>
          <w:b/>
          <w:bCs w:val="0"/>
          <w:kern w:val="0"/>
          <w:szCs w:val="28"/>
          <w:highlight w:val="none"/>
          <w:lang w:val="en-US" w:eastAsia="zh-CN"/>
        </w:rPr>
        <w:t>10.5.1复垦方案编制中的公众参与</w:t>
      </w:r>
      <w:bookmarkEnd w:id="265"/>
      <w:bookmarkEnd w:id="266"/>
      <w:bookmarkEnd w:id="267"/>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土地复垦是一项庞大的系统工程，需要大力引导公众参与土地复垦工作的力度，积极宣传土地复垦的</w:t>
      </w:r>
      <w:r>
        <w:rPr>
          <w:rFonts w:hint="eastAsia" w:ascii="Times New Roman" w:hAnsi="Times New Roman" w:eastAsia="仿宋" w:cs="Times New Roman"/>
          <w:color w:val="auto"/>
          <w:sz w:val="24"/>
          <w:szCs w:val="24"/>
          <w:highlight w:val="none"/>
          <w:lang w:val="en-US" w:eastAsia="zh-CN"/>
        </w:rPr>
        <w:t>法律法规</w:t>
      </w:r>
      <w:r>
        <w:rPr>
          <w:rFonts w:hint="default" w:ascii="Times New Roman" w:hAnsi="Times New Roman" w:eastAsia="仿宋" w:cs="Times New Roman"/>
          <w:color w:val="auto"/>
          <w:sz w:val="24"/>
          <w:szCs w:val="24"/>
          <w:highlight w:val="none"/>
          <w:lang w:val="en-US" w:eastAsia="zh-CN"/>
        </w:rPr>
        <w:t>和相关政策，使社会各界形成复垦土地、保护生态的共识。本项目公众参与方式包括：</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（1）信息公开</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向公众发布复垦报告</w:t>
      </w:r>
      <w:r>
        <w:rPr>
          <w:rFonts w:hint="eastAsia" w:ascii="Times New Roman" w:hAnsi="Times New Roman" w:eastAsia="仿宋" w:cs="Times New Roman"/>
          <w:color w:val="auto"/>
          <w:sz w:val="24"/>
          <w:szCs w:val="24"/>
          <w:highlight w:val="none"/>
          <w:lang w:val="en-US" w:eastAsia="zh-CN"/>
        </w:rPr>
        <w:t>公告</w:t>
      </w:r>
      <w:r>
        <w:rPr>
          <w:rFonts w:hint="default" w:ascii="Times New Roman" w:hAnsi="Times New Roman" w:eastAsia="仿宋" w:cs="Times New Roman"/>
          <w:color w:val="auto"/>
          <w:sz w:val="24"/>
          <w:szCs w:val="24"/>
          <w:highlight w:val="none"/>
          <w:lang w:val="en-US" w:eastAsia="zh-CN"/>
        </w:rPr>
        <w:t>，公示建设项目的基本情况、土地复垦工作的主要内容及公众提出意见的方式等。公告主要粘贴在项目区所在地人员密集处，引来群众驻足观看，当地群众对公告的内容和形式也较接受。</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（2）发放调查表</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走访工程涉及的单位和群众，广泛征询了项目区所在地的相关管理部门的意见和建议，并采取发放公众意见调查表的方式了解群众对本工程的意见。</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（3）增强复垦意识</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要深入开展土地基本国情和国策教育，加强土地复垦法规和政策宣传，提高全社会对土地复垦在</w:t>
      </w:r>
      <w:r>
        <w:rPr>
          <w:rFonts w:hint="eastAsia" w:ascii="Times New Roman" w:hAnsi="Times New Roman" w:eastAsia="仿宋" w:cs="Times New Roman"/>
          <w:color w:val="auto"/>
          <w:sz w:val="24"/>
          <w:szCs w:val="24"/>
          <w:highlight w:val="none"/>
          <w:lang w:val="en-US" w:eastAsia="zh-CN"/>
        </w:rPr>
        <w:t>全面建成小康社会</w:t>
      </w:r>
      <w:r>
        <w:rPr>
          <w:rFonts w:hint="default" w:ascii="Times New Roman" w:hAnsi="Times New Roman" w:eastAsia="仿宋" w:cs="Times New Roman"/>
          <w:color w:val="auto"/>
          <w:sz w:val="24"/>
          <w:szCs w:val="24"/>
          <w:highlight w:val="none"/>
          <w:lang w:val="en-US" w:eastAsia="zh-CN"/>
        </w:rPr>
        <w:t>，实施可持续发展战略，保护和建设生态环境中的重要作用的认识。树立依法、按规划进行土地复垦的观念，增强公众参与和监督意识。</w:t>
      </w:r>
    </w:p>
    <w:p>
      <w:pPr>
        <w:pStyle w:val="2"/>
        <w:ind w:firstLine="480"/>
        <w:rPr>
          <w:rFonts w:ascii="Times New Roman" w:cs="Times New Roman"/>
          <w:highlight w:val="none"/>
        </w:rPr>
      </w:pPr>
    </w:p>
    <w:p>
      <w:pPr>
        <w:ind w:firstLine="480"/>
        <w:rPr>
          <w:highlight w:val="none"/>
          <w:lang w:eastAsia="zh-CN"/>
        </w:rPr>
      </w:pPr>
      <w:r>
        <w:rPr>
          <w:highlight w:val="none"/>
          <w:lang w:eastAsia="zh-CN"/>
        </w:rPr>
        <w:br w:type="page"/>
      </w:r>
    </w:p>
    <w:p>
      <w:pPr>
        <w:pStyle w:val="43"/>
        <w:ind w:firstLine="420"/>
        <w:rPr>
          <w:rFonts w:ascii="Times New Roman" w:hAnsi="Times New Roman" w:cs="Times New Roman"/>
          <w:color w:val="auto"/>
          <w:highlight w:val="none"/>
        </w:rPr>
      </w:pPr>
      <w:bookmarkStart w:id="268" w:name="_Toc53225641"/>
      <w:r>
        <w:rPr>
          <w:rFonts w:ascii="Times New Roman" w:hAnsi="Times New Roman" w:cs="Times New Roman"/>
          <w:color w:val="auto"/>
          <w:highlight w:val="none"/>
        </w:rPr>
        <w:t>表10</w:t>
      </w:r>
      <w:r>
        <w:rPr>
          <w:rFonts w:hint="eastAsia" w:ascii="Times New Roman" w:hAnsi="Times New Roman" w:cs="Times New Roman"/>
          <w:color w:val="auto"/>
          <w:highlight w:val="none"/>
        </w:rPr>
        <w:t>.5</w:t>
      </w:r>
      <w:r>
        <w:rPr>
          <w:rFonts w:ascii="Times New Roman" w:hAnsi="Times New Roman" w:cs="Times New Roman"/>
          <w:color w:val="auto"/>
          <w:highlight w:val="none"/>
        </w:rPr>
        <w:t>-1土地复垦方案编制公众参与调查表</w:t>
      </w:r>
    </w:p>
    <w:p>
      <w:pPr>
        <w:spacing w:before="6" w:line="10" w:lineRule="exact"/>
        <w:ind w:firstLine="20"/>
        <w:rPr>
          <w:sz w:val="1"/>
          <w:szCs w:val="1"/>
          <w:highlight w:val="none"/>
          <w:lang w:eastAsia="zh-CN"/>
        </w:rPr>
      </w:pPr>
    </w:p>
    <w:tbl>
      <w:tblPr>
        <w:tblStyle w:val="22"/>
        <w:tblW w:w="8550" w:type="dxa"/>
        <w:jc w:val="center"/>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600"/>
        <w:gridCol w:w="1112"/>
        <w:gridCol w:w="710"/>
        <w:gridCol w:w="1296"/>
        <w:gridCol w:w="908"/>
        <w:gridCol w:w="790"/>
        <w:gridCol w:w="814"/>
        <w:gridCol w:w="547"/>
        <w:gridCol w:w="77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362" w:hRule="exact"/>
          <w:jc w:val="center"/>
        </w:trPr>
        <w:tc>
          <w:tcPr>
            <w:tcW w:w="1600" w:type="dxa"/>
            <w:vAlign w:val="center"/>
          </w:tcPr>
          <w:p>
            <w:pPr>
              <w:pStyle w:val="40"/>
              <w:ind w:firstLine="0" w:firstLineChars="0"/>
              <w:rPr>
                <w:color w:val="auto"/>
                <w:highlight w:val="none"/>
              </w:rPr>
            </w:pPr>
            <w:r>
              <w:rPr>
                <w:color w:val="auto"/>
                <w:highlight w:val="none"/>
              </w:rPr>
              <w:t>姓</w:t>
            </w:r>
            <w:r>
              <w:rPr>
                <w:color w:val="auto"/>
                <w:highlight w:val="none"/>
              </w:rPr>
              <w:tab/>
            </w:r>
            <w:r>
              <w:rPr>
                <w:color w:val="auto"/>
                <w:highlight w:val="none"/>
              </w:rPr>
              <w:t>名</w:t>
            </w:r>
          </w:p>
        </w:tc>
        <w:tc>
          <w:tcPr>
            <w:tcW w:w="1112" w:type="dxa"/>
            <w:vAlign w:val="center"/>
          </w:tcPr>
          <w:p>
            <w:pPr>
              <w:pStyle w:val="40"/>
              <w:ind w:firstLine="0" w:firstLineChars="0"/>
              <w:rPr>
                <w:color w:val="auto"/>
                <w:highlight w:val="none"/>
              </w:rPr>
            </w:pPr>
          </w:p>
        </w:tc>
        <w:tc>
          <w:tcPr>
            <w:tcW w:w="710" w:type="dxa"/>
            <w:vAlign w:val="center"/>
          </w:tcPr>
          <w:p>
            <w:pPr>
              <w:pStyle w:val="40"/>
              <w:ind w:firstLine="0" w:firstLineChars="0"/>
              <w:rPr>
                <w:color w:val="auto"/>
                <w:highlight w:val="none"/>
              </w:rPr>
            </w:pPr>
            <w:r>
              <w:rPr>
                <w:color w:val="auto"/>
                <w:highlight w:val="none"/>
              </w:rPr>
              <w:t>性别</w:t>
            </w:r>
          </w:p>
        </w:tc>
        <w:tc>
          <w:tcPr>
            <w:tcW w:w="1296" w:type="dxa"/>
            <w:vAlign w:val="center"/>
          </w:tcPr>
          <w:p>
            <w:pPr>
              <w:pStyle w:val="40"/>
              <w:ind w:firstLine="0" w:firstLineChars="0"/>
              <w:rPr>
                <w:color w:val="auto"/>
                <w:highlight w:val="none"/>
              </w:rPr>
            </w:pPr>
            <w:r>
              <w:rPr>
                <w:color w:val="auto"/>
                <w:highlight w:val="none"/>
              </w:rPr>
              <w:t>男□女□</w:t>
            </w:r>
          </w:p>
        </w:tc>
        <w:tc>
          <w:tcPr>
            <w:tcW w:w="908" w:type="dxa"/>
            <w:vAlign w:val="center"/>
          </w:tcPr>
          <w:p>
            <w:pPr>
              <w:pStyle w:val="40"/>
              <w:ind w:firstLine="0" w:firstLineChars="0"/>
              <w:rPr>
                <w:color w:val="auto"/>
                <w:highlight w:val="none"/>
              </w:rPr>
            </w:pPr>
            <w:r>
              <w:rPr>
                <w:color w:val="auto"/>
                <w:highlight w:val="none"/>
              </w:rPr>
              <w:t>民族</w:t>
            </w:r>
          </w:p>
        </w:tc>
        <w:tc>
          <w:tcPr>
            <w:tcW w:w="790" w:type="dxa"/>
            <w:vAlign w:val="center"/>
          </w:tcPr>
          <w:p>
            <w:pPr>
              <w:pStyle w:val="40"/>
              <w:ind w:firstLine="0" w:firstLineChars="0"/>
              <w:rPr>
                <w:color w:val="auto"/>
                <w:highlight w:val="none"/>
              </w:rPr>
            </w:pPr>
          </w:p>
        </w:tc>
        <w:tc>
          <w:tcPr>
            <w:tcW w:w="814" w:type="dxa"/>
            <w:vAlign w:val="center"/>
          </w:tcPr>
          <w:p>
            <w:pPr>
              <w:pStyle w:val="40"/>
              <w:ind w:firstLine="0" w:firstLineChars="0"/>
              <w:rPr>
                <w:color w:val="auto"/>
                <w:highlight w:val="none"/>
              </w:rPr>
            </w:pPr>
            <w:r>
              <w:rPr>
                <w:color w:val="auto"/>
                <w:highlight w:val="none"/>
              </w:rPr>
              <w:t>年龄</w:t>
            </w:r>
          </w:p>
        </w:tc>
        <w:tc>
          <w:tcPr>
            <w:tcW w:w="1320" w:type="dxa"/>
            <w:gridSpan w:val="2"/>
            <w:vAlign w:val="center"/>
          </w:tcPr>
          <w:p>
            <w:pPr>
              <w:pStyle w:val="40"/>
              <w:ind w:firstLine="0" w:firstLineChars="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357" w:hRule="exact"/>
          <w:jc w:val="center"/>
        </w:trPr>
        <w:tc>
          <w:tcPr>
            <w:tcW w:w="1600" w:type="dxa"/>
            <w:vAlign w:val="center"/>
          </w:tcPr>
          <w:p>
            <w:pPr>
              <w:pStyle w:val="40"/>
              <w:ind w:firstLine="0" w:firstLineChars="0"/>
              <w:rPr>
                <w:color w:val="auto"/>
                <w:highlight w:val="none"/>
              </w:rPr>
            </w:pPr>
            <w:r>
              <w:rPr>
                <w:color w:val="auto"/>
                <w:highlight w:val="none"/>
              </w:rPr>
              <w:t>职业及工作单位</w:t>
            </w:r>
          </w:p>
        </w:tc>
        <w:tc>
          <w:tcPr>
            <w:tcW w:w="6950" w:type="dxa"/>
            <w:gridSpan w:val="8"/>
            <w:vAlign w:val="center"/>
          </w:tcPr>
          <w:p>
            <w:pPr>
              <w:pStyle w:val="40"/>
              <w:ind w:firstLine="0" w:firstLineChars="0"/>
              <w:jc w:val="left"/>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698" w:hRule="exact"/>
          <w:jc w:val="center"/>
        </w:trPr>
        <w:tc>
          <w:tcPr>
            <w:tcW w:w="1600" w:type="dxa"/>
            <w:vAlign w:val="center"/>
          </w:tcPr>
          <w:p>
            <w:pPr>
              <w:pStyle w:val="40"/>
              <w:ind w:firstLine="0" w:firstLineChars="0"/>
              <w:rPr>
                <w:color w:val="auto"/>
                <w:highlight w:val="none"/>
              </w:rPr>
            </w:pPr>
            <w:r>
              <w:rPr>
                <w:color w:val="auto"/>
                <w:highlight w:val="none"/>
              </w:rPr>
              <w:t>居住地距本项目方位及距离</w:t>
            </w:r>
          </w:p>
        </w:tc>
        <w:tc>
          <w:tcPr>
            <w:tcW w:w="6950" w:type="dxa"/>
            <w:gridSpan w:val="8"/>
            <w:vAlign w:val="center"/>
          </w:tcPr>
          <w:p>
            <w:pPr>
              <w:pStyle w:val="40"/>
              <w:ind w:firstLine="0" w:firstLineChars="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419" w:hRule="exact"/>
          <w:jc w:val="center"/>
        </w:trPr>
        <w:tc>
          <w:tcPr>
            <w:tcW w:w="1600" w:type="dxa"/>
            <w:vAlign w:val="center"/>
          </w:tcPr>
          <w:p>
            <w:pPr>
              <w:pStyle w:val="40"/>
              <w:ind w:firstLine="0" w:firstLineChars="0"/>
              <w:rPr>
                <w:color w:val="auto"/>
                <w:highlight w:val="none"/>
              </w:rPr>
            </w:pPr>
            <w:r>
              <w:rPr>
                <w:color w:val="auto"/>
                <w:highlight w:val="none"/>
              </w:rPr>
              <w:t>文化程度</w:t>
            </w:r>
          </w:p>
        </w:tc>
        <w:tc>
          <w:tcPr>
            <w:tcW w:w="6950" w:type="dxa"/>
            <w:gridSpan w:val="8"/>
            <w:vAlign w:val="center"/>
          </w:tcPr>
          <w:p>
            <w:pPr>
              <w:pStyle w:val="40"/>
              <w:ind w:firstLine="0" w:firstLineChars="0"/>
              <w:rPr>
                <w:color w:val="auto"/>
                <w:highlight w:val="none"/>
              </w:rPr>
            </w:pPr>
            <w:r>
              <w:rPr>
                <w:color w:val="auto"/>
                <w:highlight w:val="none"/>
              </w:rPr>
              <w:t>小学□初中□</w:t>
            </w:r>
            <w:r>
              <w:rPr>
                <w:color w:val="auto"/>
                <w:highlight w:val="none"/>
              </w:rPr>
              <w:tab/>
            </w:r>
            <w:r>
              <w:rPr>
                <w:color w:val="auto"/>
                <w:highlight w:val="none"/>
              </w:rPr>
              <w:t>高中□</w:t>
            </w:r>
            <w:r>
              <w:rPr>
                <w:color w:val="auto"/>
                <w:highlight w:val="none"/>
              </w:rPr>
              <w:tab/>
            </w:r>
            <w:r>
              <w:rPr>
                <w:color w:val="auto"/>
                <w:highlight w:val="none"/>
              </w:rPr>
              <w:t>中专□</w:t>
            </w:r>
            <w:r>
              <w:rPr>
                <w:color w:val="auto"/>
                <w:highlight w:val="none"/>
              </w:rPr>
              <w:tab/>
            </w:r>
            <w:r>
              <w:rPr>
                <w:color w:val="auto"/>
                <w:highlight w:val="none"/>
              </w:rPr>
              <w:t>大学□</w:t>
            </w:r>
            <w:r>
              <w:rPr>
                <w:color w:val="auto"/>
                <w:highlight w:val="none"/>
              </w:rPr>
              <w:tab/>
            </w:r>
            <w:r>
              <w:rPr>
                <w:color w:val="auto"/>
                <w:highlight w:val="none"/>
              </w:rPr>
              <w:t>硕士以上□</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369" w:hRule="exact"/>
          <w:jc w:val="center"/>
        </w:trPr>
        <w:tc>
          <w:tcPr>
            <w:tcW w:w="1600" w:type="dxa"/>
            <w:vMerge w:val="restart"/>
            <w:vAlign w:val="center"/>
          </w:tcPr>
          <w:p>
            <w:pPr>
              <w:pStyle w:val="40"/>
              <w:ind w:firstLine="0" w:firstLineChars="0"/>
              <w:rPr>
                <w:color w:val="auto"/>
                <w:highlight w:val="none"/>
              </w:rPr>
            </w:pPr>
            <w:r>
              <w:rPr>
                <w:color w:val="auto"/>
                <w:highlight w:val="none"/>
              </w:rPr>
              <w:t>序号</w:t>
            </w:r>
          </w:p>
        </w:tc>
        <w:tc>
          <w:tcPr>
            <w:tcW w:w="4026" w:type="dxa"/>
            <w:gridSpan w:val="4"/>
            <w:vMerge w:val="restart"/>
            <w:vAlign w:val="center"/>
          </w:tcPr>
          <w:p>
            <w:pPr>
              <w:pStyle w:val="40"/>
              <w:ind w:firstLine="0" w:firstLineChars="0"/>
              <w:rPr>
                <w:color w:val="auto"/>
                <w:highlight w:val="none"/>
              </w:rPr>
            </w:pPr>
            <w:r>
              <w:rPr>
                <w:color w:val="auto"/>
                <w:highlight w:val="none"/>
              </w:rPr>
              <w:t>问</w:t>
            </w:r>
            <w:r>
              <w:rPr>
                <w:color w:val="auto"/>
                <w:highlight w:val="none"/>
              </w:rPr>
              <w:tab/>
            </w:r>
            <w:r>
              <w:rPr>
                <w:color w:val="auto"/>
                <w:highlight w:val="none"/>
              </w:rPr>
              <w:t>题</w:t>
            </w:r>
          </w:p>
        </w:tc>
        <w:tc>
          <w:tcPr>
            <w:tcW w:w="2151" w:type="dxa"/>
            <w:gridSpan w:val="3"/>
            <w:vAlign w:val="center"/>
          </w:tcPr>
          <w:p>
            <w:pPr>
              <w:pStyle w:val="40"/>
              <w:ind w:firstLine="0" w:firstLineChars="0"/>
              <w:rPr>
                <w:color w:val="auto"/>
                <w:highlight w:val="none"/>
              </w:rPr>
            </w:pPr>
            <w:r>
              <w:rPr>
                <w:color w:val="auto"/>
                <w:highlight w:val="none"/>
              </w:rPr>
              <w:t>您的答案</w:t>
            </w:r>
          </w:p>
        </w:tc>
        <w:tc>
          <w:tcPr>
            <w:tcW w:w="773" w:type="dxa"/>
            <w:vMerge w:val="restart"/>
            <w:vAlign w:val="center"/>
          </w:tcPr>
          <w:p>
            <w:pPr>
              <w:pStyle w:val="40"/>
              <w:ind w:firstLine="0" w:firstLineChars="0"/>
              <w:jc w:val="left"/>
              <w:rPr>
                <w:color w:val="auto"/>
                <w:highlight w:val="none"/>
              </w:rPr>
            </w:pPr>
            <w:r>
              <w:rPr>
                <w:color w:val="auto"/>
                <w:highlight w:val="none"/>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326" w:hRule="exact"/>
          <w:jc w:val="center"/>
        </w:trPr>
        <w:tc>
          <w:tcPr>
            <w:tcW w:w="1600" w:type="dxa"/>
            <w:vMerge w:val="continue"/>
            <w:vAlign w:val="center"/>
          </w:tcPr>
          <w:p>
            <w:pPr>
              <w:pStyle w:val="40"/>
              <w:ind w:firstLine="0" w:firstLineChars="0"/>
              <w:rPr>
                <w:color w:val="auto"/>
                <w:highlight w:val="none"/>
              </w:rPr>
            </w:pPr>
          </w:p>
        </w:tc>
        <w:tc>
          <w:tcPr>
            <w:tcW w:w="4026" w:type="dxa"/>
            <w:gridSpan w:val="4"/>
            <w:vMerge w:val="continue"/>
            <w:vAlign w:val="center"/>
          </w:tcPr>
          <w:p>
            <w:pPr>
              <w:pStyle w:val="40"/>
              <w:ind w:firstLine="0" w:firstLineChars="0"/>
              <w:rPr>
                <w:color w:val="auto"/>
                <w:highlight w:val="none"/>
              </w:rPr>
            </w:pPr>
          </w:p>
        </w:tc>
        <w:tc>
          <w:tcPr>
            <w:tcW w:w="790" w:type="dxa"/>
            <w:vAlign w:val="center"/>
          </w:tcPr>
          <w:p>
            <w:pPr>
              <w:pStyle w:val="40"/>
              <w:ind w:firstLine="0" w:firstLineChars="0"/>
              <w:rPr>
                <w:color w:val="auto"/>
                <w:highlight w:val="none"/>
              </w:rPr>
            </w:pPr>
            <w:r>
              <w:rPr>
                <w:color w:val="auto"/>
                <w:highlight w:val="none"/>
              </w:rPr>
              <w:t>A</w:t>
            </w:r>
          </w:p>
        </w:tc>
        <w:tc>
          <w:tcPr>
            <w:tcW w:w="814" w:type="dxa"/>
            <w:vAlign w:val="center"/>
          </w:tcPr>
          <w:p>
            <w:pPr>
              <w:pStyle w:val="40"/>
              <w:ind w:firstLine="0" w:firstLineChars="0"/>
              <w:rPr>
                <w:color w:val="auto"/>
                <w:highlight w:val="none"/>
              </w:rPr>
            </w:pPr>
            <w:r>
              <w:rPr>
                <w:color w:val="auto"/>
                <w:highlight w:val="none"/>
              </w:rPr>
              <w:t>B</w:t>
            </w:r>
          </w:p>
        </w:tc>
        <w:tc>
          <w:tcPr>
            <w:tcW w:w="547" w:type="dxa"/>
            <w:vAlign w:val="center"/>
          </w:tcPr>
          <w:p>
            <w:pPr>
              <w:pStyle w:val="40"/>
              <w:ind w:firstLine="0" w:firstLineChars="0"/>
              <w:rPr>
                <w:color w:val="auto"/>
                <w:highlight w:val="none"/>
              </w:rPr>
            </w:pPr>
            <w:r>
              <w:rPr>
                <w:color w:val="auto"/>
                <w:highlight w:val="none"/>
              </w:rPr>
              <w:t>C</w:t>
            </w:r>
          </w:p>
        </w:tc>
        <w:tc>
          <w:tcPr>
            <w:tcW w:w="773" w:type="dxa"/>
            <w:vMerge w:val="continue"/>
            <w:vAlign w:val="center"/>
          </w:tcPr>
          <w:p>
            <w:pPr>
              <w:pStyle w:val="40"/>
              <w:ind w:firstLine="0" w:firstLineChars="0"/>
              <w:jc w:val="left"/>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671" w:hRule="exact"/>
          <w:jc w:val="center"/>
        </w:trPr>
        <w:tc>
          <w:tcPr>
            <w:tcW w:w="1600" w:type="dxa"/>
            <w:vAlign w:val="center"/>
          </w:tcPr>
          <w:p>
            <w:pPr>
              <w:pStyle w:val="40"/>
              <w:ind w:firstLine="0" w:firstLineChars="0"/>
              <w:rPr>
                <w:color w:val="auto"/>
                <w:highlight w:val="none"/>
              </w:rPr>
            </w:pPr>
            <w:r>
              <w:rPr>
                <w:color w:val="auto"/>
                <w:highlight w:val="none"/>
              </w:rPr>
              <w:t>1</w:t>
            </w:r>
          </w:p>
        </w:tc>
        <w:tc>
          <w:tcPr>
            <w:tcW w:w="4026" w:type="dxa"/>
            <w:gridSpan w:val="4"/>
            <w:vAlign w:val="center"/>
          </w:tcPr>
          <w:p>
            <w:pPr>
              <w:pStyle w:val="40"/>
              <w:ind w:firstLine="0" w:firstLineChars="0"/>
              <w:rPr>
                <w:color w:val="auto"/>
                <w:highlight w:val="none"/>
              </w:rPr>
            </w:pPr>
            <w:r>
              <w:rPr>
                <w:color w:val="auto"/>
                <w:highlight w:val="none"/>
              </w:rPr>
              <w:t>您对本项目了解程度：</w:t>
            </w:r>
          </w:p>
          <w:p>
            <w:pPr>
              <w:pStyle w:val="40"/>
              <w:ind w:firstLine="0" w:firstLineChars="0"/>
              <w:rPr>
                <w:color w:val="auto"/>
                <w:highlight w:val="none"/>
              </w:rPr>
            </w:pPr>
            <w:r>
              <w:rPr>
                <w:color w:val="auto"/>
                <w:highlight w:val="none"/>
              </w:rPr>
              <w:t>A很了解；B一般了解；C不了解</w:t>
            </w:r>
          </w:p>
        </w:tc>
        <w:tc>
          <w:tcPr>
            <w:tcW w:w="790" w:type="dxa"/>
            <w:vAlign w:val="center"/>
          </w:tcPr>
          <w:p>
            <w:pPr>
              <w:pStyle w:val="40"/>
              <w:ind w:firstLine="0" w:firstLineChars="0"/>
              <w:rPr>
                <w:rFonts w:hint="default" w:eastAsia="仿宋_GB2312"/>
                <w:color w:val="auto"/>
                <w:highlight w:val="none"/>
                <w:lang w:val="en-US" w:eastAsia="zh-CN"/>
              </w:rPr>
            </w:pPr>
            <w:r>
              <w:rPr>
                <w:rFonts w:hint="eastAsia"/>
                <w:color w:val="auto"/>
                <w:highlight w:val="none"/>
                <w:lang w:val="en-US" w:eastAsia="zh-CN"/>
              </w:rPr>
              <w:t>10</w:t>
            </w:r>
          </w:p>
        </w:tc>
        <w:tc>
          <w:tcPr>
            <w:tcW w:w="814" w:type="dxa"/>
            <w:vAlign w:val="center"/>
          </w:tcPr>
          <w:p>
            <w:pPr>
              <w:pStyle w:val="40"/>
              <w:ind w:firstLine="0" w:firstLineChars="0"/>
              <w:rPr>
                <w:rFonts w:hint="default" w:eastAsia="仿宋_GB2312"/>
                <w:color w:val="auto"/>
                <w:highlight w:val="none"/>
                <w:lang w:val="en-US" w:eastAsia="zh-CN"/>
              </w:rPr>
            </w:pPr>
            <w:r>
              <w:rPr>
                <w:rFonts w:hint="eastAsia"/>
                <w:color w:val="auto"/>
                <w:highlight w:val="none"/>
                <w:lang w:val="en-US" w:eastAsia="zh-CN"/>
              </w:rPr>
              <w:t>0</w:t>
            </w:r>
          </w:p>
        </w:tc>
        <w:tc>
          <w:tcPr>
            <w:tcW w:w="547" w:type="dxa"/>
            <w:vAlign w:val="center"/>
          </w:tcPr>
          <w:p>
            <w:pPr>
              <w:pStyle w:val="40"/>
              <w:ind w:firstLine="0" w:firstLineChars="0"/>
              <w:rPr>
                <w:rFonts w:hint="eastAsia" w:eastAsia="仿宋_GB2312"/>
                <w:color w:val="auto"/>
                <w:highlight w:val="none"/>
                <w:lang w:val="en-US" w:eastAsia="zh-CN"/>
              </w:rPr>
            </w:pPr>
            <w:r>
              <w:rPr>
                <w:rFonts w:hint="eastAsia"/>
                <w:color w:val="auto"/>
                <w:highlight w:val="none"/>
                <w:lang w:val="en-US" w:eastAsia="zh-CN"/>
              </w:rPr>
              <w:t>0</w:t>
            </w:r>
          </w:p>
        </w:tc>
        <w:tc>
          <w:tcPr>
            <w:tcW w:w="773" w:type="dxa"/>
            <w:vAlign w:val="center"/>
          </w:tcPr>
          <w:p>
            <w:pPr>
              <w:pStyle w:val="40"/>
              <w:ind w:firstLine="0" w:firstLineChars="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631" w:hRule="exact"/>
          <w:jc w:val="center"/>
        </w:trPr>
        <w:tc>
          <w:tcPr>
            <w:tcW w:w="1600" w:type="dxa"/>
            <w:vAlign w:val="center"/>
          </w:tcPr>
          <w:p>
            <w:pPr>
              <w:pStyle w:val="40"/>
              <w:ind w:firstLine="0" w:firstLineChars="0"/>
              <w:rPr>
                <w:color w:val="auto"/>
                <w:highlight w:val="none"/>
              </w:rPr>
            </w:pPr>
            <w:r>
              <w:rPr>
                <w:color w:val="auto"/>
                <w:highlight w:val="none"/>
              </w:rPr>
              <w:t>2</w:t>
            </w:r>
          </w:p>
        </w:tc>
        <w:tc>
          <w:tcPr>
            <w:tcW w:w="4026" w:type="dxa"/>
            <w:gridSpan w:val="4"/>
            <w:vAlign w:val="center"/>
          </w:tcPr>
          <w:p>
            <w:pPr>
              <w:pStyle w:val="40"/>
              <w:ind w:firstLine="0" w:firstLineChars="0"/>
              <w:rPr>
                <w:color w:val="auto"/>
                <w:highlight w:val="none"/>
              </w:rPr>
            </w:pPr>
            <w:r>
              <w:rPr>
                <w:color w:val="auto"/>
                <w:highlight w:val="none"/>
              </w:rPr>
              <w:t>您认为本项目是否有利于地方经济发展：</w:t>
            </w:r>
          </w:p>
          <w:p>
            <w:pPr>
              <w:pStyle w:val="40"/>
              <w:ind w:firstLine="0" w:firstLineChars="0"/>
              <w:rPr>
                <w:color w:val="auto"/>
                <w:highlight w:val="none"/>
              </w:rPr>
            </w:pPr>
            <w:r>
              <w:rPr>
                <w:color w:val="auto"/>
                <w:highlight w:val="none"/>
              </w:rPr>
              <w:t>A是；B否；C不清楚</w:t>
            </w:r>
          </w:p>
        </w:tc>
        <w:tc>
          <w:tcPr>
            <w:tcW w:w="790" w:type="dxa"/>
            <w:vAlign w:val="center"/>
          </w:tcPr>
          <w:p>
            <w:pPr>
              <w:pStyle w:val="40"/>
              <w:ind w:firstLine="0" w:firstLineChars="0"/>
              <w:rPr>
                <w:rFonts w:hint="default" w:eastAsia="仿宋_GB2312"/>
                <w:color w:val="auto"/>
                <w:highlight w:val="none"/>
                <w:lang w:val="en-US" w:eastAsia="zh-CN"/>
              </w:rPr>
            </w:pPr>
            <w:r>
              <w:rPr>
                <w:rFonts w:hint="eastAsia"/>
                <w:color w:val="auto"/>
                <w:highlight w:val="none"/>
                <w:lang w:val="en-US" w:eastAsia="zh-CN"/>
              </w:rPr>
              <w:t>10</w:t>
            </w:r>
          </w:p>
        </w:tc>
        <w:tc>
          <w:tcPr>
            <w:tcW w:w="814" w:type="dxa"/>
            <w:vAlign w:val="center"/>
          </w:tcPr>
          <w:p>
            <w:pPr>
              <w:pStyle w:val="40"/>
              <w:ind w:firstLine="0" w:firstLineChars="0"/>
              <w:rPr>
                <w:rFonts w:hint="eastAsia" w:eastAsia="仿宋_GB2312"/>
                <w:color w:val="auto"/>
                <w:highlight w:val="none"/>
                <w:lang w:val="en-US" w:eastAsia="zh-CN"/>
              </w:rPr>
            </w:pPr>
            <w:r>
              <w:rPr>
                <w:rFonts w:hint="eastAsia"/>
                <w:color w:val="auto"/>
                <w:highlight w:val="none"/>
                <w:lang w:val="en-US" w:eastAsia="zh-CN"/>
              </w:rPr>
              <w:t>0</w:t>
            </w:r>
          </w:p>
        </w:tc>
        <w:tc>
          <w:tcPr>
            <w:tcW w:w="547" w:type="dxa"/>
            <w:vAlign w:val="center"/>
          </w:tcPr>
          <w:p>
            <w:pPr>
              <w:pStyle w:val="40"/>
              <w:ind w:firstLine="0" w:firstLineChars="0"/>
              <w:rPr>
                <w:rFonts w:hint="eastAsia" w:eastAsia="仿宋_GB2312"/>
                <w:color w:val="auto"/>
                <w:highlight w:val="none"/>
                <w:lang w:val="en-US" w:eastAsia="zh-CN"/>
              </w:rPr>
            </w:pPr>
            <w:r>
              <w:rPr>
                <w:rFonts w:hint="eastAsia"/>
                <w:color w:val="auto"/>
                <w:highlight w:val="none"/>
                <w:lang w:val="en-US" w:eastAsia="zh-CN"/>
              </w:rPr>
              <w:t>0</w:t>
            </w:r>
          </w:p>
        </w:tc>
        <w:tc>
          <w:tcPr>
            <w:tcW w:w="773" w:type="dxa"/>
            <w:vAlign w:val="center"/>
          </w:tcPr>
          <w:p>
            <w:pPr>
              <w:pStyle w:val="40"/>
              <w:ind w:firstLine="0" w:firstLineChars="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525" w:hRule="exact"/>
          <w:jc w:val="center"/>
        </w:trPr>
        <w:tc>
          <w:tcPr>
            <w:tcW w:w="1600" w:type="dxa"/>
            <w:vAlign w:val="center"/>
          </w:tcPr>
          <w:p>
            <w:pPr>
              <w:pStyle w:val="40"/>
              <w:ind w:firstLine="0" w:firstLineChars="0"/>
              <w:rPr>
                <w:color w:val="auto"/>
                <w:highlight w:val="none"/>
              </w:rPr>
            </w:pPr>
            <w:r>
              <w:rPr>
                <w:color w:val="auto"/>
                <w:highlight w:val="none"/>
              </w:rPr>
              <w:t>3</w:t>
            </w:r>
          </w:p>
        </w:tc>
        <w:tc>
          <w:tcPr>
            <w:tcW w:w="4026" w:type="dxa"/>
            <w:gridSpan w:val="4"/>
            <w:vAlign w:val="center"/>
          </w:tcPr>
          <w:p>
            <w:pPr>
              <w:pStyle w:val="40"/>
              <w:ind w:firstLine="0" w:firstLineChars="0"/>
              <w:rPr>
                <w:color w:val="auto"/>
                <w:highlight w:val="none"/>
              </w:rPr>
            </w:pPr>
            <w:r>
              <w:rPr>
                <w:color w:val="auto"/>
                <w:highlight w:val="none"/>
              </w:rPr>
              <w:t>是否担心项目建设影响生态环境？</w:t>
            </w:r>
          </w:p>
          <w:p>
            <w:pPr>
              <w:pStyle w:val="40"/>
              <w:ind w:firstLine="0" w:firstLineChars="0"/>
              <w:rPr>
                <w:color w:val="auto"/>
                <w:highlight w:val="none"/>
              </w:rPr>
            </w:pPr>
            <w:r>
              <w:rPr>
                <w:color w:val="auto"/>
                <w:highlight w:val="none"/>
              </w:rPr>
              <w:t>A担心；B不担心；C无所谓</w:t>
            </w:r>
          </w:p>
        </w:tc>
        <w:tc>
          <w:tcPr>
            <w:tcW w:w="790" w:type="dxa"/>
            <w:vAlign w:val="center"/>
          </w:tcPr>
          <w:p>
            <w:pPr>
              <w:pStyle w:val="40"/>
              <w:ind w:firstLine="0" w:firstLineChars="0"/>
              <w:rPr>
                <w:rFonts w:hint="default" w:eastAsia="仿宋_GB2312"/>
                <w:color w:val="auto"/>
                <w:highlight w:val="none"/>
                <w:lang w:val="en-US" w:eastAsia="zh-CN"/>
              </w:rPr>
            </w:pPr>
            <w:r>
              <w:rPr>
                <w:rFonts w:hint="eastAsia"/>
                <w:color w:val="auto"/>
                <w:highlight w:val="none"/>
                <w:lang w:val="en-US" w:eastAsia="zh-CN"/>
              </w:rPr>
              <w:t>2</w:t>
            </w:r>
          </w:p>
        </w:tc>
        <w:tc>
          <w:tcPr>
            <w:tcW w:w="814" w:type="dxa"/>
            <w:vAlign w:val="center"/>
          </w:tcPr>
          <w:p>
            <w:pPr>
              <w:pStyle w:val="40"/>
              <w:ind w:firstLine="0" w:firstLineChars="0"/>
              <w:rPr>
                <w:rFonts w:hint="eastAsia" w:eastAsia="仿宋_GB2312"/>
                <w:color w:val="auto"/>
                <w:highlight w:val="none"/>
                <w:lang w:val="en-US" w:eastAsia="zh-CN"/>
              </w:rPr>
            </w:pPr>
            <w:r>
              <w:rPr>
                <w:rFonts w:hint="eastAsia"/>
                <w:color w:val="auto"/>
                <w:highlight w:val="none"/>
                <w:lang w:val="en-US" w:eastAsia="zh-CN"/>
              </w:rPr>
              <w:t>6</w:t>
            </w:r>
          </w:p>
        </w:tc>
        <w:tc>
          <w:tcPr>
            <w:tcW w:w="547" w:type="dxa"/>
            <w:vAlign w:val="center"/>
          </w:tcPr>
          <w:p>
            <w:pPr>
              <w:pStyle w:val="40"/>
              <w:ind w:firstLine="0" w:firstLineChars="0"/>
              <w:rPr>
                <w:rFonts w:hint="eastAsia" w:eastAsia="仿宋_GB2312"/>
                <w:color w:val="auto"/>
                <w:highlight w:val="none"/>
                <w:lang w:val="en-US" w:eastAsia="zh-CN"/>
              </w:rPr>
            </w:pPr>
            <w:r>
              <w:rPr>
                <w:rFonts w:hint="eastAsia"/>
                <w:color w:val="auto"/>
                <w:highlight w:val="none"/>
                <w:lang w:val="en-US" w:eastAsia="zh-CN"/>
              </w:rPr>
              <w:t>2</w:t>
            </w:r>
          </w:p>
        </w:tc>
        <w:tc>
          <w:tcPr>
            <w:tcW w:w="773" w:type="dxa"/>
            <w:vAlign w:val="center"/>
          </w:tcPr>
          <w:p>
            <w:pPr>
              <w:pStyle w:val="40"/>
              <w:ind w:firstLine="0" w:firstLineChars="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588" w:hRule="exact"/>
          <w:jc w:val="center"/>
        </w:trPr>
        <w:tc>
          <w:tcPr>
            <w:tcW w:w="1600" w:type="dxa"/>
            <w:vAlign w:val="center"/>
          </w:tcPr>
          <w:p>
            <w:pPr>
              <w:pStyle w:val="40"/>
              <w:ind w:firstLine="0" w:firstLineChars="0"/>
              <w:rPr>
                <w:color w:val="auto"/>
                <w:highlight w:val="none"/>
              </w:rPr>
            </w:pPr>
            <w:r>
              <w:rPr>
                <w:color w:val="auto"/>
                <w:highlight w:val="none"/>
              </w:rPr>
              <w:t>4</w:t>
            </w:r>
          </w:p>
        </w:tc>
        <w:tc>
          <w:tcPr>
            <w:tcW w:w="4026" w:type="dxa"/>
            <w:gridSpan w:val="4"/>
            <w:vAlign w:val="center"/>
          </w:tcPr>
          <w:p>
            <w:pPr>
              <w:pStyle w:val="40"/>
              <w:ind w:firstLine="0" w:firstLineChars="0"/>
              <w:rPr>
                <w:color w:val="auto"/>
                <w:highlight w:val="none"/>
              </w:rPr>
            </w:pPr>
            <w:r>
              <w:rPr>
                <w:color w:val="auto"/>
                <w:highlight w:val="none"/>
              </w:rPr>
              <w:t>您了解项目土地复垦吗？</w:t>
            </w:r>
          </w:p>
          <w:p>
            <w:pPr>
              <w:pStyle w:val="40"/>
              <w:ind w:firstLine="0" w:firstLineChars="0"/>
              <w:rPr>
                <w:color w:val="auto"/>
                <w:highlight w:val="none"/>
              </w:rPr>
            </w:pPr>
            <w:r>
              <w:rPr>
                <w:color w:val="auto"/>
                <w:highlight w:val="none"/>
              </w:rPr>
              <w:t>A了解；B不了解；C不清楚</w:t>
            </w:r>
          </w:p>
        </w:tc>
        <w:tc>
          <w:tcPr>
            <w:tcW w:w="790" w:type="dxa"/>
            <w:vAlign w:val="center"/>
          </w:tcPr>
          <w:p>
            <w:pPr>
              <w:pStyle w:val="40"/>
              <w:ind w:firstLine="0" w:firstLineChars="0"/>
              <w:rPr>
                <w:rFonts w:hint="default" w:eastAsia="仿宋_GB2312"/>
                <w:color w:val="auto"/>
                <w:highlight w:val="none"/>
                <w:lang w:val="en-US" w:eastAsia="zh-CN"/>
              </w:rPr>
            </w:pPr>
            <w:r>
              <w:rPr>
                <w:rFonts w:hint="eastAsia"/>
                <w:color w:val="auto"/>
                <w:highlight w:val="none"/>
                <w:lang w:val="en-US" w:eastAsia="zh-CN"/>
              </w:rPr>
              <w:t>8</w:t>
            </w:r>
          </w:p>
        </w:tc>
        <w:tc>
          <w:tcPr>
            <w:tcW w:w="814" w:type="dxa"/>
            <w:vAlign w:val="center"/>
          </w:tcPr>
          <w:p>
            <w:pPr>
              <w:pStyle w:val="40"/>
              <w:ind w:firstLine="0" w:firstLineChars="0"/>
              <w:rPr>
                <w:rFonts w:hint="eastAsia" w:eastAsia="仿宋_GB2312"/>
                <w:color w:val="auto"/>
                <w:highlight w:val="none"/>
                <w:lang w:val="en-US" w:eastAsia="zh-CN"/>
              </w:rPr>
            </w:pPr>
            <w:r>
              <w:rPr>
                <w:rFonts w:hint="eastAsia"/>
                <w:color w:val="auto"/>
                <w:highlight w:val="none"/>
                <w:lang w:val="en-US" w:eastAsia="zh-CN"/>
              </w:rPr>
              <w:t>2</w:t>
            </w:r>
          </w:p>
        </w:tc>
        <w:tc>
          <w:tcPr>
            <w:tcW w:w="547" w:type="dxa"/>
            <w:vAlign w:val="center"/>
          </w:tcPr>
          <w:p>
            <w:pPr>
              <w:pStyle w:val="40"/>
              <w:ind w:firstLine="0" w:firstLineChars="0"/>
              <w:rPr>
                <w:rFonts w:hint="eastAsia" w:eastAsia="仿宋_GB2312"/>
                <w:color w:val="auto"/>
                <w:highlight w:val="none"/>
                <w:lang w:val="en-US" w:eastAsia="zh-CN"/>
              </w:rPr>
            </w:pPr>
            <w:r>
              <w:rPr>
                <w:rFonts w:hint="eastAsia"/>
                <w:color w:val="auto"/>
                <w:highlight w:val="none"/>
                <w:lang w:val="en-US" w:eastAsia="zh-CN"/>
              </w:rPr>
              <w:t>0</w:t>
            </w:r>
          </w:p>
        </w:tc>
        <w:tc>
          <w:tcPr>
            <w:tcW w:w="773" w:type="dxa"/>
            <w:vAlign w:val="center"/>
          </w:tcPr>
          <w:p>
            <w:pPr>
              <w:pStyle w:val="40"/>
              <w:ind w:firstLine="0" w:firstLineChars="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577" w:hRule="exact"/>
          <w:jc w:val="center"/>
        </w:trPr>
        <w:tc>
          <w:tcPr>
            <w:tcW w:w="1600" w:type="dxa"/>
            <w:vAlign w:val="center"/>
          </w:tcPr>
          <w:p>
            <w:pPr>
              <w:pStyle w:val="40"/>
              <w:ind w:firstLine="0" w:firstLineChars="0"/>
              <w:rPr>
                <w:color w:val="auto"/>
                <w:highlight w:val="none"/>
              </w:rPr>
            </w:pPr>
            <w:r>
              <w:rPr>
                <w:color w:val="auto"/>
                <w:highlight w:val="none"/>
              </w:rPr>
              <w:t>5</w:t>
            </w:r>
          </w:p>
        </w:tc>
        <w:tc>
          <w:tcPr>
            <w:tcW w:w="4026" w:type="dxa"/>
            <w:gridSpan w:val="4"/>
            <w:vAlign w:val="center"/>
          </w:tcPr>
          <w:p>
            <w:pPr>
              <w:pStyle w:val="40"/>
              <w:ind w:firstLine="0" w:firstLineChars="0"/>
              <w:rPr>
                <w:color w:val="auto"/>
                <w:highlight w:val="none"/>
              </w:rPr>
            </w:pPr>
            <w:r>
              <w:rPr>
                <w:color w:val="auto"/>
                <w:highlight w:val="none"/>
              </w:rPr>
              <w:t>您认为土地复垦能否恢复当地生态环境？</w:t>
            </w:r>
          </w:p>
          <w:p>
            <w:pPr>
              <w:pStyle w:val="40"/>
              <w:ind w:firstLine="0" w:firstLineChars="0"/>
              <w:rPr>
                <w:color w:val="auto"/>
                <w:highlight w:val="none"/>
              </w:rPr>
            </w:pPr>
            <w:r>
              <w:rPr>
                <w:color w:val="auto"/>
                <w:highlight w:val="none"/>
              </w:rPr>
              <w:t>A能；B不能；C不清楚</w:t>
            </w:r>
          </w:p>
        </w:tc>
        <w:tc>
          <w:tcPr>
            <w:tcW w:w="790" w:type="dxa"/>
            <w:vAlign w:val="center"/>
          </w:tcPr>
          <w:p>
            <w:pPr>
              <w:pStyle w:val="40"/>
              <w:ind w:firstLine="0" w:firstLineChars="0"/>
              <w:rPr>
                <w:rFonts w:hint="default" w:eastAsia="仿宋_GB2312"/>
                <w:color w:val="auto"/>
                <w:highlight w:val="none"/>
                <w:lang w:val="en-US" w:eastAsia="zh-CN"/>
              </w:rPr>
            </w:pPr>
            <w:r>
              <w:rPr>
                <w:rFonts w:hint="eastAsia"/>
                <w:color w:val="auto"/>
                <w:highlight w:val="none"/>
                <w:lang w:val="en-US" w:eastAsia="zh-CN"/>
              </w:rPr>
              <w:t>10</w:t>
            </w:r>
          </w:p>
        </w:tc>
        <w:tc>
          <w:tcPr>
            <w:tcW w:w="814" w:type="dxa"/>
            <w:vAlign w:val="center"/>
          </w:tcPr>
          <w:p>
            <w:pPr>
              <w:pStyle w:val="40"/>
              <w:ind w:firstLine="0" w:firstLineChars="0"/>
              <w:rPr>
                <w:rFonts w:hint="eastAsia" w:eastAsia="仿宋_GB2312"/>
                <w:color w:val="auto"/>
                <w:highlight w:val="none"/>
                <w:lang w:val="en-US" w:eastAsia="zh-CN"/>
              </w:rPr>
            </w:pPr>
            <w:r>
              <w:rPr>
                <w:rFonts w:hint="eastAsia"/>
                <w:color w:val="auto"/>
                <w:highlight w:val="none"/>
                <w:lang w:val="en-US" w:eastAsia="zh-CN"/>
              </w:rPr>
              <w:t>0</w:t>
            </w:r>
          </w:p>
        </w:tc>
        <w:tc>
          <w:tcPr>
            <w:tcW w:w="547" w:type="dxa"/>
            <w:vAlign w:val="center"/>
          </w:tcPr>
          <w:p>
            <w:pPr>
              <w:pStyle w:val="40"/>
              <w:ind w:firstLine="0" w:firstLineChars="0"/>
              <w:rPr>
                <w:rFonts w:hint="eastAsia" w:eastAsia="仿宋_GB2312"/>
                <w:color w:val="auto"/>
                <w:highlight w:val="none"/>
                <w:lang w:val="en-US" w:eastAsia="zh-CN"/>
              </w:rPr>
            </w:pPr>
            <w:r>
              <w:rPr>
                <w:rFonts w:hint="eastAsia"/>
                <w:color w:val="auto"/>
                <w:highlight w:val="none"/>
                <w:lang w:val="en-US" w:eastAsia="zh-CN"/>
              </w:rPr>
              <w:t>0</w:t>
            </w:r>
          </w:p>
        </w:tc>
        <w:tc>
          <w:tcPr>
            <w:tcW w:w="773" w:type="dxa"/>
            <w:vAlign w:val="center"/>
          </w:tcPr>
          <w:p>
            <w:pPr>
              <w:pStyle w:val="40"/>
              <w:ind w:firstLine="0" w:firstLineChars="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607" w:hRule="exact"/>
          <w:jc w:val="center"/>
        </w:trPr>
        <w:tc>
          <w:tcPr>
            <w:tcW w:w="1600" w:type="dxa"/>
            <w:vAlign w:val="center"/>
          </w:tcPr>
          <w:p>
            <w:pPr>
              <w:pStyle w:val="40"/>
              <w:ind w:firstLine="0" w:firstLineChars="0"/>
              <w:rPr>
                <w:color w:val="auto"/>
                <w:highlight w:val="none"/>
              </w:rPr>
            </w:pPr>
            <w:r>
              <w:rPr>
                <w:color w:val="auto"/>
                <w:highlight w:val="none"/>
              </w:rPr>
              <w:t>6</w:t>
            </w:r>
          </w:p>
        </w:tc>
        <w:tc>
          <w:tcPr>
            <w:tcW w:w="4026" w:type="dxa"/>
            <w:gridSpan w:val="4"/>
            <w:vAlign w:val="center"/>
          </w:tcPr>
          <w:p>
            <w:pPr>
              <w:pStyle w:val="40"/>
              <w:ind w:firstLine="0" w:firstLineChars="0"/>
              <w:rPr>
                <w:color w:val="auto"/>
                <w:highlight w:val="none"/>
              </w:rPr>
            </w:pPr>
            <w:r>
              <w:rPr>
                <w:color w:val="auto"/>
                <w:highlight w:val="none"/>
              </w:rPr>
              <w:t>了解土地复垦后，您支持土地复垦吗？</w:t>
            </w:r>
          </w:p>
          <w:p>
            <w:pPr>
              <w:pStyle w:val="40"/>
              <w:ind w:firstLine="0" w:firstLineChars="0"/>
              <w:rPr>
                <w:color w:val="auto"/>
                <w:highlight w:val="none"/>
              </w:rPr>
            </w:pPr>
            <w:r>
              <w:rPr>
                <w:color w:val="auto"/>
                <w:highlight w:val="none"/>
              </w:rPr>
              <w:t>A支持；B不支持；C无所谓</w:t>
            </w:r>
          </w:p>
        </w:tc>
        <w:tc>
          <w:tcPr>
            <w:tcW w:w="790" w:type="dxa"/>
            <w:vAlign w:val="center"/>
          </w:tcPr>
          <w:p>
            <w:pPr>
              <w:pStyle w:val="40"/>
              <w:ind w:firstLine="0" w:firstLineChars="0"/>
              <w:rPr>
                <w:rFonts w:hint="default" w:eastAsia="仿宋_GB2312"/>
                <w:color w:val="auto"/>
                <w:highlight w:val="none"/>
                <w:lang w:val="en-US" w:eastAsia="zh-CN"/>
              </w:rPr>
            </w:pPr>
            <w:r>
              <w:rPr>
                <w:rFonts w:hint="eastAsia"/>
                <w:color w:val="auto"/>
                <w:highlight w:val="none"/>
                <w:lang w:val="en-US" w:eastAsia="zh-CN"/>
              </w:rPr>
              <w:t>10</w:t>
            </w:r>
          </w:p>
        </w:tc>
        <w:tc>
          <w:tcPr>
            <w:tcW w:w="814" w:type="dxa"/>
            <w:vAlign w:val="center"/>
          </w:tcPr>
          <w:p>
            <w:pPr>
              <w:pStyle w:val="40"/>
              <w:ind w:firstLine="0" w:firstLineChars="0"/>
              <w:rPr>
                <w:rFonts w:hint="eastAsia" w:eastAsia="仿宋_GB2312"/>
                <w:color w:val="auto"/>
                <w:highlight w:val="none"/>
                <w:lang w:val="en-US" w:eastAsia="zh-CN"/>
              </w:rPr>
            </w:pPr>
            <w:r>
              <w:rPr>
                <w:rFonts w:hint="eastAsia"/>
                <w:color w:val="auto"/>
                <w:highlight w:val="none"/>
                <w:lang w:val="en-US" w:eastAsia="zh-CN"/>
              </w:rPr>
              <w:t>0</w:t>
            </w:r>
          </w:p>
        </w:tc>
        <w:tc>
          <w:tcPr>
            <w:tcW w:w="547" w:type="dxa"/>
            <w:vAlign w:val="center"/>
          </w:tcPr>
          <w:p>
            <w:pPr>
              <w:pStyle w:val="40"/>
              <w:ind w:firstLine="0" w:firstLineChars="0"/>
              <w:rPr>
                <w:rFonts w:hint="eastAsia" w:eastAsia="仿宋_GB2312"/>
                <w:color w:val="auto"/>
                <w:highlight w:val="none"/>
                <w:lang w:val="en-US" w:eastAsia="zh-CN"/>
              </w:rPr>
            </w:pPr>
            <w:r>
              <w:rPr>
                <w:rFonts w:hint="eastAsia"/>
                <w:color w:val="auto"/>
                <w:highlight w:val="none"/>
                <w:lang w:val="en-US" w:eastAsia="zh-CN"/>
              </w:rPr>
              <w:t>0</w:t>
            </w:r>
          </w:p>
        </w:tc>
        <w:tc>
          <w:tcPr>
            <w:tcW w:w="773" w:type="dxa"/>
            <w:vAlign w:val="center"/>
          </w:tcPr>
          <w:p>
            <w:pPr>
              <w:pStyle w:val="40"/>
              <w:ind w:firstLine="0" w:firstLineChars="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788" w:hRule="exact"/>
          <w:jc w:val="center"/>
        </w:trPr>
        <w:tc>
          <w:tcPr>
            <w:tcW w:w="1600" w:type="dxa"/>
            <w:vAlign w:val="center"/>
          </w:tcPr>
          <w:p>
            <w:pPr>
              <w:pStyle w:val="40"/>
              <w:ind w:firstLine="0" w:firstLineChars="0"/>
              <w:rPr>
                <w:color w:val="auto"/>
                <w:highlight w:val="none"/>
              </w:rPr>
            </w:pPr>
            <w:r>
              <w:rPr>
                <w:color w:val="auto"/>
                <w:highlight w:val="none"/>
              </w:rPr>
              <w:t>7</w:t>
            </w:r>
          </w:p>
        </w:tc>
        <w:tc>
          <w:tcPr>
            <w:tcW w:w="4026" w:type="dxa"/>
            <w:gridSpan w:val="4"/>
            <w:vAlign w:val="center"/>
          </w:tcPr>
          <w:p>
            <w:pPr>
              <w:pStyle w:val="40"/>
              <w:ind w:firstLine="0" w:firstLineChars="0"/>
              <w:rPr>
                <w:color w:val="auto"/>
                <w:highlight w:val="none"/>
              </w:rPr>
            </w:pPr>
            <w:r>
              <w:rPr>
                <w:color w:val="auto"/>
                <w:highlight w:val="none"/>
              </w:rPr>
              <w:t>您认为本项目临时用地复垦最适宜方向是什么？</w:t>
            </w:r>
          </w:p>
          <w:p>
            <w:pPr>
              <w:pStyle w:val="40"/>
              <w:ind w:firstLine="0" w:firstLineChars="0"/>
              <w:rPr>
                <w:color w:val="auto"/>
                <w:highlight w:val="none"/>
              </w:rPr>
            </w:pPr>
            <w:r>
              <w:rPr>
                <w:color w:val="auto"/>
                <w:highlight w:val="none"/>
              </w:rPr>
              <w:t>A林地；B草地；C其他</w:t>
            </w:r>
          </w:p>
        </w:tc>
        <w:tc>
          <w:tcPr>
            <w:tcW w:w="790" w:type="dxa"/>
            <w:vAlign w:val="center"/>
          </w:tcPr>
          <w:p>
            <w:pPr>
              <w:pStyle w:val="40"/>
              <w:ind w:firstLine="0" w:firstLineChars="0"/>
              <w:rPr>
                <w:rFonts w:hint="default" w:eastAsia="仿宋_GB2312"/>
                <w:color w:val="auto"/>
                <w:highlight w:val="none"/>
                <w:lang w:val="en-US" w:eastAsia="zh-CN"/>
              </w:rPr>
            </w:pPr>
            <w:r>
              <w:rPr>
                <w:rFonts w:hint="eastAsia"/>
                <w:color w:val="auto"/>
                <w:highlight w:val="none"/>
                <w:lang w:val="en-US" w:eastAsia="zh-CN"/>
              </w:rPr>
              <w:t>1</w:t>
            </w:r>
          </w:p>
        </w:tc>
        <w:tc>
          <w:tcPr>
            <w:tcW w:w="814" w:type="dxa"/>
            <w:vAlign w:val="center"/>
          </w:tcPr>
          <w:p>
            <w:pPr>
              <w:pStyle w:val="40"/>
              <w:ind w:firstLine="0" w:firstLineChars="0"/>
              <w:rPr>
                <w:rFonts w:hint="eastAsia" w:eastAsia="仿宋_GB2312"/>
                <w:color w:val="auto"/>
                <w:highlight w:val="none"/>
                <w:lang w:val="en-US" w:eastAsia="zh-CN"/>
              </w:rPr>
            </w:pPr>
            <w:r>
              <w:rPr>
                <w:rFonts w:hint="eastAsia"/>
                <w:color w:val="auto"/>
                <w:highlight w:val="none"/>
                <w:lang w:val="en-US" w:eastAsia="zh-CN"/>
              </w:rPr>
              <w:t>1</w:t>
            </w:r>
          </w:p>
        </w:tc>
        <w:tc>
          <w:tcPr>
            <w:tcW w:w="547" w:type="dxa"/>
            <w:vAlign w:val="center"/>
          </w:tcPr>
          <w:p>
            <w:pPr>
              <w:pStyle w:val="40"/>
              <w:ind w:firstLine="0" w:firstLineChars="0"/>
              <w:rPr>
                <w:rFonts w:hint="eastAsia" w:eastAsia="仿宋_GB2312"/>
                <w:color w:val="auto"/>
                <w:highlight w:val="none"/>
                <w:lang w:val="en-US" w:eastAsia="zh-CN"/>
              </w:rPr>
            </w:pPr>
            <w:r>
              <w:rPr>
                <w:rFonts w:hint="eastAsia"/>
                <w:color w:val="auto"/>
                <w:highlight w:val="none"/>
                <w:lang w:val="en-US" w:eastAsia="zh-CN"/>
              </w:rPr>
              <w:t>8</w:t>
            </w:r>
          </w:p>
        </w:tc>
        <w:tc>
          <w:tcPr>
            <w:tcW w:w="773" w:type="dxa"/>
            <w:vAlign w:val="center"/>
          </w:tcPr>
          <w:p>
            <w:pPr>
              <w:pStyle w:val="40"/>
              <w:ind w:firstLine="0" w:firstLineChars="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703" w:hRule="exact"/>
          <w:jc w:val="center"/>
        </w:trPr>
        <w:tc>
          <w:tcPr>
            <w:tcW w:w="1600" w:type="dxa"/>
            <w:vAlign w:val="center"/>
          </w:tcPr>
          <w:p>
            <w:pPr>
              <w:pStyle w:val="40"/>
              <w:ind w:firstLine="0" w:firstLineChars="0"/>
              <w:rPr>
                <w:color w:val="auto"/>
                <w:highlight w:val="none"/>
              </w:rPr>
            </w:pPr>
            <w:r>
              <w:rPr>
                <w:color w:val="auto"/>
                <w:highlight w:val="none"/>
              </w:rPr>
              <w:t>8</w:t>
            </w:r>
          </w:p>
        </w:tc>
        <w:tc>
          <w:tcPr>
            <w:tcW w:w="4026" w:type="dxa"/>
            <w:gridSpan w:val="4"/>
            <w:vAlign w:val="center"/>
          </w:tcPr>
          <w:p>
            <w:pPr>
              <w:pStyle w:val="40"/>
              <w:ind w:firstLine="0" w:firstLineChars="0"/>
              <w:rPr>
                <w:color w:val="auto"/>
                <w:highlight w:val="none"/>
              </w:rPr>
            </w:pPr>
            <w:r>
              <w:rPr>
                <w:color w:val="auto"/>
                <w:highlight w:val="none"/>
              </w:rPr>
              <w:t>您愿意监督或参与项目土地复垦吗？</w:t>
            </w:r>
          </w:p>
          <w:p>
            <w:pPr>
              <w:pStyle w:val="40"/>
              <w:ind w:firstLine="0" w:firstLineChars="0"/>
              <w:rPr>
                <w:color w:val="auto"/>
                <w:highlight w:val="none"/>
              </w:rPr>
            </w:pPr>
            <w:r>
              <w:rPr>
                <w:color w:val="auto"/>
                <w:highlight w:val="none"/>
              </w:rPr>
              <w:t>A愿意；B不愿意；C无所谓</w:t>
            </w:r>
          </w:p>
        </w:tc>
        <w:tc>
          <w:tcPr>
            <w:tcW w:w="790" w:type="dxa"/>
            <w:vAlign w:val="center"/>
          </w:tcPr>
          <w:p>
            <w:pPr>
              <w:pStyle w:val="40"/>
              <w:ind w:firstLine="0" w:firstLineChars="0"/>
              <w:rPr>
                <w:rFonts w:hint="default" w:eastAsia="仿宋_GB2312"/>
                <w:color w:val="auto"/>
                <w:highlight w:val="none"/>
                <w:lang w:val="en-US" w:eastAsia="zh-CN"/>
              </w:rPr>
            </w:pPr>
            <w:r>
              <w:rPr>
                <w:rFonts w:hint="eastAsia"/>
                <w:color w:val="auto"/>
                <w:highlight w:val="none"/>
                <w:lang w:val="en-US" w:eastAsia="zh-CN"/>
              </w:rPr>
              <w:t>9</w:t>
            </w:r>
          </w:p>
        </w:tc>
        <w:tc>
          <w:tcPr>
            <w:tcW w:w="814" w:type="dxa"/>
            <w:vAlign w:val="center"/>
          </w:tcPr>
          <w:p>
            <w:pPr>
              <w:pStyle w:val="40"/>
              <w:ind w:firstLine="0" w:firstLineChars="0"/>
              <w:rPr>
                <w:rFonts w:hint="eastAsia" w:eastAsia="仿宋_GB2312"/>
                <w:color w:val="auto"/>
                <w:highlight w:val="none"/>
                <w:lang w:val="en-US" w:eastAsia="zh-CN"/>
              </w:rPr>
            </w:pPr>
            <w:r>
              <w:rPr>
                <w:rFonts w:hint="eastAsia"/>
                <w:color w:val="auto"/>
                <w:highlight w:val="none"/>
                <w:lang w:val="en-US" w:eastAsia="zh-CN"/>
              </w:rPr>
              <w:t>0</w:t>
            </w:r>
          </w:p>
        </w:tc>
        <w:tc>
          <w:tcPr>
            <w:tcW w:w="547" w:type="dxa"/>
            <w:vAlign w:val="center"/>
          </w:tcPr>
          <w:p>
            <w:pPr>
              <w:pStyle w:val="40"/>
              <w:ind w:firstLine="0" w:firstLineChars="0"/>
              <w:rPr>
                <w:rFonts w:hint="eastAsia" w:eastAsia="仿宋_GB2312"/>
                <w:color w:val="auto"/>
                <w:highlight w:val="none"/>
                <w:lang w:val="en-US" w:eastAsia="zh-CN"/>
              </w:rPr>
            </w:pPr>
            <w:r>
              <w:rPr>
                <w:rFonts w:hint="eastAsia"/>
                <w:color w:val="auto"/>
                <w:highlight w:val="none"/>
                <w:lang w:val="en-US" w:eastAsia="zh-CN"/>
              </w:rPr>
              <w:t>1</w:t>
            </w:r>
          </w:p>
        </w:tc>
        <w:tc>
          <w:tcPr>
            <w:tcW w:w="773" w:type="dxa"/>
            <w:vAlign w:val="center"/>
          </w:tcPr>
          <w:p>
            <w:pPr>
              <w:pStyle w:val="40"/>
              <w:ind w:firstLine="0" w:firstLineChars="0"/>
              <w:rPr>
                <w:color w:val="auto"/>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Ex>
        <w:trPr>
          <w:trHeight w:val="538" w:hRule="exact"/>
          <w:jc w:val="center"/>
        </w:trPr>
        <w:tc>
          <w:tcPr>
            <w:tcW w:w="8550" w:type="dxa"/>
            <w:gridSpan w:val="9"/>
            <w:vAlign w:val="center"/>
          </w:tcPr>
          <w:p>
            <w:pPr>
              <w:pStyle w:val="40"/>
              <w:ind w:firstLine="0" w:firstLineChars="0"/>
              <w:jc w:val="left"/>
              <w:rPr>
                <w:color w:val="auto"/>
                <w:highlight w:val="none"/>
              </w:rPr>
            </w:pPr>
            <w:r>
              <w:rPr>
                <w:color w:val="auto"/>
                <w:highlight w:val="none"/>
              </w:rPr>
              <w:t>您对该项目的具体意见和建议：</w:t>
            </w:r>
          </w:p>
        </w:tc>
      </w:tr>
    </w:tbl>
    <w:p>
      <w:pPr>
        <w:pStyle w:val="5"/>
        <w:keepNext w:val="0"/>
        <w:keepLines w:val="0"/>
        <w:tabs>
          <w:tab w:val="left" w:pos="426"/>
        </w:tabs>
        <w:adjustRightInd w:val="0"/>
        <w:snapToGrid w:val="0"/>
        <w:spacing w:before="0" w:after="0" w:line="360" w:lineRule="auto"/>
        <w:ind w:firstLine="482" w:firstLineChars="200"/>
        <w:textAlignment w:val="baseline"/>
        <w:rPr>
          <w:rFonts w:hint="default" w:ascii="Times New Roman" w:hAnsi="Times New Roman" w:cs="Times New Roman"/>
          <w:b/>
          <w:bCs w:val="0"/>
          <w:kern w:val="0"/>
          <w:szCs w:val="28"/>
          <w:highlight w:val="none"/>
          <w:lang w:val="en-US" w:eastAsia="zh-CN"/>
        </w:rPr>
      </w:pPr>
      <w:bookmarkStart w:id="269" w:name="_Toc4969"/>
      <w:bookmarkStart w:id="270" w:name="_Toc27008"/>
      <w:r>
        <w:rPr>
          <w:rFonts w:hint="default" w:ascii="Times New Roman" w:hAnsi="Times New Roman" w:cs="Times New Roman"/>
          <w:b/>
          <w:bCs w:val="0"/>
          <w:kern w:val="0"/>
          <w:szCs w:val="28"/>
          <w:highlight w:val="none"/>
          <w:lang w:val="en-US" w:eastAsia="zh-CN"/>
        </w:rPr>
        <w:t>10.5.2复垦方案编制完成后的公示</w:t>
      </w:r>
      <w:bookmarkEnd w:id="268"/>
      <w:bookmarkEnd w:id="269"/>
      <w:bookmarkEnd w:id="270"/>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复垦方案送审稿完成之后，在报送自然资源主管部门评审之前，由业主单位将复垦方案在项目所在地进行公示，向公众公告的内容包括：项目情况简介；项目对土地损毁情况简介；复垦方向及复垦措施要点介绍；公众查阅土地复垦报告书简本的方式和期限，以及公众认为必要时向建设单位或者其委托的报告编制单位索取补充信息的联系方式和期限。</w:t>
      </w:r>
      <w:bookmarkStart w:id="271" w:name="_Toc53225642"/>
    </w:p>
    <w:p>
      <w:pPr>
        <w:pStyle w:val="5"/>
        <w:keepNext w:val="0"/>
        <w:keepLines w:val="0"/>
        <w:tabs>
          <w:tab w:val="left" w:pos="426"/>
        </w:tabs>
        <w:adjustRightInd w:val="0"/>
        <w:snapToGrid w:val="0"/>
        <w:spacing w:before="0" w:after="0" w:line="360" w:lineRule="auto"/>
        <w:ind w:firstLine="482" w:firstLineChars="200"/>
        <w:textAlignment w:val="baseline"/>
        <w:rPr>
          <w:rFonts w:hint="default" w:ascii="Times New Roman" w:hAnsi="Times New Roman" w:cs="Times New Roman"/>
          <w:b/>
          <w:bCs w:val="0"/>
          <w:kern w:val="0"/>
          <w:szCs w:val="28"/>
          <w:highlight w:val="none"/>
          <w:lang w:val="en-US" w:eastAsia="zh-CN"/>
        </w:rPr>
      </w:pPr>
      <w:bookmarkStart w:id="272" w:name="_Toc23040"/>
      <w:bookmarkStart w:id="273" w:name="_Toc3473"/>
      <w:r>
        <w:rPr>
          <w:rFonts w:hint="default" w:ascii="Times New Roman" w:hAnsi="Times New Roman" w:cs="Times New Roman"/>
          <w:b/>
          <w:bCs w:val="0"/>
          <w:kern w:val="0"/>
          <w:szCs w:val="28"/>
          <w:highlight w:val="none"/>
          <w:lang w:val="en-US" w:eastAsia="zh-CN"/>
        </w:rPr>
        <w:t>10.5.3复垦方案实施阶段的公众参与</w:t>
      </w:r>
      <w:bookmarkEnd w:id="271"/>
      <w:bookmarkEnd w:id="272"/>
      <w:bookmarkEnd w:id="273"/>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在项目的实施过程中，项目单位应继续征求相关专业部门及专家、科技工作者的意见，遇到问题及时求教，并接受</w:t>
      </w:r>
      <w:r>
        <w:rPr>
          <w:rFonts w:hint="eastAsia" w:ascii="Times New Roman" w:hAnsi="Times New Roman" w:eastAsia="仿宋" w:cs="Times New Roman"/>
          <w:color w:val="auto"/>
          <w:sz w:val="24"/>
          <w:szCs w:val="24"/>
          <w:highlight w:val="none"/>
          <w:lang w:val="en-US" w:eastAsia="zh-CN"/>
        </w:rPr>
        <w:t>疏勒县自然资源局</w:t>
      </w:r>
      <w:r>
        <w:rPr>
          <w:rFonts w:hint="default" w:ascii="Times New Roman" w:hAnsi="Times New Roman" w:eastAsia="仿宋" w:cs="Times New Roman"/>
          <w:color w:val="auto"/>
          <w:sz w:val="24"/>
          <w:szCs w:val="24"/>
          <w:highlight w:val="none"/>
          <w:lang w:val="en-US" w:eastAsia="zh-CN"/>
        </w:rPr>
        <w:t>、其他相关部门及群众对复垦进度与复垦质量的监督。具体表现在以下两方面：</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一是土地复垦工作的验收主体不只局限于自然资源主管部门，相关的前期参与复垦方案报告的相关职能部门均有对复垦实施效果进行监督的权利；</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二是土地复垦义务人在组织开展本项目土地复垦工作以后，应当受理群众对详细复垦措施、质量以及复垦土地权属调整过程中的纠纷问题。</w:t>
      </w:r>
    </w:p>
    <w:p>
      <w:pPr>
        <w:pStyle w:val="5"/>
        <w:keepNext w:val="0"/>
        <w:keepLines w:val="0"/>
        <w:tabs>
          <w:tab w:val="left" w:pos="426"/>
        </w:tabs>
        <w:adjustRightInd w:val="0"/>
        <w:snapToGrid w:val="0"/>
        <w:spacing w:before="0" w:after="0" w:line="360" w:lineRule="auto"/>
        <w:ind w:firstLine="482" w:firstLineChars="200"/>
        <w:textAlignment w:val="baseline"/>
        <w:rPr>
          <w:rFonts w:hint="default" w:ascii="Times New Roman" w:hAnsi="Times New Roman" w:cs="Times New Roman"/>
          <w:b/>
          <w:bCs w:val="0"/>
          <w:kern w:val="0"/>
          <w:szCs w:val="28"/>
          <w:highlight w:val="none"/>
          <w:lang w:val="en-US" w:eastAsia="zh-CN"/>
        </w:rPr>
      </w:pPr>
      <w:bookmarkStart w:id="274" w:name="_Toc4664"/>
      <w:bookmarkStart w:id="275" w:name="_Toc26484"/>
      <w:bookmarkStart w:id="276" w:name="_Toc53225643"/>
      <w:r>
        <w:rPr>
          <w:rFonts w:hint="default" w:ascii="Times New Roman" w:hAnsi="Times New Roman" w:cs="Times New Roman"/>
          <w:b/>
          <w:bCs w:val="0"/>
          <w:kern w:val="0"/>
          <w:szCs w:val="28"/>
          <w:highlight w:val="none"/>
          <w:lang w:val="en-US" w:eastAsia="zh-CN"/>
        </w:rPr>
        <w:t>10.5.4复垦工程竣工验收阶段的公众参与</w:t>
      </w:r>
      <w:bookmarkEnd w:id="274"/>
      <w:bookmarkEnd w:id="275"/>
      <w:bookmarkEnd w:id="276"/>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复垦工程核查验收主要是在本方案服务期满后，由以</w:t>
      </w:r>
      <w:r>
        <w:rPr>
          <w:rFonts w:hint="eastAsia" w:ascii="Times New Roman" w:hAnsi="Times New Roman" w:eastAsia="仿宋" w:cs="Times New Roman"/>
          <w:color w:val="auto"/>
          <w:sz w:val="24"/>
          <w:szCs w:val="24"/>
          <w:highlight w:val="none"/>
          <w:lang w:val="en-US" w:eastAsia="zh-CN"/>
        </w:rPr>
        <w:t>疏勒县自然资源局</w:t>
      </w:r>
      <w:r>
        <w:rPr>
          <w:rFonts w:hint="default" w:ascii="Times New Roman" w:hAnsi="Times New Roman" w:eastAsia="仿宋" w:cs="Times New Roman"/>
          <w:color w:val="auto"/>
          <w:sz w:val="24"/>
          <w:szCs w:val="24"/>
          <w:highlight w:val="none"/>
          <w:lang w:val="en-US" w:eastAsia="zh-CN"/>
        </w:rPr>
        <w:t>牵头的验收专家组对土地复垦方案实施过程中的资金使用、复垦措施、工程设计、复垦效果进行检查，以复垦标准为标准，对本项目土地复垦进行综合评判的过程。</w:t>
      </w:r>
    </w:p>
    <w:p>
      <w:pPr>
        <w:pStyle w:val="4"/>
        <w:keepNext/>
        <w:keepLines/>
        <w:pageBreakBefore w:val="0"/>
        <w:widowControl w:val="0"/>
        <w:shd w:val="clear"/>
        <w:kinsoku/>
        <w:wordWrap/>
        <w:overflowPunct/>
        <w:topLinePunct w:val="0"/>
        <w:autoSpaceDE/>
        <w:autoSpaceDN/>
        <w:bidi w:val="0"/>
        <w:adjustRightInd/>
        <w:snapToGrid/>
        <w:spacing w:before="0" w:after="0" w:line="360" w:lineRule="auto"/>
        <w:textAlignment w:val="auto"/>
        <w:rPr>
          <w:rFonts w:hint="eastAsia" w:cs="Times New Roman"/>
          <w:color w:val="auto"/>
          <w:highlight w:val="none"/>
          <w:lang w:val="en-US" w:eastAsia="zh-CN"/>
        </w:rPr>
      </w:pPr>
      <w:bookmarkStart w:id="277" w:name="_Toc29816"/>
      <w:bookmarkStart w:id="278" w:name="_Toc2845"/>
      <w:bookmarkStart w:id="279" w:name="_Toc53225644"/>
      <w:bookmarkStart w:id="280" w:name="_Toc53593103"/>
      <w:bookmarkStart w:id="281" w:name="_Toc53225513"/>
      <w:r>
        <w:rPr>
          <w:rFonts w:hint="eastAsia" w:cs="Times New Roman"/>
          <w:color w:val="auto"/>
          <w:highlight w:val="none"/>
          <w:lang w:val="en-US" w:eastAsia="zh-CN"/>
        </w:rPr>
        <w:t>10.6土地权属调整方案</w:t>
      </w:r>
      <w:bookmarkEnd w:id="277"/>
      <w:bookmarkEnd w:id="278"/>
      <w:bookmarkEnd w:id="279"/>
      <w:bookmarkEnd w:id="280"/>
      <w:bookmarkEnd w:id="281"/>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土地权属调整是对复垦土地的产权进行调整，其目的是使复垦后的土地产权关系明确，促进项目所在地区的社会稳定、经济发展又能切实保护当事人的合法土地权利，避免发生土地权属争议。</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本方案临时用地在土地复垦前后权属没有发生变化，因此不涉及土地权属调整。</w:t>
      </w:r>
    </w:p>
    <w:p>
      <w:pPr>
        <w:pStyle w:val="4"/>
        <w:keepNext/>
        <w:keepLines/>
        <w:pageBreakBefore w:val="0"/>
        <w:widowControl w:val="0"/>
        <w:shd w:val="clear"/>
        <w:kinsoku/>
        <w:wordWrap/>
        <w:overflowPunct/>
        <w:topLinePunct w:val="0"/>
        <w:autoSpaceDE/>
        <w:autoSpaceDN/>
        <w:bidi w:val="0"/>
        <w:adjustRightInd/>
        <w:snapToGrid/>
        <w:spacing w:before="0" w:after="0" w:line="360" w:lineRule="auto"/>
        <w:textAlignment w:val="auto"/>
        <w:rPr>
          <w:rFonts w:hint="eastAsia" w:cs="Times New Roman"/>
          <w:color w:val="auto"/>
          <w:highlight w:val="none"/>
          <w:lang w:val="en-US" w:eastAsia="zh-CN"/>
        </w:rPr>
      </w:pPr>
      <w:bookmarkStart w:id="282" w:name="_Toc53225645"/>
      <w:bookmarkStart w:id="283" w:name="_Toc30358"/>
      <w:bookmarkStart w:id="284" w:name="_Toc53593104"/>
      <w:bookmarkStart w:id="285" w:name="_Toc53225514"/>
      <w:bookmarkStart w:id="286" w:name="_Toc18969"/>
      <w:r>
        <w:rPr>
          <w:rFonts w:hint="eastAsia" w:cs="Times New Roman"/>
          <w:color w:val="auto"/>
          <w:highlight w:val="none"/>
          <w:lang w:val="en-US" w:eastAsia="zh-CN"/>
        </w:rPr>
        <w:t>10.7结论与建议</w:t>
      </w:r>
      <w:bookmarkEnd w:id="282"/>
      <w:bookmarkEnd w:id="283"/>
      <w:bookmarkEnd w:id="284"/>
      <w:bookmarkEnd w:id="285"/>
      <w:bookmarkEnd w:id="286"/>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本方案中的各项土地复垦措施在工程建设中得到落实后，对改善当地生态环境起到十分重要</w:t>
      </w:r>
      <w:r>
        <w:rPr>
          <w:rFonts w:hint="eastAsia" w:ascii="Times New Roman" w:hAnsi="Times New Roman" w:eastAsia="仿宋" w:cs="Times New Roman"/>
          <w:color w:val="auto"/>
          <w:sz w:val="24"/>
          <w:szCs w:val="24"/>
          <w:highlight w:val="none"/>
          <w:lang w:val="en-US" w:eastAsia="zh-CN"/>
        </w:rPr>
        <w:t>地</w:t>
      </w:r>
      <w:r>
        <w:rPr>
          <w:rFonts w:hint="default" w:ascii="Times New Roman" w:hAnsi="Times New Roman" w:eastAsia="仿宋" w:cs="Times New Roman"/>
          <w:color w:val="auto"/>
          <w:sz w:val="24"/>
          <w:szCs w:val="24"/>
          <w:highlight w:val="none"/>
          <w:lang w:val="en-US" w:eastAsia="zh-CN"/>
        </w:rPr>
        <w:t>作用。为深入落实土地复垦工作，提出以下建议：</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（1）建议建设单位配合设计单位和施工单位，根据下阶段的施工组织设计，进一步细化工程中各项工程措施，并落实本方案提出的土地复垦措施。</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（2）在进行施工和监理时，应根据本土地复垦方案中制定的各项措施，明确提出施工过程中的土地复垦要求。</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（3）建设单位配合当地土地行政主管部门，</w:t>
      </w:r>
      <w:r>
        <w:rPr>
          <w:rFonts w:hint="eastAsia" w:ascii="Times New Roman" w:hAnsi="Times New Roman" w:eastAsia="仿宋" w:cs="Times New Roman"/>
          <w:color w:val="auto"/>
          <w:sz w:val="24"/>
          <w:szCs w:val="24"/>
          <w:highlight w:val="none"/>
          <w:lang w:val="en-US" w:eastAsia="zh-CN"/>
        </w:rPr>
        <w:t>做好</w:t>
      </w:r>
      <w:r>
        <w:rPr>
          <w:rFonts w:hint="default" w:ascii="Times New Roman" w:hAnsi="Times New Roman" w:eastAsia="仿宋" w:cs="Times New Roman"/>
          <w:color w:val="auto"/>
          <w:sz w:val="24"/>
          <w:szCs w:val="24"/>
          <w:highlight w:val="none"/>
          <w:lang w:val="en-US" w:eastAsia="zh-CN"/>
        </w:rPr>
        <w:t>土地复垦的实施、管理和监督工作，严格执行土地复垦工程监理制度，对土地复垦措施的实施进度、质量和资金利用等情况进行监控管理，保证工程质量。</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4）树立土地复垦与项目建设统一规划的思想，既要开发一方资源，带动一方经济发展，提高一方人民生活水平，又要实现土地复垦与损毁数量平衡，保护一方环境，使得经济发展、环境保护协调一致，并促进当地可持续发展。</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（5）在方案实施过程中应做好各项治理措施的施工设计，并由专业技术人员负责实施以确保工程能按时、高质量</w:t>
      </w:r>
      <w:r>
        <w:rPr>
          <w:rFonts w:hint="eastAsia" w:ascii="Times New Roman" w:hAnsi="Times New Roman" w:eastAsia="仿宋" w:cs="Times New Roman"/>
          <w:color w:val="auto"/>
          <w:sz w:val="24"/>
          <w:szCs w:val="24"/>
          <w:highlight w:val="none"/>
          <w:lang w:val="en-US" w:eastAsia="zh-CN"/>
        </w:rPr>
        <w:t>地</w:t>
      </w:r>
      <w:r>
        <w:rPr>
          <w:rFonts w:hint="default" w:ascii="Times New Roman" w:hAnsi="Times New Roman" w:eastAsia="仿宋" w:cs="Times New Roman"/>
          <w:color w:val="auto"/>
          <w:sz w:val="24"/>
          <w:szCs w:val="24"/>
          <w:highlight w:val="none"/>
          <w:lang w:val="en-US" w:eastAsia="zh-CN"/>
        </w:rPr>
        <w:t>完成。在工程实施后对各种工程应加强管理，以充分发挥各项措施的生态效益、社会效益和经济效益。</w:t>
      </w:r>
    </w:p>
    <w:p>
      <w:pPr>
        <w:shd w:val="clear"/>
        <w:spacing w:line="360" w:lineRule="auto"/>
        <w:ind w:firstLine="480" w:firstLineChars="200"/>
        <w:rPr>
          <w:rFonts w:hint="default" w:ascii="Times New Roman" w:hAnsi="Times New Roman" w:eastAsia="仿宋" w:cs="Times New Roman"/>
          <w:color w:val="auto"/>
          <w:sz w:val="24"/>
          <w:szCs w:val="24"/>
          <w:highlight w:val="none"/>
          <w:lang w:val="en-US" w:eastAsia="zh-CN"/>
        </w:rPr>
        <w:sectPr>
          <w:pgSz w:w="11920" w:h="16840"/>
          <w:pgMar w:top="1440" w:right="1800" w:bottom="1440" w:left="1800" w:header="964" w:footer="1009" w:gutter="0"/>
          <w:pgBorders>
            <w:top w:val="none" w:sz="0" w:space="0"/>
            <w:left w:val="none" w:sz="0" w:space="0"/>
            <w:bottom w:val="none" w:sz="0" w:space="0"/>
            <w:right w:val="none" w:sz="0" w:space="0"/>
          </w:pgBorders>
          <w:pgNumType w:fmt="decimal"/>
          <w:cols w:space="720" w:num="1"/>
          <w:docGrid w:linePitch="299" w:charSpace="0"/>
        </w:sectPr>
      </w:pPr>
    </w:p>
    <w:tbl>
      <w:tblPr>
        <w:tblStyle w:val="2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spacing w:line="240" w:lineRule="auto"/>
              <w:ind w:firstLine="0" w:firstLineChars="0"/>
              <w:jc w:val="center"/>
              <w:rPr>
                <w:rFonts w:hint="default" w:ascii="Times New Roman" w:hAnsi="Times New Roman" w:eastAsia="仿宋" w:cs="Times New Roman"/>
                <w:b/>
                <w:highlight w:val="none"/>
                <w:lang w:eastAsia="zh-CN"/>
              </w:rPr>
            </w:pPr>
            <w:r>
              <w:rPr>
                <w:rFonts w:hint="default" w:ascii="Times New Roman" w:hAnsi="Times New Roman" w:eastAsia="仿宋" w:cs="Times New Roman"/>
                <w:b/>
                <w:highlight w:val="none"/>
                <w:lang w:eastAsia="zh-CN"/>
              </w:rPr>
              <w:t>G219线岳普湖-英吉沙公路建设项目疏勒段施工便道</w:t>
            </w:r>
          </w:p>
          <w:p>
            <w:pPr>
              <w:spacing w:line="240" w:lineRule="auto"/>
              <w:ind w:firstLine="0" w:firstLineChars="0"/>
              <w:jc w:val="center"/>
              <w:rPr>
                <w:rFonts w:hint="default" w:ascii="Times New Roman" w:hAnsi="Times New Roman" w:eastAsia="仿宋" w:cs="Times New Roman"/>
                <w:b/>
                <w:highlight w:val="none"/>
                <w:lang w:eastAsia="zh-CN"/>
              </w:rPr>
            </w:pPr>
            <w:r>
              <w:rPr>
                <w:rFonts w:hint="default" w:ascii="Times New Roman" w:hAnsi="Times New Roman" w:eastAsia="仿宋" w:cs="Times New Roman"/>
                <w:b/>
                <w:highlight w:val="none"/>
                <w:lang w:eastAsia="zh-CN"/>
              </w:rPr>
              <w:t>土地复垦方案报告书</w:t>
            </w:r>
            <w:r>
              <w:rPr>
                <w:rFonts w:hint="default" w:ascii="Times New Roman" w:hAnsi="Times New Roman" w:eastAsia="仿宋" w:cs="Times New Roman"/>
                <w:b/>
                <w:position w:val="-1"/>
                <w:highlight w:val="none"/>
                <w:lang w:eastAsia="zh-CN"/>
              </w:rPr>
              <w:t>公示</w:t>
            </w:r>
          </w:p>
          <w:p>
            <w:pPr>
              <w:spacing w:line="340" w:lineRule="exact"/>
              <w:ind w:firstLine="420"/>
              <w:rPr>
                <w:rFonts w:hint="default" w:ascii="Times New Roman" w:hAnsi="Times New Roman" w:eastAsia="仿宋" w:cs="Times New Roman"/>
                <w:sz w:val="21"/>
                <w:szCs w:val="21"/>
                <w:highlight w:val="none"/>
                <w:lang w:eastAsia="zh-CN"/>
              </w:rPr>
            </w:pPr>
            <w:r>
              <w:rPr>
                <w:rFonts w:hint="eastAsia" w:ascii="Times New Roman" w:hAnsi="Times New Roman" w:eastAsia="仿宋" w:cs="Times New Roman"/>
                <w:sz w:val="21"/>
                <w:szCs w:val="21"/>
                <w:highlight w:val="none"/>
                <w:lang w:eastAsia="zh-CN"/>
              </w:rPr>
              <w:t>新疆路桥南疆工程建设有限公司</w:t>
            </w:r>
            <w:r>
              <w:rPr>
                <w:rFonts w:hint="default" w:ascii="Times New Roman" w:hAnsi="Times New Roman" w:eastAsia="仿宋" w:cs="Times New Roman"/>
                <w:sz w:val="21"/>
                <w:szCs w:val="21"/>
                <w:highlight w:val="none"/>
                <w:lang w:eastAsia="zh-CN"/>
              </w:rPr>
              <w:t>委托</w:t>
            </w:r>
            <w:r>
              <w:rPr>
                <w:rFonts w:hint="eastAsia" w:ascii="Times New Roman" w:hAnsi="Times New Roman" w:eastAsia="仿宋" w:cs="Times New Roman"/>
                <w:sz w:val="21"/>
                <w:szCs w:val="21"/>
                <w:highlight w:val="none"/>
                <w:lang w:eastAsia="zh-CN"/>
              </w:rPr>
              <w:t>新疆智恒技术咨询有限公司</w:t>
            </w:r>
            <w:r>
              <w:rPr>
                <w:rFonts w:hint="default" w:ascii="Times New Roman" w:hAnsi="Times New Roman" w:eastAsia="仿宋" w:cs="Times New Roman"/>
                <w:sz w:val="21"/>
                <w:szCs w:val="21"/>
                <w:highlight w:val="none"/>
                <w:lang w:eastAsia="zh-CN"/>
              </w:rPr>
              <w:t>编制《G219线岳普湖-英吉沙公路建设项目疏勒段施工便道土地复垦方案报告书》，现将公示内容公布如下：</w:t>
            </w:r>
          </w:p>
          <w:p>
            <w:pPr>
              <w:spacing w:line="340" w:lineRule="exact"/>
              <w:ind w:firstLine="422"/>
              <w:rPr>
                <w:rFonts w:hint="default" w:ascii="Times New Roman" w:hAnsi="Times New Roman" w:eastAsia="仿宋" w:cs="Times New Roman"/>
                <w:spacing w:val="-2"/>
                <w:sz w:val="21"/>
                <w:szCs w:val="21"/>
                <w:highlight w:val="none"/>
                <w:lang w:eastAsia="zh-CN"/>
              </w:rPr>
            </w:pPr>
            <w:r>
              <w:rPr>
                <w:rFonts w:hint="default" w:ascii="Times New Roman" w:hAnsi="Times New Roman" w:eastAsia="仿宋" w:cs="Times New Roman"/>
                <w:b/>
                <w:sz w:val="21"/>
                <w:szCs w:val="21"/>
                <w:highlight w:val="none"/>
                <w:lang w:eastAsia="zh-CN"/>
              </w:rPr>
              <w:t>一、项目名称：</w:t>
            </w:r>
            <w:r>
              <w:rPr>
                <w:rFonts w:hint="default" w:ascii="Times New Roman" w:hAnsi="Times New Roman" w:eastAsia="仿宋" w:cs="Times New Roman"/>
                <w:spacing w:val="-2"/>
                <w:sz w:val="21"/>
                <w:szCs w:val="21"/>
                <w:highlight w:val="none"/>
                <w:lang w:eastAsia="zh-CN"/>
              </w:rPr>
              <w:t>G219线岳普湖-英吉沙公路建设项目</w:t>
            </w:r>
          </w:p>
          <w:p>
            <w:pPr>
              <w:spacing w:line="340" w:lineRule="exact"/>
              <w:ind w:firstLine="422"/>
              <w:rPr>
                <w:rFonts w:hint="default" w:ascii="Times New Roman" w:hAnsi="Times New Roman" w:eastAsia="仿宋" w:cs="Times New Roman"/>
                <w:spacing w:val="-2"/>
                <w:sz w:val="21"/>
                <w:szCs w:val="21"/>
                <w:highlight w:val="none"/>
                <w:lang w:eastAsia="zh-CN"/>
              </w:rPr>
            </w:pPr>
            <w:r>
              <w:rPr>
                <w:rFonts w:hint="default" w:ascii="Times New Roman" w:hAnsi="Times New Roman" w:eastAsia="仿宋" w:cs="Times New Roman"/>
                <w:b/>
                <w:sz w:val="21"/>
                <w:szCs w:val="21"/>
                <w:highlight w:val="none"/>
                <w:lang w:eastAsia="zh-CN"/>
              </w:rPr>
              <w:t>二、项目单位：</w:t>
            </w:r>
            <w:r>
              <w:rPr>
                <w:rFonts w:hint="default" w:ascii="Times New Roman" w:hAnsi="Times New Roman" w:eastAsia="仿宋" w:cs="Times New Roman"/>
                <w:color w:val="auto"/>
                <w:sz w:val="21"/>
                <w:szCs w:val="21"/>
                <w:highlight w:val="none"/>
                <w:lang w:val="en-US" w:eastAsia="zh-CN"/>
              </w:rPr>
              <w:t>新疆路桥南疆工程建设有限公司</w:t>
            </w:r>
          </w:p>
          <w:p>
            <w:pPr>
              <w:spacing w:line="340" w:lineRule="exact"/>
              <w:ind w:firstLine="422"/>
              <w:rPr>
                <w:rFonts w:hint="default" w:ascii="Times New Roman" w:hAnsi="Times New Roman" w:eastAsia="仿宋" w:cs="Times New Roman"/>
                <w:b/>
                <w:sz w:val="21"/>
                <w:szCs w:val="21"/>
                <w:highlight w:val="none"/>
                <w:lang w:eastAsia="zh-CN"/>
              </w:rPr>
            </w:pPr>
            <w:r>
              <w:rPr>
                <w:rFonts w:hint="default" w:ascii="Times New Roman" w:hAnsi="Times New Roman" w:eastAsia="仿宋" w:cs="Times New Roman"/>
                <w:b/>
                <w:sz w:val="21"/>
                <w:szCs w:val="21"/>
                <w:highlight w:val="none"/>
                <w:lang w:eastAsia="zh-CN"/>
              </w:rPr>
              <w:t>三、项目简介：</w:t>
            </w:r>
          </w:p>
          <w:p>
            <w:pPr>
              <w:spacing w:line="340" w:lineRule="exact"/>
              <w:ind w:firstLine="420"/>
              <w:rPr>
                <w:rFonts w:hint="default" w:ascii="Times New Roman" w:hAnsi="Times New Roman" w:cs="Times New Roman"/>
                <w:highlight w:val="none"/>
                <w:lang w:val="en-US" w:eastAsia="zh-CN"/>
              </w:rPr>
            </w:pPr>
            <w:r>
              <w:rPr>
                <w:rFonts w:hint="default" w:ascii="Times New Roman" w:hAnsi="Times New Roman" w:eastAsia="仿宋" w:cs="Times New Roman"/>
                <w:sz w:val="21"/>
                <w:szCs w:val="21"/>
                <w:highlight w:val="none"/>
                <w:lang w:eastAsia="zh-CN"/>
              </w:rPr>
              <w:t>项目组成：包括主体工程（路基工程、路面工程、桥涵工程、交叉工程及沿线安全设施等）和临时工程（</w:t>
            </w:r>
            <w:r>
              <w:rPr>
                <w:rFonts w:hint="default" w:ascii="Times New Roman" w:hAnsi="Times New Roman" w:eastAsia="仿宋" w:cs="Times New Roman"/>
                <w:sz w:val="21"/>
                <w:szCs w:val="21"/>
                <w:highlight w:val="none"/>
                <w:lang w:val="en-US" w:eastAsia="zh-CN"/>
              </w:rPr>
              <w:t>施工便道</w:t>
            </w:r>
            <w:r>
              <w:rPr>
                <w:rFonts w:hint="default" w:ascii="Times New Roman" w:hAnsi="Times New Roman" w:eastAsia="仿宋" w:cs="Times New Roman"/>
                <w:sz w:val="21"/>
                <w:szCs w:val="21"/>
                <w:highlight w:val="none"/>
                <w:lang w:eastAsia="zh-CN"/>
              </w:rPr>
              <w:t>）</w:t>
            </w:r>
            <w:r>
              <w:rPr>
                <w:rFonts w:hint="default" w:ascii="Times New Roman" w:hAnsi="Times New Roman" w:eastAsia="仿宋" w:cs="Times New Roman"/>
                <w:sz w:val="21"/>
                <w:szCs w:val="21"/>
                <w:highlight w:val="none"/>
                <w:lang w:val="en-US" w:eastAsia="zh-CN"/>
              </w:rPr>
              <w:t>。</w:t>
            </w:r>
          </w:p>
          <w:p>
            <w:pPr>
              <w:spacing w:line="340" w:lineRule="exact"/>
              <w:ind w:firstLine="420"/>
              <w:rPr>
                <w:rFonts w:hint="default" w:ascii="Times New Roman" w:hAnsi="Times New Roman" w:eastAsia="仿宋" w:cs="Times New Roman"/>
                <w:sz w:val="21"/>
                <w:szCs w:val="21"/>
                <w:highlight w:val="none"/>
                <w:lang w:eastAsia="zh-CN"/>
              </w:rPr>
            </w:pPr>
            <w:r>
              <w:rPr>
                <w:rFonts w:hint="default" w:ascii="Times New Roman" w:hAnsi="Times New Roman" w:eastAsia="仿宋" w:cs="Times New Roman"/>
                <w:sz w:val="21"/>
                <w:szCs w:val="21"/>
                <w:highlight w:val="none"/>
                <w:lang w:eastAsia="zh-CN"/>
              </w:rPr>
              <w:t>投资规模：118809.0674万元；</w:t>
            </w:r>
          </w:p>
          <w:p>
            <w:pPr>
              <w:spacing w:line="340" w:lineRule="exact"/>
              <w:ind w:firstLine="420"/>
              <w:rPr>
                <w:rFonts w:hint="default" w:ascii="Times New Roman" w:hAnsi="Times New Roman" w:eastAsia="仿宋" w:cs="Times New Roman"/>
                <w:sz w:val="21"/>
                <w:szCs w:val="21"/>
                <w:highlight w:val="none"/>
                <w:lang w:eastAsia="zh-CN"/>
              </w:rPr>
            </w:pPr>
            <w:r>
              <w:rPr>
                <w:rFonts w:hint="default" w:ascii="Times New Roman" w:hAnsi="Times New Roman" w:eastAsia="仿宋" w:cs="Times New Roman"/>
                <w:sz w:val="21"/>
                <w:szCs w:val="21"/>
                <w:highlight w:val="none"/>
                <w:lang w:eastAsia="zh-CN"/>
              </w:rPr>
              <w:t>建设期限：2023年8月-2025年8月；</w:t>
            </w:r>
          </w:p>
          <w:p>
            <w:pPr>
              <w:spacing w:line="340" w:lineRule="exact"/>
              <w:ind w:firstLine="420"/>
              <w:rPr>
                <w:rFonts w:hint="default" w:ascii="Times New Roman" w:hAnsi="Times New Roman" w:eastAsia="仿宋" w:cs="Times New Roman"/>
                <w:sz w:val="21"/>
                <w:szCs w:val="21"/>
                <w:highlight w:val="none"/>
                <w:lang w:eastAsia="zh-CN"/>
              </w:rPr>
            </w:pPr>
            <w:r>
              <w:rPr>
                <w:rFonts w:hint="eastAsia" w:ascii="Times New Roman" w:hAnsi="Times New Roman" w:eastAsia="仿宋" w:cs="Times New Roman"/>
                <w:sz w:val="21"/>
                <w:szCs w:val="21"/>
                <w:highlight w:val="none"/>
                <w:lang w:val="en-US" w:eastAsia="zh-CN"/>
              </w:rPr>
              <w:t>建设内容</w:t>
            </w:r>
            <w:r>
              <w:rPr>
                <w:rFonts w:hint="default" w:ascii="Times New Roman" w:hAnsi="Times New Roman" w:eastAsia="仿宋" w:cs="Times New Roman"/>
                <w:sz w:val="21"/>
                <w:szCs w:val="21"/>
                <w:highlight w:val="none"/>
                <w:lang w:eastAsia="zh-CN"/>
              </w:rPr>
              <w:t>：</w:t>
            </w:r>
            <w:r>
              <w:rPr>
                <w:rFonts w:hint="eastAsia" w:ascii="Times New Roman" w:hAnsi="Times New Roman" w:eastAsia="仿宋" w:cs="Times New Roman"/>
                <w:color w:val="auto"/>
                <w:kern w:val="2"/>
                <w:sz w:val="21"/>
                <w:szCs w:val="21"/>
                <w:highlight w:val="none"/>
                <w:lang w:val="en-US" w:eastAsia="zh-CN" w:bidi="ar-SA"/>
              </w:rPr>
              <w:t>本项目全长为67.323Km，K0+000～K4+285采用一级公路技术标准，路基宽度为24.5m；K4+285～K67+323.1采用二级公路技术标准，一般路段路基宽度为12m。全线设计车速80km/h，本项目共设置大中桥502.16m/7座，小桥19.04m/1座，涵洞143道；分离式立交2座，平面交叉20处；收费站1处，养护工区1处。</w:t>
            </w:r>
          </w:p>
          <w:p>
            <w:pPr>
              <w:spacing w:line="340" w:lineRule="exact"/>
              <w:ind w:firstLine="422"/>
              <w:rPr>
                <w:rFonts w:hint="default" w:ascii="Times New Roman" w:hAnsi="Times New Roman" w:eastAsia="仿宋" w:cs="Times New Roman"/>
                <w:b/>
                <w:sz w:val="21"/>
                <w:szCs w:val="21"/>
                <w:highlight w:val="none"/>
                <w:lang w:eastAsia="zh-CN"/>
              </w:rPr>
            </w:pPr>
            <w:r>
              <w:rPr>
                <w:rFonts w:hint="default" w:ascii="Times New Roman" w:hAnsi="Times New Roman" w:eastAsia="仿宋" w:cs="Times New Roman"/>
                <w:b/>
                <w:sz w:val="21"/>
                <w:szCs w:val="21"/>
                <w:highlight w:val="none"/>
                <w:lang w:eastAsia="zh-CN"/>
              </w:rPr>
              <w:t>四、复垦内容：</w:t>
            </w:r>
          </w:p>
          <w:p>
            <w:pPr>
              <w:spacing w:line="340" w:lineRule="exact"/>
              <w:ind w:firstLine="422"/>
              <w:rPr>
                <w:rFonts w:hint="default" w:ascii="Times New Roman" w:hAnsi="Times New Roman" w:eastAsia="仿宋" w:cs="Times New Roman"/>
                <w:sz w:val="21"/>
                <w:szCs w:val="21"/>
                <w:highlight w:val="none"/>
                <w:lang w:eastAsia="zh-CN"/>
              </w:rPr>
            </w:pPr>
            <w:r>
              <w:rPr>
                <w:rFonts w:hint="default" w:ascii="Times New Roman" w:hAnsi="Times New Roman" w:eastAsia="仿宋" w:cs="Times New Roman"/>
                <w:b/>
                <w:bCs/>
                <w:sz w:val="21"/>
                <w:szCs w:val="21"/>
                <w:highlight w:val="none"/>
                <w:lang w:eastAsia="zh-CN"/>
              </w:rPr>
              <w:t>1</w:t>
            </w:r>
            <w:r>
              <w:rPr>
                <w:rFonts w:hint="default" w:ascii="Times New Roman" w:hAnsi="Times New Roman" w:eastAsia="仿宋" w:cs="Times New Roman"/>
                <w:b/>
                <w:bCs/>
                <w:spacing w:val="-2"/>
                <w:sz w:val="21"/>
                <w:szCs w:val="21"/>
                <w:highlight w:val="none"/>
                <w:lang w:eastAsia="zh-CN"/>
              </w:rPr>
              <w:t>.</w:t>
            </w:r>
            <w:r>
              <w:rPr>
                <w:rFonts w:hint="default" w:ascii="Times New Roman" w:hAnsi="Times New Roman" w:eastAsia="仿宋" w:cs="Times New Roman"/>
                <w:b/>
                <w:sz w:val="21"/>
                <w:szCs w:val="21"/>
                <w:highlight w:val="none"/>
                <w:lang w:eastAsia="zh-CN"/>
              </w:rPr>
              <w:t>复垦责任面积：</w:t>
            </w:r>
            <w:r>
              <w:rPr>
                <w:rFonts w:hint="default" w:ascii="Times New Roman" w:hAnsi="Times New Roman" w:eastAsia="仿宋" w:cs="Times New Roman"/>
                <w:spacing w:val="-2"/>
                <w:sz w:val="21"/>
                <w:szCs w:val="21"/>
                <w:highlight w:val="none"/>
                <w:lang w:eastAsia="zh-CN"/>
              </w:rPr>
              <w:t>本</w:t>
            </w:r>
            <w:r>
              <w:rPr>
                <w:rFonts w:hint="default" w:ascii="Times New Roman" w:hAnsi="Times New Roman" w:eastAsia="仿宋" w:cs="Times New Roman"/>
                <w:sz w:val="21"/>
                <w:szCs w:val="21"/>
                <w:highlight w:val="none"/>
                <w:lang w:eastAsia="zh-CN"/>
              </w:rPr>
              <w:t>方</w:t>
            </w:r>
            <w:r>
              <w:rPr>
                <w:rFonts w:hint="default" w:ascii="Times New Roman" w:hAnsi="Times New Roman" w:eastAsia="仿宋" w:cs="Times New Roman"/>
                <w:spacing w:val="-2"/>
                <w:sz w:val="21"/>
                <w:szCs w:val="21"/>
                <w:highlight w:val="none"/>
                <w:lang w:eastAsia="zh-CN"/>
              </w:rPr>
              <w:t>案</w:t>
            </w:r>
            <w:r>
              <w:rPr>
                <w:rFonts w:hint="default" w:ascii="Times New Roman" w:hAnsi="Times New Roman" w:eastAsia="仿宋" w:cs="Times New Roman"/>
                <w:sz w:val="21"/>
                <w:szCs w:val="21"/>
                <w:highlight w:val="none"/>
                <w:lang w:eastAsia="zh-CN"/>
              </w:rPr>
              <w:t>复垦</w:t>
            </w:r>
            <w:r>
              <w:rPr>
                <w:rFonts w:hint="default" w:ascii="Times New Roman" w:hAnsi="Times New Roman" w:eastAsia="仿宋" w:cs="Times New Roman"/>
                <w:spacing w:val="-2"/>
                <w:sz w:val="21"/>
                <w:szCs w:val="21"/>
                <w:highlight w:val="none"/>
                <w:lang w:eastAsia="zh-CN"/>
              </w:rPr>
              <w:t>责</w:t>
            </w:r>
            <w:r>
              <w:rPr>
                <w:rFonts w:hint="default" w:ascii="Times New Roman" w:hAnsi="Times New Roman" w:eastAsia="仿宋" w:cs="Times New Roman"/>
                <w:sz w:val="21"/>
                <w:szCs w:val="21"/>
                <w:highlight w:val="none"/>
                <w:lang w:eastAsia="zh-CN"/>
              </w:rPr>
              <w:t>任</w:t>
            </w:r>
            <w:r>
              <w:rPr>
                <w:rFonts w:hint="default" w:ascii="Times New Roman" w:hAnsi="Times New Roman" w:eastAsia="仿宋" w:cs="Times New Roman"/>
                <w:spacing w:val="-2"/>
                <w:sz w:val="21"/>
                <w:szCs w:val="21"/>
                <w:highlight w:val="none"/>
                <w:lang w:eastAsia="zh-CN"/>
              </w:rPr>
              <w:t>范</w:t>
            </w:r>
            <w:r>
              <w:rPr>
                <w:rFonts w:hint="default" w:ascii="Times New Roman" w:hAnsi="Times New Roman" w:eastAsia="仿宋" w:cs="Times New Roman"/>
                <w:sz w:val="21"/>
                <w:szCs w:val="21"/>
                <w:highlight w:val="none"/>
                <w:lang w:eastAsia="zh-CN"/>
              </w:rPr>
              <w:t>围</w:t>
            </w:r>
            <w:r>
              <w:rPr>
                <w:rFonts w:hint="default" w:ascii="Times New Roman" w:hAnsi="Times New Roman" w:eastAsia="仿宋" w:cs="Times New Roman"/>
                <w:spacing w:val="-2"/>
                <w:sz w:val="21"/>
                <w:szCs w:val="21"/>
                <w:highlight w:val="none"/>
                <w:lang w:eastAsia="zh-CN"/>
              </w:rPr>
              <w:t>为</w:t>
            </w:r>
            <w:r>
              <w:rPr>
                <w:rFonts w:hint="default" w:ascii="Times New Roman" w:hAnsi="Times New Roman" w:eastAsia="仿宋" w:cs="Times New Roman"/>
                <w:spacing w:val="-2"/>
                <w:sz w:val="21"/>
                <w:szCs w:val="21"/>
                <w:highlight w:val="none"/>
                <w:lang w:val="en-US" w:eastAsia="zh-CN"/>
              </w:rPr>
              <w:t>施工便道</w:t>
            </w:r>
            <w:r>
              <w:rPr>
                <w:rFonts w:hint="default" w:ascii="Times New Roman" w:hAnsi="Times New Roman" w:eastAsia="仿宋" w:cs="Times New Roman"/>
                <w:sz w:val="21"/>
                <w:szCs w:val="21"/>
                <w:highlight w:val="none"/>
                <w:lang w:eastAsia="zh-CN"/>
              </w:rPr>
              <w:t>临</w:t>
            </w:r>
            <w:r>
              <w:rPr>
                <w:rFonts w:hint="default" w:ascii="Times New Roman" w:hAnsi="Times New Roman" w:eastAsia="仿宋" w:cs="Times New Roman"/>
                <w:spacing w:val="-2"/>
                <w:sz w:val="21"/>
                <w:szCs w:val="21"/>
                <w:highlight w:val="none"/>
                <w:lang w:eastAsia="zh-CN"/>
              </w:rPr>
              <w:t>时</w:t>
            </w:r>
            <w:r>
              <w:rPr>
                <w:rFonts w:hint="default" w:ascii="Times New Roman" w:hAnsi="Times New Roman" w:eastAsia="仿宋" w:cs="Times New Roman"/>
                <w:sz w:val="21"/>
                <w:szCs w:val="21"/>
                <w:highlight w:val="none"/>
                <w:lang w:eastAsia="zh-CN"/>
              </w:rPr>
              <w:t>用</w:t>
            </w:r>
            <w:r>
              <w:rPr>
                <w:rFonts w:hint="default" w:ascii="Times New Roman" w:hAnsi="Times New Roman" w:eastAsia="仿宋" w:cs="Times New Roman"/>
                <w:spacing w:val="-2"/>
                <w:sz w:val="21"/>
                <w:szCs w:val="21"/>
                <w:highlight w:val="none"/>
                <w:lang w:eastAsia="zh-CN"/>
              </w:rPr>
              <w:t>地</w:t>
            </w:r>
            <w:r>
              <w:rPr>
                <w:rFonts w:hint="default" w:ascii="Times New Roman" w:hAnsi="Times New Roman" w:eastAsia="仿宋" w:cs="Times New Roman"/>
                <w:sz w:val="21"/>
                <w:szCs w:val="21"/>
                <w:highlight w:val="none"/>
                <w:lang w:eastAsia="zh-CN"/>
              </w:rPr>
              <w:t>范围</w:t>
            </w:r>
            <w:r>
              <w:rPr>
                <w:rFonts w:hint="default" w:ascii="Times New Roman" w:hAnsi="Times New Roman" w:eastAsia="仿宋" w:cs="Times New Roman"/>
                <w:spacing w:val="-2"/>
                <w:sz w:val="21"/>
                <w:szCs w:val="21"/>
                <w:highlight w:val="none"/>
                <w:lang w:eastAsia="zh-CN"/>
              </w:rPr>
              <w:t>，</w:t>
            </w:r>
            <w:r>
              <w:rPr>
                <w:rFonts w:hint="default" w:ascii="Times New Roman" w:hAnsi="Times New Roman" w:eastAsia="仿宋" w:cs="Times New Roman"/>
                <w:sz w:val="21"/>
                <w:szCs w:val="21"/>
                <w:highlight w:val="none"/>
                <w:lang w:eastAsia="zh-CN"/>
              </w:rPr>
              <w:t>面</w:t>
            </w:r>
            <w:r>
              <w:rPr>
                <w:rFonts w:hint="default" w:ascii="Times New Roman" w:hAnsi="Times New Roman" w:eastAsia="仿宋" w:cs="Times New Roman"/>
                <w:spacing w:val="-2"/>
                <w:sz w:val="21"/>
                <w:szCs w:val="21"/>
                <w:highlight w:val="none"/>
                <w:lang w:eastAsia="zh-CN"/>
              </w:rPr>
              <w:t>积为</w:t>
            </w:r>
            <w:r>
              <w:rPr>
                <w:rFonts w:hint="eastAsia" w:ascii="Times New Roman" w:hAnsi="Times New Roman" w:eastAsia="仿宋" w:cs="Times New Roman"/>
                <w:spacing w:val="-2"/>
                <w:sz w:val="21"/>
                <w:szCs w:val="21"/>
                <w:highlight w:val="none"/>
                <w:lang w:eastAsia="zh-CN"/>
              </w:rPr>
              <w:t>2.4296</w:t>
            </w:r>
            <w:r>
              <w:rPr>
                <w:rFonts w:hint="default" w:ascii="Times New Roman" w:hAnsi="Times New Roman" w:eastAsia="仿宋" w:cs="Times New Roman"/>
                <w:spacing w:val="-2"/>
                <w:sz w:val="21"/>
                <w:szCs w:val="21"/>
                <w:highlight w:val="none"/>
                <w:lang w:eastAsia="zh-CN"/>
              </w:rPr>
              <w:t>公顷。</w:t>
            </w:r>
          </w:p>
          <w:p>
            <w:pPr>
              <w:spacing w:line="340" w:lineRule="exact"/>
              <w:ind w:firstLine="422"/>
              <w:rPr>
                <w:rFonts w:hint="default" w:ascii="Times New Roman" w:hAnsi="Times New Roman" w:cs="Times New Roman"/>
                <w:highlight w:val="none"/>
                <w:lang w:eastAsia="zh-CN"/>
              </w:rPr>
            </w:pPr>
            <w:r>
              <w:rPr>
                <w:rFonts w:hint="default" w:ascii="Times New Roman" w:hAnsi="Times New Roman" w:eastAsia="仿宋" w:cs="Times New Roman"/>
                <w:b/>
                <w:bCs/>
                <w:sz w:val="21"/>
                <w:szCs w:val="21"/>
                <w:highlight w:val="none"/>
                <w:lang w:eastAsia="zh-CN"/>
              </w:rPr>
              <w:t>2</w:t>
            </w:r>
            <w:r>
              <w:rPr>
                <w:rFonts w:hint="default" w:ascii="Times New Roman" w:hAnsi="Times New Roman" w:eastAsia="仿宋" w:cs="Times New Roman"/>
                <w:b/>
                <w:bCs/>
                <w:spacing w:val="-2"/>
                <w:sz w:val="21"/>
                <w:szCs w:val="21"/>
                <w:highlight w:val="none"/>
                <w:lang w:eastAsia="zh-CN"/>
              </w:rPr>
              <w:t>.</w:t>
            </w:r>
            <w:r>
              <w:rPr>
                <w:rFonts w:hint="default" w:ascii="Times New Roman" w:hAnsi="Times New Roman" w:eastAsia="仿宋" w:cs="Times New Roman"/>
                <w:b/>
                <w:sz w:val="21"/>
                <w:szCs w:val="21"/>
                <w:highlight w:val="none"/>
                <w:lang w:eastAsia="zh-CN"/>
              </w:rPr>
              <w:t>复垦方向：</w:t>
            </w:r>
            <w:r>
              <w:rPr>
                <w:rFonts w:hint="default" w:ascii="Times New Roman" w:hAnsi="Times New Roman" w:eastAsia="仿宋" w:cs="Times New Roman"/>
                <w:spacing w:val="-2"/>
                <w:sz w:val="21"/>
                <w:szCs w:val="21"/>
                <w:highlight w:val="none"/>
                <w:lang w:eastAsia="zh-CN"/>
              </w:rPr>
              <w:t>本方案临时用地复垦以恢复原状为主，复垦为</w:t>
            </w:r>
            <w:r>
              <w:rPr>
                <w:rFonts w:hint="eastAsia" w:ascii="Times New Roman" w:hAnsi="Times New Roman" w:eastAsia="仿宋" w:cs="Times New Roman"/>
                <w:spacing w:val="-2"/>
                <w:sz w:val="21"/>
                <w:szCs w:val="21"/>
                <w:highlight w:val="none"/>
                <w:lang w:val="en-US" w:eastAsia="zh-CN"/>
              </w:rPr>
              <w:t>沙地</w:t>
            </w:r>
            <w:r>
              <w:rPr>
                <w:rFonts w:hint="default" w:ascii="Times New Roman" w:hAnsi="Times New Roman" w:eastAsia="仿宋" w:cs="Times New Roman"/>
                <w:spacing w:val="-2"/>
                <w:sz w:val="21"/>
                <w:szCs w:val="21"/>
                <w:highlight w:val="none"/>
                <w:lang w:eastAsia="zh-CN"/>
              </w:rPr>
              <w:t>。</w:t>
            </w:r>
          </w:p>
          <w:p>
            <w:pPr>
              <w:spacing w:line="340" w:lineRule="exact"/>
              <w:ind w:firstLine="422"/>
              <w:rPr>
                <w:rFonts w:hint="default" w:ascii="Times New Roman" w:hAnsi="Times New Roman" w:eastAsia="仿宋" w:cs="Times New Roman"/>
                <w:sz w:val="21"/>
                <w:szCs w:val="21"/>
                <w:highlight w:val="none"/>
                <w:lang w:eastAsia="zh-CN"/>
              </w:rPr>
            </w:pPr>
            <w:r>
              <w:rPr>
                <w:rFonts w:hint="default" w:ascii="Times New Roman" w:hAnsi="Times New Roman" w:eastAsia="仿宋" w:cs="Times New Roman"/>
                <w:b/>
                <w:bCs/>
                <w:sz w:val="21"/>
                <w:szCs w:val="21"/>
                <w:highlight w:val="none"/>
                <w:lang w:eastAsia="zh-CN"/>
              </w:rPr>
              <w:t>3.</w:t>
            </w:r>
            <w:r>
              <w:rPr>
                <w:rFonts w:hint="default" w:ascii="Times New Roman" w:hAnsi="Times New Roman" w:eastAsia="仿宋" w:cs="Times New Roman"/>
                <w:b/>
                <w:spacing w:val="2"/>
                <w:sz w:val="21"/>
                <w:szCs w:val="21"/>
                <w:highlight w:val="none"/>
                <w:lang w:eastAsia="zh-CN"/>
              </w:rPr>
              <w:t>复垦措施：</w:t>
            </w:r>
            <w:r>
              <w:rPr>
                <w:rFonts w:hint="eastAsia" w:ascii="Times New Roman" w:hAnsi="Times New Roman" w:eastAsia="仿宋" w:cs="Times New Roman"/>
                <w:spacing w:val="-2"/>
                <w:sz w:val="21"/>
                <w:szCs w:val="21"/>
                <w:highlight w:val="none"/>
                <w:lang w:eastAsia="zh-CN"/>
              </w:rPr>
              <w:t>地表固化物的清理、垃圾清运和土地平整</w:t>
            </w:r>
            <w:r>
              <w:rPr>
                <w:rFonts w:hint="default" w:ascii="Times New Roman" w:hAnsi="Times New Roman" w:eastAsia="仿宋" w:cs="Times New Roman"/>
                <w:spacing w:val="-2"/>
                <w:sz w:val="21"/>
                <w:szCs w:val="21"/>
                <w:highlight w:val="none"/>
                <w:lang w:eastAsia="zh-CN"/>
              </w:rPr>
              <w:t>等。</w:t>
            </w:r>
          </w:p>
          <w:p>
            <w:pPr>
              <w:spacing w:line="340" w:lineRule="exact"/>
              <w:ind w:firstLine="422"/>
              <w:rPr>
                <w:rFonts w:hint="default" w:ascii="Times New Roman" w:hAnsi="Times New Roman" w:eastAsia="仿宋" w:cs="Times New Roman"/>
                <w:sz w:val="21"/>
                <w:szCs w:val="21"/>
                <w:highlight w:val="none"/>
                <w:lang w:eastAsia="zh-CN"/>
              </w:rPr>
            </w:pPr>
            <w:r>
              <w:rPr>
                <w:rFonts w:hint="default" w:ascii="Times New Roman" w:hAnsi="Times New Roman" w:eastAsia="仿宋" w:cs="Times New Roman"/>
                <w:b/>
                <w:bCs/>
                <w:sz w:val="21"/>
                <w:szCs w:val="21"/>
                <w:highlight w:val="none"/>
                <w:lang w:eastAsia="zh-CN"/>
              </w:rPr>
              <w:t>4</w:t>
            </w:r>
            <w:r>
              <w:rPr>
                <w:rFonts w:hint="default" w:ascii="Times New Roman" w:hAnsi="Times New Roman" w:eastAsia="仿宋" w:cs="Times New Roman"/>
                <w:b/>
                <w:bCs/>
                <w:spacing w:val="-2"/>
                <w:sz w:val="21"/>
                <w:szCs w:val="21"/>
                <w:highlight w:val="none"/>
                <w:lang w:eastAsia="zh-CN"/>
              </w:rPr>
              <w:t>.</w:t>
            </w:r>
            <w:r>
              <w:rPr>
                <w:rFonts w:hint="default" w:ascii="Times New Roman" w:hAnsi="Times New Roman" w:eastAsia="仿宋" w:cs="Times New Roman"/>
                <w:b/>
                <w:sz w:val="21"/>
                <w:szCs w:val="21"/>
                <w:highlight w:val="none"/>
                <w:lang w:eastAsia="zh-CN"/>
              </w:rPr>
              <w:t>复垦投资：</w:t>
            </w:r>
            <w:r>
              <w:rPr>
                <w:rFonts w:hint="default" w:ascii="Times New Roman" w:hAnsi="Times New Roman" w:eastAsia="仿宋" w:cs="Times New Roman"/>
                <w:sz w:val="21"/>
                <w:szCs w:val="21"/>
                <w:highlight w:val="none"/>
                <w:lang w:eastAsia="zh-CN"/>
              </w:rPr>
              <w:t>本复垦工程静态总投资为</w:t>
            </w:r>
            <w:r>
              <w:rPr>
                <w:rFonts w:hint="eastAsia" w:ascii="Times New Roman" w:hAnsi="Times New Roman" w:eastAsia="仿宋" w:cs="Times New Roman"/>
                <w:sz w:val="21"/>
                <w:szCs w:val="21"/>
                <w:highlight w:val="none"/>
                <w:lang w:eastAsia="zh-CN"/>
              </w:rPr>
              <w:t>10.78</w:t>
            </w:r>
            <w:r>
              <w:rPr>
                <w:rFonts w:hint="default" w:ascii="Times New Roman" w:hAnsi="Times New Roman" w:eastAsia="仿宋" w:cs="Times New Roman"/>
                <w:sz w:val="21"/>
                <w:szCs w:val="21"/>
                <w:highlight w:val="none"/>
                <w:lang w:eastAsia="zh-CN"/>
              </w:rPr>
              <w:t>万元。</w:t>
            </w:r>
          </w:p>
          <w:p>
            <w:pPr>
              <w:spacing w:line="340" w:lineRule="exact"/>
              <w:ind w:firstLine="422"/>
              <w:rPr>
                <w:rFonts w:hint="default" w:ascii="Times New Roman" w:hAnsi="Times New Roman" w:eastAsia="仿宋" w:cs="Times New Roman"/>
                <w:b/>
                <w:sz w:val="21"/>
                <w:szCs w:val="21"/>
                <w:highlight w:val="none"/>
                <w:lang w:eastAsia="zh-CN"/>
              </w:rPr>
            </w:pPr>
            <w:r>
              <w:rPr>
                <w:rFonts w:hint="default" w:ascii="Times New Roman" w:hAnsi="Times New Roman" w:eastAsia="仿宋" w:cs="Times New Roman"/>
                <w:b/>
                <w:sz w:val="21"/>
                <w:szCs w:val="21"/>
                <w:highlight w:val="none"/>
                <w:lang w:eastAsia="zh-CN"/>
              </w:rPr>
              <w:t>五、其他事宜：</w:t>
            </w:r>
          </w:p>
          <w:p>
            <w:pPr>
              <w:spacing w:line="340" w:lineRule="exact"/>
              <w:ind w:firstLine="411" w:firstLineChars="196"/>
              <w:rPr>
                <w:rFonts w:hint="default" w:ascii="Times New Roman" w:hAnsi="Times New Roman" w:eastAsia="仿宋" w:cs="Times New Roman"/>
                <w:sz w:val="21"/>
                <w:szCs w:val="21"/>
                <w:highlight w:val="none"/>
                <w:lang w:eastAsia="zh-CN"/>
              </w:rPr>
            </w:pPr>
            <w:r>
              <w:rPr>
                <w:rFonts w:hint="default" w:ascii="Times New Roman" w:hAnsi="Times New Roman" w:eastAsia="仿宋" w:cs="Times New Roman"/>
                <w:sz w:val="21"/>
                <w:szCs w:val="21"/>
                <w:highlight w:val="none"/>
                <w:lang w:eastAsia="zh-CN"/>
              </w:rPr>
              <w:t>本</w:t>
            </w:r>
            <w:r>
              <w:rPr>
                <w:rFonts w:hint="default" w:ascii="Times New Roman" w:hAnsi="Times New Roman" w:eastAsia="仿宋" w:cs="Times New Roman"/>
                <w:spacing w:val="-2"/>
                <w:sz w:val="21"/>
                <w:szCs w:val="21"/>
                <w:highlight w:val="none"/>
                <w:lang w:eastAsia="zh-CN"/>
              </w:rPr>
              <w:t>项</w:t>
            </w:r>
            <w:r>
              <w:rPr>
                <w:rFonts w:hint="default" w:ascii="Times New Roman" w:hAnsi="Times New Roman" w:eastAsia="仿宋" w:cs="Times New Roman"/>
                <w:sz w:val="21"/>
                <w:szCs w:val="21"/>
                <w:highlight w:val="none"/>
                <w:lang w:eastAsia="zh-CN"/>
              </w:rPr>
              <w:t>目</w:t>
            </w:r>
            <w:r>
              <w:rPr>
                <w:rFonts w:hint="default" w:ascii="Times New Roman" w:hAnsi="Times New Roman" w:eastAsia="仿宋" w:cs="Times New Roman"/>
                <w:spacing w:val="-2"/>
                <w:sz w:val="21"/>
                <w:szCs w:val="21"/>
                <w:highlight w:val="none"/>
                <w:lang w:eastAsia="zh-CN"/>
              </w:rPr>
              <w:t>土</w:t>
            </w:r>
            <w:r>
              <w:rPr>
                <w:rFonts w:hint="default" w:ascii="Times New Roman" w:hAnsi="Times New Roman" w:eastAsia="仿宋" w:cs="Times New Roman"/>
                <w:sz w:val="21"/>
                <w:szCs w:val="21"/>
                <w:highlight w:val="none"/>
                <w:lang w:eastAsia="zh-CN"/>
              </w:rPr>
              <w:t>地复</w:t>
            </w:r>
            <w:r>
              <w:rPr>
                <w:rFonts w:hint="default" w:ascii="Times New Roman" w:hAnsi="Times New Roman" w:eastAsia="仿宋" w:cs="Times New Roman"/>
                <w:spacing w:val="-2"/>
                <w:sz w:val="21"/>
                <w:szCs w:val="21"/>
                <w:highlight w:val="none"/>
                <w:lang w:eastAsia="zh-CN"/>
              </w:rPr>
              <w:t>垦</w:t>
            </w:r>
            <w:r>
              <w:rPr>
                <w:rFonts w:hint="default" w:ascii="Times New Roman" w:hAnsi="Times New Roman" w:eastAsia="仿宋" w:cs="Times New Roman"/>
                <w:sz w:val="21"/>
                <w:szCs w:val="21"/>
                <w:highlight w:val="none"/>
                <w:lang w:eastAsia="zh-CN"/>
              </w:rPr>
              <w:t>工作</w:t>
            </w:r>
            <w:r>
              <w:rPr>
                <w:rFonts w:hint="default" w:ascii="Times New Roman" w:hAnsi="Times New Roman" w:eastAsia="仿宋" w:cs="Times New Roman"/>
                <w:spacing w:val="-2"/>
                <w:sz w:val="21"/>
                <w:szCs w:val="21"/>
                <w:highlight w:val="none"/>
                <w:lang w:eastAsia="zh-CN"/>
              </w:rPr>
              <w:t>，</w:t>
            </w:r>
            <w:r>
              <w:rPr>
                <w:rFonts w:hint="default" w:ascii="Times New Roman" w:hAnsi="Times New Roman" w:eastAsia="仿宋" w:cs="Times New Roman"/>
                <w:sz w:val="21"/>
                <w:szCs w:val="21"/>
                <w:highlight w:val="none"/>
                <w:lang w:eastAsia="zh-CN"/>
              </w:rPr>
              <w:t>具</w:t>
            </w:r>
            <w:r>
              <w:rPr>
                <w:rFonts w:hint="default" w:ascii="Times New Roman" w:hAnsi="Times New Roman" w:eastAsia="仿宋" w:cs="Times New Roman"/>
                <w:spacing w:val="-3"/>
                <w:sz w:val="21"/>
                <w:szCs w:val="21"/>
                <w:highlight w:val="none"/>
                <w:lang w:eastAsia="zh-CN"/>
              </w:rPr>
              <w:t>体</w:t>
            </w:r>
            <w:r>
              <w:rPr>
                <w:rFonts w:hint="default" w:ascii="Times New Roman" w:hAnsi="Times New Roman" w:eastAsia="仿宋" w:cs="Times New Roman"/>
                <w:sz w:val="21"/>
                <w:szCs w:val="21"/>
                <w:highlight w:val="none"/>
                <w:lang w:eastAsia="zh-CN"/>
              </w:rPr>
              <w:t>由</w:t>
            </w:r>
            <w:r>
              <w:rPr>
                <w:rFonts w:hint="eastAsia" w:ascii="Times New Roman" w:hAnsi="Times New Roman" w:eastAsia="仿宋" w:cs="Times New Roman"/>
                <w:sz w:val="21"/>
                <w:szCs w:val="21"/>
                <w:highlight w:val="none"/>
                <w:lang w:eastAsia="zh-CN"/>
              </w:rPr>
              <w:t>新疆路桥南疆工程建设有限公司</w:t>
            </w:r>
            <w:r>
              <w:rPr>
                <w:rFonts w:hint="default" w:ascii="Times New Roman" w:hAnsi="Times New Roman" w:eastAsia="仿宋" w:cs="Times New Roman"/>
                <w:spacing w:val="-2"/>
                <w:sz w:val="21"/>
                <w:szCs w:val="21"/>
                <w:highlight w:val="none"/>
                <w:lang w:eastAsia="zh-CN"/>
              </w:rPr>
              <w:t>及</w:t>
            </w:r>
            <w:r>
              <w:rPr>
                <w:rFonts w:hint="default" w:ascii="Times New Roman" w:hAnsi="Times New Roman" w:eastAsia="仿宋" w:cs="Times New Roman"/>
                <w:sz w:val="21"/>
                <w:szCs w:val="21"/>
                <w:highlight w:val="none"/>
                <w:lang w:eastAsia="zh-CN"/>
              </w:rPr>
              <w:t>相关工程</w:t>
            </w:r>
            <w:r>
              <w:rPr>
                <w:rFonts w:hint="default" w:ascii="Times New Roman" w:hAnsi="Times New Roman" w:eastAsia="仿宋" w:cs="Times New Roman"/>
                <w:spacing w:val="-2"/>
                <w:sz w:val="21"/>
                <w:szCs w:val="21"/>
                <w:highlight w:val="none"/>
                <w:lang w:eastAsia="zh-CN"/>
              </w:rPr>
              <w:t>建</w:t>
            </w:r>
            <w:r>
              <w:rPr>
                <w:rFonts w:hint="default" w:ascii="Times New Roman" w:hAnsi="Times New Roman" w:eastAsia="仿宋" w:cs="Times New Roman"/>
                <w:sz w:val="21"/>
                <w:szCs w:val="21"/>
                <w:highlight w:val="none"/>
                <w:lang w:eastAsia="zh-CN"/>
              </w:rPr>
              <w:t>设</w:t>
            </w:r>
            <w:r>
              <w:rPr>
                <w:rFonts w:hint="default" w:ascii="Times New Roman" w:hAnsi="Times New Roman" w:eastAsia="仿宋" w:cs="Times New Roman"/>
                <w:spacing w:val="-2"/>
                <w:sz w:val="21"/>
                <w:szCs w:val="21"/>
                <w:highlight w:val="none"/>
                <w:lang w:eastAsia="zh-CN"/>
              </w:rPr>
              <w:t>项</w:t>
            </w:r>
            <w:r>
              <w:rPr>
                <w:rFonts w:hint="default" w:ascii="Times New Roman" w:hAnsi="Times New Roman" w:eastAsia="仿宋" w:cs="Times New Roman"/>
                <w:sz w:val="21"/>
                <w:szCs w:val="21"/>
                <w:highlight w:val="none"/>
                <w:lang w:eastAsia="zh-CN"/>
              </w:rPr>
              <w:t>目</w:t>
            </w:r>
            <w:r>
              <w:rPr>
                <w:rFonts w:hint="default" w:ascii="Times New Roman" w:hAnsi="Times New Roman" w:eastAsia="仿宋" w:cs="Times New Roman"/>
                <w:spacing w:val="-3"/>
                <w:sz w:val="21"/>
                <w:szCs w:val="21"/>
                <w:highlight w:val="none"/>
                <w:lang w:eastAsia="zh-CN"/>
              </w:rPr>
              <w:t>部</w:t>
            </w:r>
            <w:r>
              <w:rPr>
                <w:rFonts w:hint="default" w:ascii="Times New Roman" w:hAnsi="Times New Roman" w:eastAsia="仿宋" w:cs="Times New Roman"/>
                <w:sz w:val="21"/>
                <w:szCs w:val="21"/>
                <w:highlight w:val="none"/>
                <w:lang w:eastAsia="zh-CN"/>
              </w:rPr>
              <w:t>组</w:t>
            </w:r>
            <w:r>
              <w:rPr>
                <w:rFonts w:hint="default" w:ascii="Times New Roman" w:hAnsi="Times New Roman" w:eastAsia="仿宋" w:cs="Times New Roman"/>
                <w:spacing w:val="-2"/>
                <w:sz w:val="21"/>
                <w:szCs w:val="21"/>
                <w:highlight w:val="none"/>
                <w:lang w:eastAsia="zh-CN"/>
              </w:rPr>
              <w:t>织</w:t>
            </w:r>
            <w:r>
              <w:rPr>
                <w:rFonts w:hint="default" w:ascii="Times New Roman" w:hAnsi="Times New Roman" w:eastAsia="仿宋" w:cs="Times New Roman"/>
                <w:sz w:val="21"/>
                <w:szCs w:val="21"/>
                <w:highlight w:val="none"/>
                <w:lang w:eastAsia="zh-CN"/>
              </w:rPr>
              <w:t>并</w:t>
            </w:r>
            <w:r>
              <w:rPr>
                <w:rFonts w:hint="default" w:ascii="Times New Roman" w:hAnsi="Times New Roman" w:eastAsia="仿宋" w:cs="Times New Roman"/>
                <w:spacing w:val="-2"/>
                <w:sz w:val="21"/>
                <w:szCs w:val="21"/>
                <w:highlight w:val="none"/>
                <w:lang w:eastAsia="zh-CN"/>
              </w:rPr>
              <w:t>按</w:t>
            </w:r>
            <w:r>
              <w:rPr>
                <w:rFonts w:hint="default" w:ascii="Times New Roman" w:hAnsi="Times New Roman" w:eastAsia="仿宋" w:cs="Times New Roman"/>
                <w:sz w:val="21"/>
                <w:szCs w:val="21"/>
                <w:highlight w:val="none"/>
                <w:lang w:eastAsia="zh-CN"/>
              </w:rPr>
              <w:t>复垦</w:t>
            </w:r>
            <w:r>
              <w:rPr>
                <w:rFonts w:hint="default" w:ascii="Times New Roman" w:hAnsi="Times New Roman" w:eastAsia="仿宋" w:cs="Times New Roman"/>
                <w:spacing w:val="-2"/>
                <w:sz w:val="21"/>
                <w:szCs w:val="21"/>
                <w:highlight w:val="none"/>
                <w:lang w:eastAsia="zh-CN"/>
              </w:rPr>
              <w:t>方</w:t>
            </w:r>
            <w:r>
              <w:rPr>
                <w:rFonts w:hint="default" w:ascii="Times New Roman" w:hAnsi="Times New Roman" w:eastAsia="仿宋" w:cs="Times New Roman"/>
                <w:sz w:val="21"/>
                <w:szCs w:val="21"/>
                <w:highlight w:val="none"/>
                <w:lang w:eastAsia="zh-CN"/>
              </w:rPr>
              <w:t>案</w:t>
            </w:r>
            <w:r>
              <w:rPr>
                <w:rFonts w:hint="default" w:ascii="Times New Roman" w:hAnsi="Times New Roman" w:eastAsia="仿宋" w:cs="Times New Roman"/>
                <w:spacing w:val="-2"/>
                <w:sz w:val="21"/>
                <w:szCs w:val="21"/>
                <w:highlight w:val="none"/>
                <w:lang w:eastAsia="zh-CN"/>
              </w:rPr>
              <w:t>编</w:t>
            </w:r>
            <w:r>
              <w:rPr>
                <w:rFonts w:hint="default" w:ascii="Times New Roman" w:hAnsi="Times New Roman" w:eastAsia="仿宋" w:cs="Times New Roman"/>
                <w:sz w:val="21"/>
                <w:szCs w:val="21"/>
                <w:highlight w:val="none"/>
                <w:lang w:eastAsia="zh-CN"/>
              </w:rPr>
              <w:t>制</w:t>
            </w:r>
            <w:r>
              <w:rPr>
                <w:rFonts w:hint="default" w:ascii="Times New Roman" w:hAnsi="Times New Roman" w:eastAsia="仿宋" w:cs="Times New Roman"/>
                <w:spacing w:val="-2"/>
                <w:sz w:val="21"/>
                <w:szCs w:val="21"/>
                <w:highlight w:val="none"/>
                <w:lang w:eastAsia="zh-CN"/>
              </w:rPr>
              <w:t>内</w:t>
            </w:r>
            <w:r>
              <w:rPr>
                <w:rFonts w:hint="default" w:ascii="Times New Roman" w:hAnsi="Times New Roman" w:eastAsia="仿宋" w:cs="Times New Roman"/>
                <w:sz w:val="21"/>
                <w:szCs w:val="21"/>
                <w:highlight w:val="none"/>
                <w:lang w:eastAsia="zh-CN"/>
              </w:rPr>
              <w:t>容</w:t>
            </w:r>
            <w:r>
              <w:rPr>
                <w:rFonts w:hint="default" w:ascii="Times New Roman" w:hAnsi="Times New Roman" w:eastAsia="仿宋" w:cs="Times New Roman"/>
                <w:spacing w:val="-2"/>
                <w:sz w:val="21"/>
                <w:szCs w:val="21"/>
                <w:highlight w:val="none"/>
                <w:lang w:eastAsia="zh-CN"/>
              </w:rPr>
              <w:t>实</w:t>
            </w:r>
            <w:r>
              <w:rPr>
                <w:rFonts w:hint="default" w:ascii="Times New Roman" w:hAnsi="Times New Roman" w:eastAsia="仿宋" w:cs="Times New Roman"/>
                <w:sz w:val="21"/>
                <w:szCs w:val="21"/>
                <w:highlight w:val="none"/>
                <w:lang w:eastAsia="zh-CN"/>
              </w:rPr>
              <w:t>施。本项</w:t>
            </w:r>
            <w:r>
              <w:rPr>
                <w:rFonts w:hint="default" w:ascii="Times New Roman" w:hAnsi="Times New Roman" w:eastAsia="仿宋" w:cs="Times New Roman"/>
                <w:spacing w:val="-2"/>
                <w:sz w:val="21"/>
                <w:szCs w:val="21"/>
                <w:highlight w:val="none"/>
                <w:lang w:eastAsia="zh-CN"/>
              </w:rPr>
              <w:t>目</w:t>
            </w:r>
            <w:r>
              <w:rPr>
                <w:rFonts w:hint="default" w:ascii="Times New Roman" w:hAnsi="Times New Roman" w:eastAsia="仿宋" w:cs="Times New Roman"/>
                <w:sz w:val="21"/>
                <w:szCs w:val="21"/>
                <w:highlight w:val="none"/>
                <w:lang w:eastAsia="zh-CN"/>
              </w:rPr>
              <w:t>征</w:t>
            </w:r>
            <w:r>
              <w:rPr>
                <w:rFonts w:hint="default" w:ascii="Times New Roman" w:hAnsi="Times New Roman" w:eastAsia="仿宋" w:cs="Times New Roman"/>
                <w:spacing w:val="-2"/>
                <w:sz w:val="21"/>
                <w:szCs w:val="21"/>
                <w:highlight w:val="none"/>
                <w:lang w:eastAsia="zh-CN"/>
              </w:rPr>
              <w:t>求</w:t>
            </w:r>
            <w:r>
              <w:rPr>
                <w:rFonts w:hint="default" w:ascii="Times New Roman" w:hAnsi="Times New Roman" w:eastAsia="仿宋" w:cs="Times New Roman"/>
                <w:sz w:val="21"/>
                <w:szCs w:val="21"/>
                <w:highlight w:val="none"/>
                <w:lang w:eastAsia="zh-CN"/>
              </w:rPr>
              <w:t>意</w:t>
            </w:r>
            <w:r>
              <w:rPr>
                <w:rFonts w:hint="default" w:ascii="Times New Roman" w:hAnsi="Times New Roman" w:eastAsia="仿宋" w:cs="Times New Roman"/>
                <w:spacing w:val="-2"/>
                <w:sz w:val="21"/>
                <w:szCs w:val="21"/>
                <w:highlight w:val="none"/>
                <w:lang w:eastAsia="zh-CN"/>
              </w:rPr>
              <w:t>见</w:t>
            </w:r>
            <w:r>
              <w:rPr>
                <w:rFonts w:hint="default" w:ascii="Times New Roman" w:hAnsi="Times New Roman" w:eastAsia="仿宋" w:cs="Times New Roman"/>
                <w:sz w:val="21"/>
                <w:szCs w:val="21"/>
                <w:highlight w:val="none"/>
                <w:lang w:eastAsia="zh-CN"/>
              </w:rPr>
              <w:t>的</w:t>
            </w:r>
            <w:r>
              <w:rPr>
                <w:rFonts w:hint="default" w:ascii="Times New Roman" w:hAnsi="Times New Roman" w:eastAsia="仿宋" w:cs="Times New Roman"/>
                <w:spacing w:val="-2"/>
                <w:sz w:val="21"/>
                <w:szCs w:val="21"/>
                <w:highlight w:val="none"/>
                <w:lang w:eastAsia="zh-CN"/>
              </w:rPr>
              <w:t>范</w:t>
            </w:r>
            <w:r>
              <w:rPr>
                <w:rFonts w:hint="default" w:ascii="Times New Roman" w:hAnsi="Times New Roman" w:eastAsia="仿宋" w:cs="Times New Roman"/>
                <w:sz w:val="21"/>
                <w:szCs w:val="21"/>
                <w:highlight w:val="none"/>
                <w:lang w:eastAsia="zh-CN"/>
              </w:rPr>
              <w:t>围</w:t>
            </w:r>
            <w:r>
              <w:rPr>
                <w:rFonts w:hint="default" w:ascii="Times New Roman" w:hAnsi="Times New Roman" w:eastAsia="仿宋" w:cs="Times New Roman"/>
                <w:spacing w:val="-2"/>
                <w:sz w:val="21"/>
                <w:szCs w:val="21"/>
                <w:highlight w:val="none"/>
                <w:lang w:eastAsia="zh-CN"/>
              </w:rPr>
              <w:t>主</w:t>
            </w:r>
            <w:r>
              <w:rPr>
                <w:rFonts w:hint="default" w:ascii="Times New Roman" w:hAnsi="Times New Roman" w:eastAsia="仿宋" w:cs="Times New Roman"/>
                <w:sz w:val="21"/>
                <w:szCs w:val="21"/>
                <w:highlight w:val="none"/>
                <w:lang w:eastAsia="zh-CN"/>
              </w:rPr>
              <w:t>要是</w:t>
            </w:r>
            <w:r>
              <w:rPr>
                <w:rFonts w:hint="default" w:ascii="Times New Roman" w:hAnsi="Times New Roman" w:eastAsia="仿宋" w:cs="Times New Roman"/>
                <w:spacing w:val="-2"/>
                <w:sz w:val="21"/>
                <w:szCs w:val="21"/>
                <w:highlight w:val="none"/>
                <w:lang w:eastAsia="zh-CN"/>
              </w:rPr>
              <w:t>项目建</w:t>
            </w:r>
            <w:r>
              <w:rPr>
                <w:rFonts w:hint="default" w:ascii="Times New Roman" w:hAnsi="Times New Roman" w:eastAsia="仿宋" w:cs="Times New Roman"/>
                <w:sz w:val="21"/>
                <w:szCs w:val="21"/>
                <w:highlight w:val="none"/>
                <w:lang w:eastAsia="zh-CN"/>
              </w:rPr>
              <w:t>设</w:t>
            </w:r>
            <w:r>
              <w:rPr>
                <w:rFonts w:hint="default" w:ascii="Times New Roman" w:hAnsi="Times New Roman" w:eastAsia="仿宋" w:cs="Times New Roman"/>
                <w:spacing w:val="-2"/>
                <w:sz w:val="21"/>
                <w:szCs w:val="21"/>
                <w:highlight w:val="none"/>
                <w:lang w:eastAsia="zh-CN"/>
              </w:rPr>
              <w:t>临</w:t>
            </w:r>
            <w:r>
              <w:rPr>
                <w:rFonts w:hint="default" w:ascii="Times New Roman" w:hAnsi="Times New Roman" w:eastAsia="仿宋" w:cs="Times New Roman"/>
                <w:sz w:val="21"/>
                <w:szCs w:val="21"/>
                <w:highlight w:val="none"/>
                <w:lang w:eastAsia="zh-CN"/>
              </w:rPr>
              <w:t>时</w:t>
            </w:r>
            <w:r>
              <w:rPr>
                <w:rFonts w:hint="default" w:ascii="Times New Roman" w:hAnsi="Times New Roman" w:eastAsia="仿宋" w:cs="Times New Roman"/>
                <w:spacing w:val="-2"/>
                <w:sz w:val="21"/>
                <w:szCs w:val="21"/>
                <w:highlight w:val="none"/>
                <w:lang w:eastAsia="zh-CN"/>
              </w:rPr>
              <w:t>用</w:t>
            </w:r>
            <w:r>
              <w:rPr>
                <w:rFonts w:hint="default" w:ascii="Times New Roman" w:hAnsi="Times New Roman" w:eastAsia="仿宋" w:cs="Times New Roman"/>
                <w:sz w:val="21"/>
                <w:szCs w:val="21"/>
                <w:highlight w:val="none"/>
                <w:lang w:eastAsia="zh-CN"/>
              </w:rPr>
              <w:t>地</w:t>
            </w:r>
            <w:r>
              <w:rPr>
                <w:rFonts w:hint="default" w:ascii="Times New Roman" w:hAnsi="Times New Roman" w:eastAsia="仿宋" w:cs="Times New Roman"/>
                <w:spacing w:val="-2"/>
                <w:sz w:val="21"/>
                <w:szCs w:val="21"/>
                <w:highlight w:val="none"/>
                <w:lang w:eastAsia="zh-CN"/>
              </w:rPr>
              <w:t>涉</w:t>
            </w:r>
            <w:r>
              <w:rPr>
                <w:rFonts w:hint="default" w:ascii="Times New Roman" w:hAnsi="Times New Roman" w:eastAsia="仿宋" w:cs="Times New Roman"/>
                <w:sz w:val="21"/>
                <w:szCs w:val="21"/>
                <w:highlight w:val="none"/>
                <w:lang w:eastAsia="zh-CN"/>
              </w:rPr>
              <w:t>及相</w:t>
            </w:r>
            <w:r>
              <w:rPr>
                <w:rFonts w:hint="default" w:ascii="Times New Roman" w:hAnsi="Times New Roman" w:eastAsia="仿宋" w:cs="Times New Roman"/>
                <w:spacing w:val="-2"/>
                <w:sz w:val="21"/>
                <w:szCs w:val="21"/>
                <w:highlight w:val="none"/>
                <w:lang w:eastAsia="zh-CN"/>
              </w:rPr>
              <w:t>关</w:t>
            </w:r>
            <w:r>
              <w:rPr>
                <w:rFonts w:hint="default" w:ascii="Times New Roman" w:hAnsi="Times New Roman" w:eastAsia="仿宋" w:cs="Times New Roman"/>
                <w:sz w:val="21"/>
                <w:szCs w:val="21"/>
                <w:highlight w:val="none"/>
                <w:lang w:eastAsia="zh-CN"/>
              </w:rPr>
              <w:t>的</w:t>
            </w:r>
            <w:r>
              <w:rPr>
                <w:rFonts w:hint="default" w:ascii="Times New Roman" w:hAnsi="Times New Roman" w:eastAsia="仿宋" w:cs="Times New Roman"/>
                <w:spacing w:val="-2"/>
                <w:sz w:val="21"/>
                <w:szCs w:val="21"/>
                <w:highlight w:val="none"/>
                <w:lang w:eastAsia="zh-CN"/>
              </w:rPr>
              <w:t>政</w:t>
            </w:r>
            <w:r>
              <w:rPr>
                <w:rFonts w:hint="default" w:ascii="Times New Roman" w:hAnsi="Times New Roman" w:eastAsia="仿宋" w:cs="Times New Roman"/>
                <w:sz w:val="21"/>
                <w:szCs w:val="21"/>
                <w:highlight w:val="none"/>
                <w:lang w:eastAsia="zh-CN"/>
              </w:rPr>
              <w:t>府</w:t>
            </w:r>
            <w:r>
              <w:rPr>
                <w:rFonts w:hint="default" w:ascii="Times New Roman" w:hAnsi="Times New Roman" w:eastAsia="仿宋" w:cs="Times New Roman"/>
                <w:spacing w:val="-2"/>
                <w:sz w:val="21"/>
                <w:szCs w:val="21"/>
                <w:highlight w:val="none"/>
                <w:lang w:eastAsia="zh-CN"/>
              </w:rPr>
              <w:t>机关</w:t>
            </w:r>
            <w:r>
              <w:rPr>
                <w:rFonts w:hint="default" w:ascii="Times New Roman" w:hAnsi="Times New Roman" w:eastAsia="仿宋" w:cs="Times New Roman"/>
                <w:spacing w:val="-46"/>
                <w:sz w:val="21"/>
                <w:szCs w:val="21"/>
                <w:highlight w:val="none"/>
                <w:lang w:eastAsia="zh-CN"/>
              </w:rPr>
              <w:t>、</w:t>
            </w:r>
            <w:r>
              <w:rPr>
                <w:rFonts w:hint="default" w:ascii="Times New Roman" w:hAnsi="Times New Roman" w:eastAsia="仿宋" w:cs="Times New Roman"/>
                <w:spacing w:val="-2"/>
                <w:sz w:val="21"/>
                <w:szCs w:val="21"/>
                <w:highlight w:val="none"/>
                <w:lang w:eastAsia="zh-CN"/>
              </w:rPr>
              <w:t>企事</w:t>
            </w:r>
            <w:r>
              <w:rPr>
                <w:rFonts w:hint="default" w:ascii="Times New Roman" w:hAnsi="Times New Roman" w:eastAsia="仿宋" w:cs="Times New Roman"/>
                <w:sz w:val="21"/>
                <w:szCs w:val="21"/>
                <w:highlight w:val="none"/>
                <w:lang w:eastAsia="zh-CN"/>
              </w:rPr>
              <w:t>业单位和个人</w:t>
            </w:r>
            <w:r>
              <w:rPr>
                <w:rFonts w:hint="default" w:ascii="Times New Roman" w:hAnsi="Times New Roman" w:eastAsia="仿宋" w:cs="Times New Roman"/>
                <w:spacing w:val="-2"/>
                <w:sz w:val="21"/>
                <w:szCs w:val="21"/>
                <w:highlight w:val="none"/>
                <w:lang w:eastAsia="zh-CN"/>
              </w:rPr>
              <w:t>，</w:t>
            </w:r>
            <w:r>
              <w:rPr>
                <w:rFonts w:hint="default" w:ascii="Times New Roman" w:hAnsi="Times New Roman" w:eastAsia="仿宋" w:cs="Times New Roman"/>
                <w:sz w:val="21"/>
                <w:szCs w:val="21"/>
                <w:highlight w:val="none"/>
                <w:lang w:eastAsia="zh-CN"/>
              </w:rPr>
              <w:t>同时</w:t>
            </w:r>
            <w:r>
              <w:rPr>
                <w:rFonts w:hint="default" w:ascii="Times New Roman" w:hAnsi="Times New Roman" w:eastAsia="仿宋" w:cs="Times New Roman"/>
                <w:spacing w:val="-2"/>
                <w:sz w:val="21"/>
                <w:szCs w:val="21"/>
                <w:highlight w:val="none"/>
                <w:lang w:eastAsia="zh-CN"/>
              </w:rPr>
              <w:t>也</w:t>
            </w:r>
            <w:r>
              <w:rPr>
                <w:rFonts w:hint="default" w:ascii="Times New Roman" w:hAnsi="Times New Roman" w:eastAsia="仿宋" w:cs="Times New Roman"/>
                <w:sz w:val="21"/>
                <w:szCs w:val="21"/>
                <w:highlight w:val="none"/>
                <w:lang w:eastAsia="zh-CN"/>
              </w:rPr>
              <w:t>欢迎</w:t>
            </w:r>
            <w:r>
              <w:rPr>
                <w:rFonts w:hint="default" w:ascii="Times New Roman" w:hAnsi="Times New Roman" w:eastAsia="仿宋" w:cs="Times New Roman"/>
                <w:spacing w:val="-2"/>
                <w:sz w:val="21"/>
                <w:szCs w:val="21"/>
                <w:highlight w:val="none"/>
                <w:lang w:eastAsia="zh-CN"/>
              </w:rPr>
              <w:t>其他</w:t>
            </w:r>
            <w:r>
              <w:rPr>
                <w:rFonts w:hint="default" w:ascii="Times New Roman" w:hAnsi="Times New Roman" w:eastAsia="仿宋" w:cs="Times New Roman"/>
                <w:sz w:val="21"/>
                <w:szCs w:val="21"/>
                <w:highlight w:val="none"/>
                <w:lang w:eastAsia="zh-CN"/>
              </w:rPr>
              <w:t>关心本</w:t>
            </w:r>
            <w:r>
              <w:rPr>
                <w:rFonts w:hint="default" w:ascii="Times New Roman" w:hAnsi="Times New Roman" w:eastAsia="仿宋" w:cs="Times New Roman"/>
                <w:spacing w:val="-2"/>
                <w:sz w:val="21"/>
                <w:szCs w:val="21"/>
                <w:highlight w:val="none"/>
                <w:lang w:eastAsia="zh-CN"/>
              </w:rPr>
              <w:t>项</w:t>
            </w:r>
            <w:r>
              <w:rPr>
                <w:rFonts w:hint="default" w:ascii="Times New Roman" w:hAnsi="Times New Roman" w:eastAsia="仿宋" w:cs="Times New Roman"/>
                <w:sz w:val="21"/>
                <w:szCs w:val="21"/>
                <w:highlight w:val="none"/>
                <w:lang w:eastAsia="zh-CN"/>
              </w:rPr>
              <w:t>目建</w:t>
            </w:r>
            <w:r>
              <w:rPr>
                <w:rFonts w:hint="default" w:ascii="Times New Roman" w:hAnsi="Times New Roman" w:eastAsia="仿宋" w:cs="Times New Roman"/>
                <w:spacing w:val="-2"/>
                <w:sz w:val="21"/>
                <w:szCs w:val="21"/>
                <w:highlight w:val="none"/>
                <w:lang w:eastAsia="zh-CN"/>
              </w:rPr>
              <w:t>设</w:t>
            </w:r>
            <w:r>
              <w:rPr>
                <w:rFonts w:hint="default" w:ascii="Times New Roman" w:hAnsi="Times New Roman" w:eastAsia="仿宋" w:cs="Times New Roman"/>
                <w:sz w:val="21"/>
                <w:szCs w:val="21"/>
                <w:highlight w:val="none"/>
                <w:lang w:eastAsia="zh-CN"/>
              </w:rPr>
              <w:t>的群</w:t>
            </w:r>
            <w:r>
              <w:rPr>
                <w:rFonts w:hint="default" w:ascii="Times New Roman" w:hAnsi="Times New Roman" w:eastAsia="仿宋" w:cs="Times New Roman"/>
                <w:spacing w:val="-2"/>
                <w:sz w:val="21"/>
                <w:szCs w:val="21"/>
                <w:highlight w:val="none"/>
                <w:lang w:eastAsia="zh-CN"/>
              </w:rPr>
              <w:t>众提</w:t>
            </w:r>
            <w:r>
              <w:rPr>
                <w:rFonts w:hint="default" w:ascii="Times New Roman" w:hAnsi="Times New Roman" w:eastAsia="仿宋" w:cs="Times New Roman"/>
                <w:sz w:val="21"/>
                <w:szCs w:val="21"/>
                <w:highlight w:val="none"/>
                <w:lang w:eastAsia="zh-CN"/>
              </w:rPr>
              <w:t>出宝贵</w:t>
            </w:r>
            <w:r>
              <w:rPr>
                <w:rFonts w:hint="default" w:ascii="Times New Roman" w:hAnsi="Times New Roman" w:eastAsia="仿宋" w:cs="Times New Roman"/>
                <w:spacing w:val="-2"/>
                <w:sz w:val="21"/>
                <w:szCs w:val="21"/>
                <w:highlight w:val="none"/>
                <w:lang w:eastAsia="zh-CN"/>
              </w:rPr>
              <w:t>的</w:t>
            </w:r>
            <w:r>
              <w:rPr>
                <w:rFonts w:hint="default" w:ascii="Times New Roman" w:hAnsi="Times New Roman" w:eastAsia="仿宋" w:cs="Times New Roman"/>
                <w:sz w:val="21"/>
                <w:szCs w:val="21"/>
                <w:highlight w:val="none"/>
                <w:lang w:eastAsia="zh-CN"/>
              </w:rPr>
              <w:t>意见</w:t>
            </w:r>
            <w:r>
              <w:rPr>
                <w:rFonts w:hint="default" w:ascii="Times New Roman" w:hAnsi="Times New Roman" w:eastAsia="仿宋" w:cs="Times New Roman"/>
                <w:spacing w:val="-2"/>
                <w:sz w:val="21"/>
                <w:szCs w:val="21"/>
                <w:highlight w:val="none"/>
                <w:lang w:eastAsia="zh-CN"/>
              </w:rPr>
              <w:t>和</w:t>
            </w:r>
            <w:r>
              <w:rPr>
                <w:rFonts w:hint="default" w:ascii="Times New Roman" w:hAnsi="Times New Roman" w:eastAsia="仿宋" w:cs="Times New Roman"/>
                <w:sz w:val="21"/>
                <w:szCs w:val="21"/>
                <w:highlight w:val="none"/>
                <w:lang w:eastAsia="zh-CN"/>
              </w:rPr>
              <w:t>建议</w:t>
            </w:r>
            <w:r>
              <w:rPr>
                <w:rFonts w:hint="default" w:ascii="Times New Roman" w:hAnsi="Times New Roman" w:eastAsia="仿宋" w:cs="Times New Roman"/>
                <w:spacing w:val="-2"/>
                <w:sz w:val="21"/>
                <w:szCs w:val="21"/>
                <w:highlight w:val="none"/>
                <w:lang w:eastAsia="zh-CN"/>
              </w:rPr>
              <w:t>。本</w:t>
            </w:r>
            <w:r>
              <w:rPr>
                <w:rFonts w:hint="default" w:ascii="Times New Roman" w:hAnsi="Times New Roman" w:eastAsia="仿宋" w:cs="Times New Roman"/>
                <w:sz w:val="21"/>
                <w:szCs w:val="21"/>
                <w:highlight w:val="none"/>
                <w:lang w:eastAsia="zh-CN"/>
              </w:rPr>
              <w:t>次征求</w:t>
            </w:r>
            <w:r>
              <w:rPr>
                <w:rFonts w:hint="default" w:ascii="Times New Roman" w:hAnsi="Times New Roman" w:eastAsia="仿宋" w:cs="Times New Roman"/>
                <w:spacing w:val="-2"/>
                <w:sz w:val="21"/>
                <w:szCs w:val="21"/>
                <w:highlight w:val="none"/>
                <w:lang w:eastAsia="zh-CN"/>
              </w:rPr>
              <w:t>群</w:t>
            </w:r>
            <w:r>
              <w:rPr>
                <w:rFonts w:hint="default" w:ascii="Times New Roman" w:hAnsi="Times New Roman" w:eastAsia="仿宋" w:cs="Times New Roman"/>
                <w:sz w:val="21"/>
                <w:szCs w:val="21"/>
                <w:highlight w:val="none"/>
                <w:lang w:eastAsia="zh-CN"/>
              </w:rPr>
              <w:t>众意见的</w:t>
            </w:r>
            <w:r>
              <w:rPr>
                <w:rFonts w:hint="default" w:ascii="Times New Roman" w:hAnsi="Times New Roman" w:eastAsia="仿宋" w:cs="Times New Roman"/>
                <w:spacing w:val="-2"/>
                <w:sz w:val="21"/>
                <w:szCs w:val="21"/>
                <w:highlight w:val="none"/>
                <w:lang w:eastAsia="zh-CN"/>
              </w:rPr>
              <w:t>形</w:t>
            </w:r>
            <w:r>
              <w:rPr>
                <w:rFonts w:hint="default" w:ascii="Times New Roman" w:hAnsi="Times New Roman" w:eastAsia="仿宋" w:cs="Times New Roman"/>
                <w:sz w:val="21"/>
                <w:szCs w:val="21"/>
                <w:highlight w:val="none"/>
                <w:lang w:eastAsia="zh-CN"/>
              </w:rPr>
              <w:t>式可</w:t>
            </w:r>
            <w:r>
              <w:rPr>
                <w:rFonts w:hint="default" w:ascii="Times New Roman" w:hAnsi="Times New Roman" w:eastAsia="仿宋" w:cs="Times New Roman"/>
                <w:spacing w:val="-2"/>
                <w:sz w:val="21"/>
                <w:szCs w:val="21"/>
                <w:highlight w:val="none"/>
                <w:lang w:eastAsia="zh-CN"/>
              </w:rPr>
              <w:t>采</w:t>
            </w:r>
            <w:r>
              <w:rPr>
                <w:rFonts w:hint="default" w:ascii="Times New Roman" w:hAnsi="Times New Roman" w:eastAsia="仿宋" w:cs="Times New Roman"/>
                <w:sz w:val="21"/>
                <w:szCs w:val="21"/>
                <w:highlight w:val="none"/>
                <w:lang w:eastAsia="zh-CN"/>
              </w:rPr>
              <w:t>用电</w:t>
            </w:r>
            <w:r>
              <w:rPr>
                <w:rFonts w:hint="default" w:ascii="Times New Roman" w:hAnsi="Times New Roman" w:eastAsia="仿宋" w:cs="Times New Roman"/>
                <w:spacing w:val="-2"/>
                <w:sz w:val="21"/>
                <w:szCs w:val="21"/>
                <w:highlight w:val="none"/>
                <w:lang w:eastAsia="zh-CN"/>
              </w:rPr>
              <w:t>话、</w:t>
            </w:r>
            <w:r>
              <w:rPr>
                <w:rFonts w:hint="default" w:ascii="Times New Roman" w:hAnsi="Times New Roman" w:eastAsia="仿宋" w:cs="Times New Roman"/>
                <w:sz w:val="21"/>
                <w:szCs w:val="21"/>
                <w:highlight w:val="none"/>
                <w:lang w:eastAsia="zh-CN"/>
              </w:rPr>
              <w:t>信函等</w:t>
            </w:r>
            <w:r>
              <w:rPr>
                <w:rFonts w:hint="default" w:ascii="Times New Roman" w:hAnsi="Times New Roman" w:eastAsia="仿宋" w:cs="Times New Roman"/>
                <w:spacing w:val="-2"/>
                <w:sz w:val="21"/>
                <w:szCs w:val="21"/>
                <w:highlight w:val="none"/>
                <w:lang w:eastAsia="zh-CN"/>
              </w:rPr>
              <w:t>多</w:t>
            </w:r>
            <w:r>
              <w:rPr>
                <w:rFonts w:hint="default" w:ascii="Times New Roman" w:hAnsi="Times New Roman" w:eastAsia="仿宋" w:cs="Times New Roman"/>
                <w:sz w:val="21"/>
                <w:szCs w:val="21"/>
                <w:highlight w:val="none"/>
                <w:lang w:eastAsia="zh-CN"/>
              </w:rPr>
              <w:t>种方</w:t>
            </w:r>
            <w:r>
              <w:rPr>
                <w:rFonts w:hint="default" w:ascii="Times New Roman" w:hAnsi="Times New Roman" w:eastAsia="仿宋" w:cs="Times New Roman"/>
                <w:spacing w:val="-2"/>
                <w:sz w:val="21"/>
                <w:szCs w:val="21"/>
                <w:highlight w:val="none"/>
                <w:lang w:eastAsia="zh-CN"/>
              </w:rPr>
              <w:t>式</w:t>
            </w:r>
            <w:r>
              <w:rPr>
                <w:rFonts w:hint="default" w:ascii="Times New Roman" w:hAnsi="Times New Roman" w:eastAsia="仿宋" w:cs="Times New Roman"/>
                <w:sz w:val="21"/>
                <w:szCs w:val="21"/>
                <w:highlight w:val="none"/>
                <w:lang w:eastAsia="zh-CN"/>
              </w:rPr>
              <w:t>发表</w:t>
            </w:r>
            <w:r>
              <w:rPr>
                <w:rFonts w:hint="default" w:ascii="Times New Roman" w:hAnsi="Times New Roman" w:eastAsia="仿宋" w:cs="Times New Roman"/>
                <w:spacing w:val="-2"/>
                <w:sz w:val="21"/>
                <w:szCs w:val="21"/>
                <w:highlight w:val="none"/>
                <w:lang w:eastAsia="zh-CN"/>
              </w:rPr>
              <w:t>自己</w:t>
            </w:r>
            <w:r>
              <w:rPr>
                <w:rFonts w:hint="default" w:ascii="Times New Roman" w:hAnsi="Times New Roman" w:eastAsia="仿宋" w:cs="Times New Roman"/>
                <w:sz w:val="21"/>
                <w:szCs w:val="21"/>
                <w:highlight w:val="none"/>
                <w:lang w:eastAsia="zh-CN"/>
              </w:rPr>
              <w:t>对项目</w:t>
            </w:r>
            <w:r>
              <w:rPr>
                <w:rFonts w:hint="default" w:ascii="Times New Roman" w:hAnsi="Times New Roman" w:eastAsia="仿宋" w:cs="Times New Roman"/>
                <w:spacing w:val="-2"/>
                <w:sz w:val="21"/>
                <w:szCs w:val="21"/>
                <w:highlight w:val="none"/>
                <w:lang w:eastAsia="zh-CN"/>
              </w:rPr>
              <w:t>的</w:t>
            </w:r>
            <w:r>
              <w:rPr>
                <w:rFonts w:hint="default" w:ascii="Times New Roman" w:hAnsi="Times New Roman" w:eastAsia="仿宋" w:cs="Times New Roman"/>
                <w:sz w:val="21"/>
                <w:szCs w:val="21"/>
                <w:highlight w:val="none"/>
                <w:lang w:eastAsia="zh-CN"/>
              </w:rPr>
              <w:t>看法</w:t>
            </w:r>
            <w:r>
              <w:rPr>
                <w:rFonts w:hint="default" w:ascii="Times New Roman" w:hAnsi="Times New Roman" w:eastAsia="仿宋" w:cs="Times New Roman"/>
                <w:spacing w:val="-2"/>
                <w:sz w:val="21"/>
                <w:szCs w:val="21"/>
                <w:highlight w:val="none"/>
                <w:lang w:eastAsia="zh-CN"/>
              </w:rPr>
              <w:t>。</w:t>
            </w:r>
            <w:r>
              <w:rPr>
                <w:rFonts w:hint="default" w:ascii="Times New Roman" w:hAnsi="Times New Roman" w:eastAsia="仿宋" w:cs="Times New Roman"/>
                <w:sz w:val="21"/>
                <w:szCs w:val="21"/>
                <w:highlight w:val="none"/>
                <w:lang w:eastAsia="zh-CN"/>
              </w:rPr>
              <w:t>我们</w:t>
            </w:r>
            <w:r>
              <w:rPr>
                <w:rFonts w:hint="default" w:ascii="Times New Roman" w:hAnsi="Times New Roman" w:eastAsia="仿宋" w:cs="Times New Roman"/>
                <w:spacing w:val="-2"/>
                <w:sz w:val="21"/>
                <w:szCs w:val="21"/>
                <w:highlight w:val="none"/>
                <w:lang w:eastAsia="zh-CN"/>
              </w:rPr>
              <w:t>建议</w:t>
            </w:r>
            <w:r>
              <w:rPr>
                <w:rFonts w:hint="default" w:ascii="Times New Roman" w:hAnsi="Times New Roman" w:eastAsia="仿宋" w:cs="Times New Roman"/>
                <w:sz w:val="21"/>
                <w:szCs w:val="21"/>
                <w:highlight w:val="none"/>
                <w:lang w:eastAsia="zh-CN"/>
              </w:rPr>
              <w:t>大家发</w:t>
            </w:r>
            <w:r>
              <w:rPr>
                <w:rFonts w:hint="default" w:ascii="Times New Roman" w:hAnsi="Times New Roman" w:eastAsia="仿宋" w:cs="Times New Roman"/>
                <w:spacing w:val="-2"/>
                <w:sz w:val="21"/>
                <w:szCs w:val="21"/>
                <w:highlight w:val="none"/>
                <w:lang w:eastAsia="zh-CN"/>
              </w:rPr>
              <w:t>表</w:t>
            </w:r>
            <w:r>
              <w:rPr>
                <w:rFonts w:hint="default" w:ascii="Times New Roman" w:hAnsi="Times New Roman" w:eastAsia="仿宋" w:cs="Times New Roman"/>
                <w:sz w:val="21"/>
                <w:szCs w:val="21"/>
                <w:highlight w:val="none"/>
                <w:lang w:eastAsia="zh-CN"/>
              </w:rPr>
              <w:t>自己的</w:t>
            </w:r>
            <w:r>
              <w:rPr>
                <w:rFonts w:hint="default" w:ascii="Times New Roman" w:hAnsi="Times New Roman" w:eastAsia="仿宋" w:cs="Times New Roman"/>
                <w:spacing w:val="-2"/>
                <w:sz w:val="21"/>
                <w:szCs w:val="21"/>
                <w:highlight w:val="none"/>
                <w:lang w:eastAsia="zh-CN"/>
              </w:rPr>
              <w:t>意</w:t>
            </w:r>
            <w:r>
              <w:rPr>
                <w:rFonts w:hint="default" w:ascii="Times New Roman" w:hAnsi="Times New Roman" w:eastAsia="仿宋" w:cs="Times New Roman"/>
                <w:sz w:val="21"/>
                <w:szCs w:val="21"/>
                <w:highlight w:val="none"/>
                <w:lang w:eastAsia="zh-CN"/>
              </w:rPr>
              <w:t>见</w:t>
            </w:r>
            <w:r>
              <w:rPr>
                <w:rFonts w:hint="default" w:ascii="Times New Roman" w:hAnsi="Times New Roman" w:eastAsia="仿宋" w:cs="Times New Roman"/>
                <w:spacing w:val="-2"/>
                <w:sz w:val="21"/>
                <w:szCs w:val="21"/>
                <w:highlight w:val="none"/>
                <w:lang w:eastAsia="zh-CN"/>
              </w:rPr>
              <w:t>时</w:t>
            </w:r>
            <w:r>
              <w:rPr>
                <w:rFonts w:hint="default" w:ascii="Times New Roman" w:hAnsi="Times New Roman" w:eastAsia="仿宋" w:cs="Times New Roman"/>
                <w:sz w:val="21"/>
                <w:szCs w:val="21"/>
                <w:highlight w:val="none"/>
                <w:lang w:eastAsia="zh-CN"/>
              </w:rPr>
              <w:t>最</w:t>
            </w:r>
            <w:r>
              <w:rPr>
                <w:rFonts w:hint="default" w:ascii="Times New Roman" w:hAnsi="Times New Roman" w:eastAsia="仿宋" w:cs="Times New Roman"/>
                <w:spacing w:val="-2"/>
                <w:sz w:val="21"/>
                <w:szCs w:val="21"/>
                <w:highlight w:val="none"/>
                <w:lang w:eastAsia="zh-CN"/>
              </w:rPr>
              <w:t>好</w:t>
            </w:r>
            <w:r>
              <w:rPr>
                <w:rFonts w:hint="default" w:ascii="Times New Roman" w:hAnsi="Times New Roman" w:eastAsia="仿宋" w:cs="Times New Roman"/>
                <w:sz w:val="21"/>
                <w:szCs w:val="21"/>
                <w:highlight w:val="none"/>
                <w:lang w:eastAsia="zh-CN"/>
              </w:rPr>
              <w:t>提</w:t>
            </w:r>
            <w:r>
              <w:rPr>
                <w:rFonts w:hint="default" w:ascii="Times New Roman" w:hAnsi="Times New Roman" w:eastAsia="仿宋" w:cs="Times New Roman"/>
                <w:spacing w:val="-2"/>
                <w:sz w:val="21"/>
                <w:szCs w:val="21"/>
                <w:highlight w:val="none"/>
                <w:lang w:eastAsia="zh-CN"/>
              </w:rPr>
              <w:t>供</w:t>
            </w:r>
            <w:r>
              <w:rPr>
                <w:rFonts w:hint="default" w:ascii="Times New Roman" w:hAnsi="Times New Roman" w:eastAsia="仿宋" w:cs="Times New Roman"/>
                <w:sz w:val="21"/>
                <w:szCs w:val="21"/>
                <w:highlight w:val="none"/>
                <w:lang w:eastAsia="zh-CN"/>
              </w:rPr>
              <w:t>自</w:t>
            </w:r>
            <w:r>
              <w:rPr>
                <w:rFonts w:hint="default" w:ascii="Times New Roman" w:hAnsi="Times New Roman" w:eastAsia="仿宋" w:cs="Times New Roman"/>
                <w:spacing w:val="-2"/>
                <w:sz w:val="21"/>
                <w:szCs w:val="21"/>
                <w:highlight w:val="none"/>
                <w:lang w:eastAsia="zh-CN"/>
              </w:rPr>
              <w:t>己</w:t>
            </w:r>
            <w:r>
              <w:rPr>
                <w:rFonts w:hint="default" w:ascii="Times New Roman" w:hAnsi="Times New Roman" w:eastAsia="仿宋" w:cs="Times New Roman"/>
                <w:sz w:val="21"/>
                <w:szCs w:val="21"/>
                <w:highlight w:val="none"/>
                <w:lang w:eastAsia="zh-CN"/>
              </w:rPr>
              <w:t>的真</w:t>
            </w:r>
            <w:r>
              <w:rPr>
                <w:rFonts w:hint="default" w:ascii="Times New Roman" w:hAnsi="Times New Roman" w:eastAsia="仿宋" w:cs="Times New Roman"/>
                <w:spacing w:val="-2"/>
                <w:sz w:val="21"/>
                <w:szCs w:val="21"/>
                <w:highlight w:val="none"/>
                <w:lang w:eastAsia="zh-CN"/>
              </w:rPr>
              <w:t>实</w:t>
            </w:r>
            <w:r>
              <w:rPr>
                <w:rFonts w:hint="default" w:ascii="Times New Roman" w:hAnsi="Times New Roman" w:eastAsia="仿宋" w:cs="Times New Roman"/>
                <w:sz w:val="21"/>
                <w:szCs w:val="21"/>
                <w:highlight w:val="none"/>
                <w:lang w:eastAsia="zh-CN"/>
              </w:rPr>
              <w:t>姓</w:t>
            </w:r>
            <w:r>
              <w:rPr>
                <w:rFonts w:hint="default" w:ascii="Times New Roman" w:hAnsi="Times New Roman" w:eastAsia="仿宋" w:cs="Times New Roman"/>
                <w:spacing w:val="-2"/>
                <w:sz w:val="21"/>
                <w:szCs w:val="21"/>
                <w:highlight w:val="none"/>
                <w:lang w:eastAsia="zh-CN"/>
              </w:rPr>
              <w:t>名</w:t>
            </w:r>
            <w:r>
              <w:rPr>
                <w:rFonts w:hint="default" w:ascii="Times New Roman" w:hAnsi="Times New Roman" w:eastAsia="仿宋" w:cs="Times New Roman"/>
                <w:sz w:val="21"/>
                <w:szCs w:val="21"/>
                <w:highlight w:val="none"/>
                <w:lang w:eastAsia="zh-CN"/>
              </w:rPr>
              <w:t>和</w:t>
            </w:r>
            <w:r>
              <w:rPr>
                <w:rFonts w:hint="default" w:ascii="Times New Roman" w:hAnsi="Times New Roman" w:eastAsia="仿宋" w:cs="Times New Roman"/>
                <w:spacing w:val="-2"/>
                <w:sz w:val="21"/>
                <w:szCs w:val="21"/>
                <w:highlight w:val="none"/>
                <w:lang w:eastAsia="zh-CN"/>
              </w:rPr>
              <w:t>联</w:t>
            </w:r>
            <w:r>
              <w:rPr>
                <w:rFonts w:hint="default" w:ascii="Times New Roman" w:hAnsi="Times New Roman" w:eastAsia="仿宋" w:cs="Times New Roman"/>
                <w:sz w:val="21"/>
                <w:szCs w:val="21"/>
                <w:highlight w:val="none"/>
                <w:lang w:eastAsia="zh-CN"/>
              </w:rPr>
              <w:t>系</w:t>
            </w:r>
            <w:r>
              <w:rPr>
                <w:rFonts w:hint="default" w:ascii="Times New Roman" w:hAnsi="Times New Roman" w:eastAsia="仿宋" w:cs="Times New Roman"/>
                <w:spacing w:val="-2"/>
                <w:sz w:val="21"/>
                <w:szCs w:val="21"/>
                <w:highlight w:val="none"/>
                <w:lang w:eastAsia="zh-CN"/>
              </w:rPr>
              <w:t>方</w:t>
            </w:r>
            <w:r>
              <w:rPr>
                <w:rFonts w:hint="default" w:ascii="Times New Roman" w:hAnsi="Times New Roman" w:eastAsia="仿宋" w:cs="Times New Roman"/>
                <w:sz w:val="21"/>
                <w:szCs w:val="21"/>
                <w:highlight w:val="none"/>
                <w:lang w:eastAsia="zh-CN"/>
              </w:rPr>
              <w:t>式</w:t>
            </w:r>
            <w:r>
              <w:rPr>
                <w:rFonts w:hint="default" w:ascii="Times New Roman" w:hAnsi="Times New Roman" w:eastAsia="仿宋" w:cs="Times New Roman"/>
                <w:spacing w:val="-2"/>
                <w:sz w:val="21"/>
                <w:szCs w:val="21"/>
                <w:highlight w:val="none"/>
                <w:lang w:eastAsia="zh-CN"/>
              </w:rPr>
              <w:t>，</w:t>
            </w:r>
            <w:r>
              <w:rPr>
                <w:rFonts w:hint="default" w:ascii="Times New Roman" w:hAnsi="Times New Roman" w:eastAsia="仿宋" w:cs="Times New Roman"/>
                <w:sz w:val="21"/>
                <w:szCs w:val="21"/>
                <w:highlight w:val="none"/>
                <w:lang w:eastAsia="zh-CN"/>
              </w:rPr>
              <w:t>以便</w:t>
            </w:r>
            <w:r>
              <w:rPr>
                <w:rFonts w:hint="default" w:ascii="Times New Roman" w:hAnsi="Times New Roman" w:eastAsia="仿宋" w:cs="Times New Roman"/>
                <w:spacing w:val="-2"/>
                <w:sz w:val="21"/>
                <w:szCs w:val="21"/>
                <w:highlight w:val="none"/>
                <w:lang w:eastAsia="zh-CN"/>
              </w:rPr>
              <w:t>我</w:t>
            </w:r>
            <w:r>
              <w:rPr>
                <w:rFonts w:hint="default" w:ascii="Times New Roman" w:hAnsi="Times New Roman" w:eastAsia="仿宋" w:cs="Times New Roman"/>
                <w:sz w:val="21"/>
                <w:szCs w:val="21"/>
                <w:highlight w:val="none"/>
                <w:lang w:eastAsia="zh-CN"/>
              </w:rPr>
              <w:t>们</w:t>
            </w:r>
            <w:r>
              <w:rPr>
                <w:rFonts w:hint="default" w:ascii="Times New Roman" w:hAnsi="Times New Roman" w:eastAsia="仿宋" w:cs="Times New Roman"/>
                <w:spacing w:val="-2"/>
                <w:sz w:val="21"/>
                <w:szCs w:val="21"/>
                <w:highlight w:val="none"/>
                <w:lang w:eastAsia="zh-CN"/>
              </w:rPr>
              <w:t>进</w:t>
            </w:r>
            <w:r>
              <w:rPr>
                <w:rFonts w:hint="default" w:ascii="Times New Roman" w:hAnsi="Times New Roman" w:eastAsia="仿宋" w:cs="Times New Roman"/>
                <w:sz w:val="21"/>
                <w:szCs w:val="21"/>
                <w:highlight w:val="none"/>
                <w:lang w:eastAsia="zh-CN"/>
              </w:rPr>
              <w:t>行</w:t>
            </w:r>
            <w:r>
              <w:rPr>
                <w:rFonts w:hint="default" w:ascii="Times New Roman" w:hAnsi="Times New Roman" w:eastAsia="仿宋" w:cs="Times New Roman"/>
                <w:spacing w:val="-2"/>
                <w:sz w:val="21"/>
                <w:szCs w:val="21"/>
                <w:highlight w:val="none"/>
                <w:lang w:eastAsia="zh-CN"/>
              </w:rPr>
              <w:t>意</w:t>
            </w:r>
            <w:r>
              <w:rPr>
                <w:rFonts w:hint="default" w:ascii="Times New Roman" w:hAnsi="Times New Roman" w:eastAsia="仿宋" w:cs="Times New Roman"/>
                <w:sz w:val="21"/>
                <w:szCs w:val="21"/>
                <w:highlight w:val="none"/>
                <w:lang w:eastAsia="zh-CN"/>
              </w:rPr>
              <w:t>见</w:t>
            </w:r>
            <w:r>
              <w:rPr>
                <w:rFonts w:hint="default" w:ascii="Times New Roman" w:hAnsi="Times New Roman" w:eastAsia="仿宋" w:cs="Times New Roman"/>
                <w:spacing w:val="-2"/>
                <w:sz w:val="21"/>
                <w:szCs w:val="21"/>
                <w:highlight w:val="none"/>
                <w:lang w:eastAsia="zh-CN"/>
              </w:rPr>
              <w:t>反</w:t>
            </w:r>
            <w:r>
              <w:rPr>
                <w:rFonts w:hint="default" w:ascii="Times New Roman" w:hAnsi="Times New Roman" w:eastAsia="仿宋" w:cs="Times New Roman"/>
                <w:sz w:val="21"/>
                <w:szCs w:val="21"/>
                <w:highlight w:val="none"/>
                <w:lang w:eastAsia="zh-CN"/>
              </w:rPr>
              <w:t>馈。</w:t>
            </w:r>
          </w:p>
          <w:p>
            <w:pPr>
              <w:spacing w:line="340" w:lineRule="exact"/>
              <w:ind w:firstLine="422"/>
              <w:rPr>
                <w:rFonts w:hint="default" w:ascii="Times New Roman" w:hAnsi="Times New Roman" w:eastAsia="仿宋" w:cs="Times New Roman"/>
                <w:b/>
                <w:sz w:val="21"/>
                <w:szCs w:val="21"/>
                <w:highlight w:val="none"/>
                <w:lang w:eastAsia="zh-CN"/>
              </w:rPr>
            </w:pPr>
            <w:r>
              <w:rPr>
                <w:rFonts w:hint="default" w:ascii="Times New Roman" w:hAnsi="Times New Roman" w:eastAsia="仿宋" w:cs="Times New Roman"/>
                <w:b/>
                <w:sz w:val="21"/>
                <w:szCs w:val="21"/>
                <w:highlight w:val="none"/>
                <w:lang w:eastAsia="zh-CN"/>
              </w:rPr>
              <w:t>六、联系方式</w:t>
            </w:r>
          </w:p>
          <w:p>
            <w:pPr>
              <w:tabs>
                <w:tab w:val="left" w:pos="2600"/>
              </w:tabs>
              <w:spacing w:line="340" w:lineRule="exact"/>
              <w:ind w:firstLine="420"/>
              <w:rPr>
                <w:rFonts w:hint="default" w:ascii="Times New Roman" w:hAnsi="Times New Roman" w:eastAsia="仿宋" w:cs="Times New Roman"/>
                <w:sz w:val="21"/>
                <w:szCs w:val="21"/>
                <w:highlight w:val="none"/>
                <w:lang w:eastAsia="zh-CN"/>
              </w:rPr>
            </w:pPr>
            <w:r>
              <w:rPr>
                <w:rFonts w:hint="default" w:ascii="Times New Roman" w:hAnsi="Times New Roman" w:eastAsia="仿宋" w:cs="Times New Roman"/>
                <w:sz w:val="21"/>
                <w:szCs w:val="21"/>
                <w:highlight w:val="none"/>
                <w:lang w:eastAsia="zh-CN"/>
              </w:rPr>
              <w:t>项目单位：</w:t>
            </w:r>
            <w:r>
              <w:rPr>
                <w:rFonts w:hint="eastAsia" w:ascii="Times New Roman" w:hAnsi="Times New Roman" w:eastAsia="仿宋" w:cs="Times New Roman"/>
                <w:color w:val="auto"/>
                <w:sz w:val="21"/>
                <w:szCs w:val="21"/>
                <w:highlight w:val="none"/>
                <w:lang w:val="en-US" w:eastAsia="zh-CN"/>
              </w:rPr>
              <w:t>新疆路桥南疆工程建设有限公司</w:t>
            </w:r>
          </w:p>
          <w:p>
            <w:pPr>
              <w:tabs>
                <w:tab w:val="left" w:pos="2600"/>
              </w:tabs>
              <w:spacing w:line="340" w:lineRule="exact"/>
              <w:ind w:firstLine="420"/>
              <w:rPr>
                <w:rFonts w:hint="default" w:ascii="Times New Roman" w:hAnsi="Times New Roman" w:eastAsia="仿宋" w:cs="Times New Roman"/>
                <w:sz w:val="21"/>
                <w:szCs w:val="21"/>
                <w:highlight w:val="none"/>
                <w:lang w:eastAsia="zh-CN"/>
              </w:rPr>
            </w:pPr>
            <w:r>
              <w:rPr>
                <w:rFonts w:hint="default" w:ascii="Times New Roman" w:hAnsi="Times New Roman" w:eastAsia="仿宋" w:cs="Times New Roman"/>
                <w:sz w:val="21"/>
                <w:szCs w:val="21"/>
                <w:highlight w:val="none"/>
                <w:lang w:eastAsia="zh-CN"/>
              </w:rPr>
              <w:t>单位地址：</w:t>
            </w:r>
            <w:r>
              <w:rPr>
                <w:rFonts w:hint="eastAsia" w:ascii="Times New Roman" w:hAnsi="Times New Roman" w:eastAsia="仿宋" w:cs="Times New Roman"/>
                <w:color w:val="auto"/>
                <w:sz w:val="21"/>
                <w:szCs w:val="21"/>
                <w:highlight w:val="none"/>
                <w:lang w:val="en-US" w:eastAsia="zh-CN"/>
              </w:rPr>
              <w:t>新疆喀什地区喀什市文化路74号2幢</w:t>
            </w:r>
          </w:p>
          <w:p>
            <w:pPr>
              <w:tabs>
                <w:tab w:val="left" w:pos="2600"/>
              </w:tabs>
              <w:spacing w:line="340" w:lineRule="exact"/>
              <w:ind w:firstLine="420"/>
              <w:rPr>
                <w:rFonts w:hint="default" w:ascii="Times New Roman" w:hAnsi="Times New Roman" w:eastAsia="仿宋" w:cs="Times New Roman"/>
                <w:sz w:val="21"/>
                <w:szCs w:val="21"/>
                <w:highlight w:val="none"/>
                <w:lang w:eastAsia="zh-CN"/>
              </w:rPr>
            </w:pPr>
            <w:r>
              <w:rPr>
                <w:rFonts w:hint="default" w:ascii="Times New Roman" w:hAnsi="Times New Roman" w:eastAsia="仿宋" w:cs="Times New Roman"/>
                <w:sz w:val="21"/>
                <w:szCs w:val="21"/>
                <w:highlight w:val="none"/>
                <w:lang w:eastAsia="zh-CN"/>
              </w:rPr>
              <w:t>联系人：</w:t>
            </w:r>
            <w:r>
              <w:rPr>
                <w:rFonts w:hint="eastAsia" w:ascii="Times New Roman" w:hAnsi="Times New Roman" w:eastAsia="仿宋" w:cs="Times New Roman"/>
                <w:color w:val="auto"/>
                <w:sz w:val="21"/>
                <w:szCs w:val="21"/>
                <w:highlight w:val="none"/>
                <w:lang w:val="en-US" w:eastAsia="zh-CN"/>
              </w:rPr>
              <w:t>王正伟</w:t>
            </w:r>
          </w:p>
          <w:p>
            <w:pPr>
              <w:tabs>
                <w:tab w:val="left" w:pos="2600"/>
              </w:tabs>
              <w:spacing w:line="340" w:lineRule="exact"/>
              <w:ind w:firstLine="420"/>
              <w:rPr>
                <w:rFonts w:hint="default" w:ascii="Times New Roman" w:hAnsi="Times New Roman" w:eastAsia="仿宋" w:cs="Times New Roman"/>
                <w:sz w:val="21"/>
                <w:szCs w:val="21"/>
                <w:highlight w:val="none"/>
                <w:lang w:eastAsia="zh-CN"/>
              </w:rPr>
            </w:pPr>
            <w:r>
              <w:rPr>
                <w:rFonts w:hint="default" w:ascii="Times New Roman" w:hAnsi="Times New Roman" w:eastAsia="仿宋" w:cs="Times New Roman"/>
                <w:sz w:val="21"/>
                <w:szCs w:val="21"/>
                <w:highlight w:val="none"/>
                <w:lang w:eastAsia="zh-CN"/>
              </w:rPr>
              <w:t>联系电话：</w:t>
            </w:r>
            <w:r>
              <w:rPr>
                <w:rFonts w:hint="eastAsia" w:ascii="Times New Roman" w:hAnsi="Times New Roman" w:eastAsia="仿宋" w:cs="Times New Roman"/>
                <w:color w:val="auto"/>
                <w:sz w:val="21"/>
                <w:szCs w:val="21"/>
                <w:highlight w:val="none"/>
                <w:lang w:val="en-US" w:eastAsia="zh-CN"/>
              </w:rPr>
              <w:t>18199083319</w:t>
            </w:r>
          </w:p>
          <w:p>
            <w:pPr>
              <w:tabs>
                <w:tab w:val="left" w:pos="2600"/>
              </w:tabs>
              <w:spacing w:line="340" w:lineRule="exact"/>
              <w:ind w:firstLine="420"/>
              <w:rPr>
                <w:rFonts w:hint="default" w:ascii="Times New Roman" w:hAnsi="Times New Roman" w:eastAsia="仿宋" w:cs="Times New Roman"/>
                <w:sz w:val="21"/>
                <w:szCs w:val="21"/>
                <w:highlight w:val="none"/>
                <w:lang w:eastAsia="zh-CN"/>
              </w:rPr>
            </w:pPr>
            <w:r>
              <w:rPr>
                <w:rFonts w:hint="default" w:ascii="Times New Roman" w:hAnsi="Times New Roman" w:eastAsia="仿宋" w:cs="Times New Roman"/>
                <w:sz w:val="21"/>
                <w:szCs w:val="21"/>
                <w:highlight w:val="none"/>
                <w:lang w:eastAsia="zh-CN"/>
              </w:rPr>
              <w:t>编制单位：</w:t>
            </w:r>
            <w:r>
              <w:rPr>
                <w:rFonts w:hint="eastAsia" w:ascii="Times New Roman" w:hAnsi="Times New Roman" w:eastAsia="仿宋" w:cs="Times New Roman"/>
                <w:color w:val="auto"/>
                <w:sz w:val="21"/>
                <w:szCs w:val="21"/>
                <w:highlight w:val="none"/>
                <w:lang w:eastAsia="zh-CN"/>
              </w:rPr>
              <w:t>新疆智恒技术咨询有限公司</w:t>
            </w:r>
          </w:p>
          <w:p>
            <w:pPr>
              <w:tabs>
                <w:tab w:val="left" w:pos="2600"/>
              </w:tabs>
              <w:spacing w:line="340" w:lineRule="exact"/>
              <w:ind w:firstLine="420"/>
              <w:rPr>
                <w:rFonts w:hint="default" w:ascii="Times New Roman" w:hAnsi="Times New Roman" w:eastAsia="仿宋" w:cs="Times New Roman"/>
                <w:sz w:val="21"/>
                <w:szCs w:val="21"/>
                <w:highlight w:val="none"/>
                <w:lang w:eastAsia="zh-CN"/>
              </w:rPr>
            </w:pPr>
            <w:r>
              <w:rPr>
                <w:rFonts w:hint="default" w:ascii="Times New Roman" w:hAnsi="Times New Roman" w:eastAsia="仿宋" w:cs="Times New Roman"/>
                <w:sz w:val="21"/>
                <w:szCs w:val="21"/>
                <w:highlight w:val="none"/>
                <w:lang w:eastAsia="zh-CN"/>
              </w:rPr>
              <w:t>单位地址：</w:t>
            </w:r>
            <w:r>
              <w:rPr>
                <w:rFonts w:hint="default" w:ascii="Times New Roman" w:hAnsi="Times New Roman" w:eastAsia="仿宋" w:cs="Times New Roman"/>
                <w:color w:val="auto"/>
                <w:sz w:val="21"/>
                <w:szCs w:val="21"/>
                <w:highlight w:val="none"/>
                <w:lang w:eastAsia="zh-CN"/>
              </w:rPr>
              <w:t>新疆喀什地区喀什经济开发区兵团分区总部大厦A座5层503室53号</w:t>
            </w:r>
          </w:p>
          <w:p>
            <w:pPr>
              <w:tabs>
                <w:tab w:val="left" w:pos="2600"/>
              </w:tabs>
              <w:spacing w:line="340" w:lineRule="exact"/>
              <w:ind w:firstLine="420"/>
              <w:rPr>
                <w:rFonts w:hint="default" w:ascii="Times New Roman" w:hAnsi="Times New Roman" w:eastAsia="仿宋" w:cs="Times New Roman"/>
                <w:sz w:val="21"/>
                <w:szCs w:val="21"/>
                <w:highlight w:val="none"/>
                <w:lang w:eastAsia="zh-CN"/>
              </w:rPr>
            </w:pPr>
            <w:r>
              <w:rPr>
                <w:rFonts w:hint="default" w:ascii="Times New Roman" w:hAnsi="Times New Roman" w:eastAsia="仿宋" w:cs="Times New Roman"/>
                <w:sz w:val="21"/>
                <w:szCs w:val="21"/>
                <w:highlight w:val="none"/>
                <w:lang w:eastAsia="zh-CN"/>
              </w:rPr>
              <w:t>联系人：凌金金</w:t>
            </w:r>
          </w:p>
          <w:p>
            <w:pPr>
              <w:tabs>
                <w:tab w:val="left" w:pos="2600"/>
              </w:tabs>
              <w:spacing w:line="340" w:lineRule="exact"/>
              <w:ind w:firstLine="420"/>
              <w:rPr>
                <w:rFonts w:eastAsia="仿宋"/>
                <w:highlight w:val="yellow"/>
                <w:lang w:eastAsia="zh-CN"/>
              </w:rPr>
            </w:pPr>
            <w:r>
              <w:rPr>
                <w:rFonts w:hint="default" w:ascii="Times New Roman" w:hAnsi="Times New Roman" w:eastAsia="仿宋" w:cs="Times New Roman"/>
                <w:sz w:val="21"/>
                <w:szCs w:val="21"/>
                <w:highlight w:val="none"/>
                <w:lang w:eastAsia="zh-CN"/>
              </w:rPr>
              <w:t>联系电话：17783656777</w:t>
            </w:r>
          </w:p>
        </w:tc>
      </w:tr>
    </w:tbl>
    <w:p>
      <w:pPr>
        <w:pStyle w:val="43"/>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highlight w:val="none"/>
          <w:lang w:val="en-US" w:eastAsia="zh-CN"/>
        </w:rPr>
      </w:pPr>
    </w:p>
    <w:p>
      <w:pPr>
        <w:pStyle w:val="43"/>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color w:val="auto"/>
          <w:highlight w:val="none"/>
          <w:lang w:val="en-US" w:eastAsia="zh-CN"/>
        </w:rPr>
      </w:pPr>
    </w:p>
    <w:p>
      <w:pPr>
        <w:rPr>
          <w:rFonts w:hint="eastAsia" w:ascii="Times New Roman" w:hAnsi="Times New Roman" w:eastAsia="黑体" w:cs="Times New Roman"/>
          <w:position w:val="-2"/>
          <w:sz w:val="30"/>
          <w:szCs w:val="30"/>
          <w:highlight w:val="none"/>
          <w:lang w:val="en-US" w:eastAsia="zh-CN"/>
        </w:rPr>
      </w:pPr>
      <w:bookmarkStart w:id="287" w:name="_Toc32087"/>
      <w:bookmarkStart w:id="288" w:name="_Toc23827"/>
      <w:bookmarkStart w:id="289" w:name="_Toc7625"/>
      <w:bookmarkStart w:id="290" w:name="_Toc30207"/>
      <w:bookmarkStart w:id="291" w:name="_Toc5142"/>
      <w:r>
        <w:rPr>
          <w:rFonts w:hint="eastAsia" w:ascii="Times New Roman" w:hAnsi="Times New Roman" w:eastAsia="黑体" w:cs="Times New Roman"/>
          <w:position w:val="-2"/>
          <w:sz w:val="30"/>
          <w:szCs w:val="30"/>
          <w:highlight w:val="none"/>
          <w:lang w:val="en-US" w:eastAsia="zh-CN"/>
        </w:rPr>
        <w:br w:type="page"/>
      </w:r>
    </w:p>
    <w:p>
      <w:pPr>
        <w:keepNext w:val="0"/>
        <w:keepLines w:val="0"/>
        <w:pageBreakBefore w:val="0"/>
        <w:widowControl w:val="0"/>
        <w:shd w:val="clear"/>
        <w:kinsoku/>
        <w:wordWrap/>
        <w:overflowPunct/>
        <w:topLinePunct w:val="0"/>
        <w:autoSpaceDE/>
        <w:autoSpaceDN/>
        <w:bidi w:val="0"/>
        <w:adjustRightInd/>
        <w:snapToGrid/>
        <w:spacing w:line="500" w:lineRule="exact"/>
        <w:ind w:firstLine="0" w:firstLineChars="0"/>
        <w:jc w:val="center"/>
        <w:textAlignment w:val="auto"/>
        <w:outlineLvl w:val="0"/>
        <w:rPr>
          <w:rFonts w:hint="default" w:ascii="Times New Roman" w:hAnsi="Times New Roman" w:eastAsia="黑体" w:cs="Times New Roman"/>
          <w:position w:val="-2"/>
          <w:sz w:val="30"/>
          <w:szCs w:val="30"/>
          <w:highlight w:val="none"/>
          <w:lang w:eastAsia="zh-CN"/>
        </w:rPr>
      </w:pPr>
      <w:bookmarkStart w:id="292" w:name="_Toc18733"/>
      <w:r>
        <w:rPr>
          <w:rFonts w:hint="eastAsia" w:ascii="Times New Roman" w:hAnsi="Times New Roman" w:eastAsia="黑体" w:cs="Times New Roman"/>
          <w:position w:val="-2"/>
          <w:sz w:val="30"/>
          <w:szCs w:val="30"/>
          <w:highlight w:val="none"/>
          <w:lang w:val="en-US" w:eastAsia="zh-CN"/>
        </w:rPr>
        <w:t>G219线岳普湖-英吉沙公路建设项目疏勒段施工便道</w:t>
      </w:r>
      <w:r>
        <w:rPr>
          <w:rFonts w:hint="eastAsia" w:ascii="Times New Roman" w:hAnsi="Times New Roman" w:eastAsia="黑体" w:cs="Times New Roman"/>
          <w:position w:val="-2"/>
          <w:sz w:val="30"/>
          <w:szCs w:val="30"/>
          <w:highlight w:val="none"/>
          <w:lang w:val="en-US" w:eastAsia="zh-CN"/>
        </w:rPr>
        <w:br w:type="textWrapping"/>
      </w:r>
      <w:r>
        <w:rPr>
          <w:rFonts w:hint="default" w:ascii="Times New Roman" w:hAnsi="Times New Roman" w:eastAsia="黑体" w:cs="Times New Roman"/>
          <w:position w:val="-2"/>
          <w:sz w:val="30"/>
          <w:szCs w:val="30"/>
          <w:highlight w:val="none"/>
          <w:lang w:eastAsia="zh-CN"/>
        </w:rPr>
        <w:t>土地复垦方案</w:t>
      </w:r>
      <w:bookmarkEnd w:id="287"/>
      <w:bookmarkEnd w:id="288"/>
      <w:bookmarkEnd w:id="289"/>
      <w:bookmarkEnd w:id="290"/>
      <w:bookmarkEnd w:id="291"/>
      <w:r>
        <w:rPr>
          <w:rFonts w:hint="eastAsia" w:ascii="Times New Roman" w:hAnsi="Times New Roman" w:eastAsia="黑体" w:cs="Times New Roman"/>
          <w:position w:val="-2"/>
          <w:sz w:val="30"/>
          <w:szCs w:val="30"/>
          <w:highlight w:val="none"/>
          <w:lang w:eastAsia="zh-CN"/>
        </w:rPr>
        <w:t>报告</w:t>
      </w:r>
      <w:bookmarkEnd w:id="292"/>
      <w:r>
        <w:rPr>
          <w:rFonts w:hint="eastAsia" w:ascii="Times New Roman" w:hAnsi="Times New Roman" w:eastAsia="黑体" w:cs="Times New Roman"/>
          <w:position w:val="-2"/>
          <w:sz w:val="30"/>
          <w:szCs w:val="30"/>
          <w:highlight w:val="none"/>
          <w:lang w:val="en-US" w:eastAsia="zh-CN"/>
        </w:rPr>
        <w:t>书</w:t>
      </w:r>
    </w:p>
    <w:tbl>
      <w:tblPr>
        <w:tblStyle w:val="22"/>
        <w:tblW w:w="853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2"/>
        <w:gridCol w:w="628"/>
        <w:gridCol w:w="459"/>
        <w:gridCol w:w="710"/>
        <w:gridCol w:w="599"/>
        <w:gridCol w:w="866"/>
        <w:gridCol w:w="446"/>
        <w:gridCol w:w="636"/>
        <w:gridCol w:w="253"/>
        <w:gridCol w:w="808"/>
        <w:gridCol w:w="296"/>
        <w:gridCol w:w="576"/>
        <w:gridCol w:w="161"/>
        <w:gridCol w:w="1244"/>
        <w:gridCol w:w="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trHeight w:val="777" w:hRule="atLeast"/>
        </w:trPr>
        <w:tc>
          <w:tcPr>
            <w:tcW w:w="852" w:type="dxa"/>
            <w:vMerge w:val="restart"/>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项</w:t>
            </w:r>
          </w:p>
          <w:p>
            <w:pPr>
              <w:pStyle w:val="4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目</w:t>
            </w:r>
          </w:p>
          <w:p>
            <w:pPr>
              <w:pStyle w:val="4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概</w:t>
            </w:r>
          </w:p>
          <w:p>
            <w:pPr>
              <w:pStyle w:val="4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况</w:t>
            </w:r>
          </w:p>
          <w:p>
            <w:pPr>
              <w:pStyle w:val="40"/>
              <w:ind w:firstLine="0" w:firstLineChars="0"/>
              <w:rPr>
                <w:rFonts w:hint="default" w:ascii="Times New Roman" w:hAnsi="Times New Roman" w:eastAsia="仿宋" w:cs="Times New Roman"/>
                <w:color w:val="auto"/>
                <w:sz w:val="21"/>
                <w:szCs w:val="21"/>
                <w:highlight w:val="none"/>
              </w:rPr>
            </w:pPr>
          </w:p>
        </w:tc>
        <w:tc>
          <w:tcPr>
            <w:tcW w:w="1797" w:type="dxa"/>
            <w:gridSpan w:val="3"/>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项目名称</w:t>
            </w:r>
          </w:p>
        </w:tc>
        <w:tc>
          <w:tcPr>
            <w:tcW w:w="5885" w:type="dxa"/>
            <w:gridSpan w:val="10"/>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r>
              <w:rPr>
                <w:rFonts w:hint="eastAsia" w:ascii="Times New Roman" w:hAnsi="Times New Roman" w:eastAsia="仿宋" w:cs="Times New Roman"/>
                <w:color w:val="auto"/>
                <w:sz w:val="21"/>
                <w:szCs w:val="21"/>
                <w:highlight w:val="none"/>
                <w:lang w:eastAsia="zh-CN"/>
              </w:rPr>
              <w:t>G219线岳普湖-英吉沙公路建设项目疏勒段施工便道</w:t>
            </w:r>
            <w:r>
              <w:rPr>
                <w:rFonts w:hint="eastAsia" w:ascii="Times New Roman" w:hAnsi="Times New Roman" w:eastAsia="仿宋" w:cs="Times New Roman"/>
                <w:color w:val="auto"/>
                <w:sz w:val="21"/>
                <w:szCs w:val="21"/>
                <w:highlight w:val="none"/>
                <w:lang w:eastAsia="zh-CN"/>
              </w:rPr>
              <w:br w:type="textWrapping"/>
            </w:r>
            <w:r>
              <w:rPr>
                <w:rFonts w:hint="default" w:ascii="Times New Roman" w:hAnsi="Times New Roman" w:eastAsia="仿宋" w:cs="Times New Roman"/>
                <w:color w:val="auto"/>
                <w:sz w:val="21"/>
                <w:szCs w:val="21"/>
                <w:highlight w:val="none"/>
                <w:lang w:eastAsia="zh-CN"/>
              </w:rPr>
              <w:t>土地</w:t>
            </w:r>
            <w:r>
              <w:rPr>
                <w:rFonts w:hint="default" w:ascii="Times New Roman" w:hAnsi="Times New Roman" w:eastAsia="仿宋" w:cs="Times New Roman"/>
                <w:color w:val="auto"/>
                <w:sz w:val="21"/>
                <w:szCs w:val="21"/>
                <w:highlight w:val="none"/>
                <w:lang w:val="en-US" w:eastAsia="zh-CN"/>
              </w:rPr>
              <w:t>复垦</w:t>
            </w:r>
            <w:r>
              <w:rPr>
                <w:rFonts w:hint="default" w:ascii="Times New Roman" w:hAnsi="Times New Roman" w:eastAsia="仿宋" w:cs="Times New Roman"/>
                <w:color w:val="auto"/>
                <w:sz w:val="21"/>
                <w:szCs w:val="21"/>
                <w:highlight w:val="none"/>
                <w:lang w:eastAsia="zh-CN"/>
              </w:rPr>
              <w:t>方案</w:t>
            </w:r>
            <w:r>
              <w:rPr>
                <w:rFonts w:hint="eastAsia" w:ascii="Times New Roman" w:hAnsi="Times New Roman" w:eastAsia="仿宋" w:cs="Times New Roman"/>
                <w:color w:val="auto"/>
                <w:sz w:val="21"/>
                <w:szCs w:val="21"/>
                <w:highlight w:val="none"/>
                <w:lang w:eastAsia="zh-CN"/>
              </w:rPr>
              <w:t>报告书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trHeight w:val="664" w:hRule="atLeast"/>
        </w:trPr>
        <w:tc>
          <w:tcPr>
            <w:tcW w:w="852" w:type="dxa"/>
            <w:vMerge w:val="continue"/>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p>
        </w:tc>
        <w:tc>
          <w:tcPr>
            <w:tcW w:w="1797" w:type="dxa"/>
            <w:gridSpan w:val="3"/>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项目单位</w:t>
            </w:r>
          </w:p>
        </w:tc>
        <w:tc>
          <w:tcPr>
            <w:tcW w:w="5885" w:type="dxa"/>
            <w:gridSpan w:val="10"/>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新疆路桥南疆工程建设有限公司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trHeight w:val="664" w:hRule="atLeast"/>
        </w:trPr>
        <w:tc>
          <w:tcPr>
            <w:tcW w:w="852" w:type="dxa"/>
            <w:vMerge w:val="continue"/>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p>
        </w:tc>
        <w:tc>
          <w:tcPr>
            <w:tcW w:w="1797" w:type="dxa"/>
            <w:gridSpan w:val="3"/>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单位地址</w:t>
            </w:r>
          </w:p>
        </w:tc>
        <w:tc>
          <w:tcPr>
            <w:tcW w:w="5885" w:type="dxa"/>
            <w:gridSpan w:val="10"/>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新疆喀什地区喀什市文化路74号2幢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trHeight w:val="678" w:hRule="atLeast"/>
        </w:trPr>
        <w:tc>
          <w:tcPr>
            <w:tcW w:w="852" w:type="dxa"/>
            <w:vMerge w:val="continue"/>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p>
        </w:tc>
        <w:tc>
          <w:tcPr>
            <w:tcW w:w="1797" w:type="dxa"/>
            <w:gridSpan w:val="3"/>
            <w:tcBorders>
              <w:tl2br w:val="nil"/>
              <w:tr2bl w:val="nil"/>
            </w:tcBorders>
            <w:vAlign w:val="center"/>
          </w:tcPr>
          <w:p>
            <w:pPr>
              <w:pStyle w:val="40"/>
              <w:ind w:firstLine="0" w:firstLineChars="0"/>
              <w:rPr>
                <w:rFonts w:hint="default" w:ascii="Times New Roman" w:hAnsi="Times New Roman" w:eastAsia="仿宋"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仿宋" w:cs="Times New Roman"/>
                <w:color w:val="000000" w:themeColor="text1"/>
                <w:sz w:val="21"/>
                <w:szCs w:val="21"/>
                <w:highlight w:val="none"/>
                <w:lang w:val="en-US" w:eastAsia="zh-CN"/>
                <w14:textFill>
                  <w14:solidFill>
                    <w14:schemeClr w14:val="tx1"/>
                  </w14:solidFill>
                </w14:textFill>
              </w:rPr>
              <w:t>联系人</w:t>
            </w:r>
          </w:p>
        </w:tc>
        <w:tc>
          <w:tcPr>
            <w:tcW w:w="1465" w:type="dxa"/>
            <w:gridSpan w:val="2"/>
            <w:tcBorders>
              <w:tl2br w:val="nil"/>
              <w:tr2bl w:val="nil"/>
            </w:tcBorders>
            <w:vAlign w:val="center"/>
          </w:tcPr>
          <w:p>
            <w:pPr>
              <w:pStyle w:val="40"/>
              <w:ind w:firstLine="0" w:firstLineChars="0"/>
              <w:rPr>
                <w:rFonts w:hint="default" w:ascii="Times New Roman" w:hAnsi="Times New Roman" w:eastAsia="仿宋"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仿宋" w:cs="Times New Roman"/>
                <w:color w:val="auto"/>
                <w:sz w:val="21"/>
                <w:szCs w:val="21"/>
                <w:highlight w:val="none"/>
                <w:lang w:val="en-US" w:eastAsia="zh-CN"/>
              </w:rPr>
              <w:t>王正伟</w:t>
            </w:r>
          </w:p>
        </w:tc>
        <w:tc>
          <w:tcPr>
            <w:tcW w:w="2439" w:type="dxa"/>
            <w:gridSpan w:val="5"/>
            <w:tcBorders>
              <w:tl2br w:val="nil"/>
              <w:tr2bl w:val="nil"/>
            </w:tcBorders>
            <w:vAlign w:val="center"/>
          </w:tcPr>
          <w:p>
            <w:pPr>
              <w:pStyle w:val="40"/>
              <w:ind w:firstLine="0" w:firstLineChars="0"/>
              <w:rPr>
                <w:rFonts w:hint="default" w:ascii="Times New Roman" w:hAnsi="Times New Roman" w:eastAsia="仿宋" w:cs="Times New Roman"/>
                <w:color w:val="000000" w:themeColor="text1"/>
                <w:sz w:val="21"/>
                <w:szCs w:val="21"/>
                <w:highlight w:val="none"/>
                <w14:textFill>
                  <w14:solidFill>
                    <w14:schemeClr w14:val="tx1"/>
                  </w14:solidFill>
                </w14:textFill>
              </w:rPr>
            </w:pPr>
            <w:r>
              <w:rPr>
                <w:rFonts w:hint="default" w:ascii="Times New Roman" w:hAnsi="Times New Roman" w:eastAsia="仿宋" w:cs="Times New Roman"/>
                <w:color w:val="000000" w:themeColor="text1"/>
                <w:sz w:val="21"/>
                <w:szCs w:val="21"/>
                <w:highlight w:val="none"/>
                <w14:textFill>
                  <w14:solidFill>
                    <w14:schemeClr w14:val="tx1"/>
                  </w14:solidFill>
                </w14:textFill>
              </w:rPr>
              <w:t>联系电话</w:t>
            </w:r>
          </w:p>
        </w:tc>
        <w:tc>
          <w:tcPr>
            <w:tcW w:w="1981" w:type="dxa"/>
            <w:gridSpan w:val="3"/>
            <w:tcBorders>
              <w:tl2br w:val="nil"/>
              <w:tr2bl w:val="nil"/>
            </w:tcBorders>
            <w:vAlign w:val="center"/>
          </w:tcPr>
          <w:p>
            <w:pPr>
              <w:keepNext w:val="0"/>
              <w:keepLines w:val="0"/>
              <w:widowControl/>
              <w:suppressLineNumbers w:val="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18199083319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trHeight w:val="832" w:hRule="atLeast"/>
        </w:trPr>
        <w:tc>
          <w:tcPr>
            <w:tcW w:w="852" w:type="dxa"/>
            <w:vMerge w:val="continue"/>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p>
        </w:tc>
        <w:tc>
          <w:tcPr>
            <w:tcW w:w="1797" w:type="dxa"/>
            <w:gridSpan w:val="3"/>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企业性质</w:t>
            </w:r>
          </w:p>
        </w:tc>
        <w:tc>
          <w:tcPr>
            <w:tcW w:w="1465" w:type="dxa"/>
            <w:gridSpan w:val="2"/>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有限责任公司</w:t>
            </w:r>
          </w:p>
        </w:tc>
        <w:tc>
          <w:tcPr>
            <w:tcW w:w="2439" w:type="dxa"/>
            <w:gridSpan w:val="5"/>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项目性质</w:t>
            </w:r>
          </w:p>
        </w:tc>
        <w:tc>
          <w:tcPr>
            <w:tcW w:w="1981" w:type="dxa"/>
            <w:gridSpan w:val="3"/>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临时用地复垦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trHeight w:val="599" w:hRule="atLeast"/>
        </w:trPr>
        <w:tc>
          <w:tcPr>
            <w:tcW w:w="852" w:type="dxa"/>
            <w:vMerge w:val="continue"/>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p>
        </w:tc>
        <w:tc>
          <w:tcPr>
            <w:tcW w:w="1797" w:type="dxa"/>
            <w:gridSpan w:val="3"/>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项目位置</w:t>
            </w:r>
          </w:p>
        </w:tc>
        <w:tc>
          <w:tcPr>
            <w:tcW w:w="5885" w:type="dxa"/>
            <w:gridSpan w:val="10"/>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kern w:val="2"/>
                <w:sz w:val="21"/>
                <w:szCs w:val="21"/>
                <w:highlight w:val="none"/>
                <w:lang w:val="en-US" w:eastAsia="zh-CN" w:bidi="ar-SA"/>
              </w:rPr>
              <w:t>本项目位于新疆维吾尔自治区喀什地区东南部，昆仑山山脉东麓，塔克拉玛干沙漠西缘的岳普湖县、疏勒县及英吉沙县境内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trHeight w:val="510" w:hRule="atLeast"/>
        </w:trPr>
        <w:tc>
          <w:tcPr>
            <w:tcW w:w="852" w:type="dxa"/>
            <w:vMerge w:val="continue"/>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p>
        </w:tc>
        <w:tc>
          <w:tcPr>
            <w:tcW w:w="1797" w:type="dxa"/>
            <w:gridSpan w:val="3"/>
            <w:tcBorders>
              <w:tl2br w:val="nil"/>
              <w:tr2bl w:val="nil"/>
            </w:tcBorders>
            <w:vAlign w:val="center"/>
          </w:tcPr>
          <w:p>
            <w:pPr>
              <w:pStyle w:val="40"/>
              <w:ind w:firstLine="0" w:firstLineChars="0"/>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kern w:val="2"/>
                <w:sz w:val="21"/>
                <w:szCs w:val="21"/>
                <w:highlight w:val="none"/>
                <w:lang w:val="en-US" w:eastAsia="zh-CN" w:bidi="ar-SA"/>
              </w:rPr>
              <w:t>建设内容</w:t>
            </w:r>
          </w:p>
        </w:tc>
        <w:tc>
          <w:tcPr>
            <w:tcW w:w="5885" w:type="dxa"/>
            <w:gridSpan w:val="10"/>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ind w:firstLine="420" w:firstLineChars="200"/>
              <w:jc w:val="left"/>
              <w:textAlignment w:val="auto"/>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kern w:val="2"/>
                <w:sz w:val="21"/>
                <w:szCs w:val="21"/>
                <w:highlight w:val="none"/>
                <w:lang w:val="en-US" w:eastAsia="zh-CN" w:bidi="ar-SA"/>
              </w:rPr>
              <w:t>本项目全长为67.323Km，K0+000～K4+285采用一级公路技术标准，路基宽度为24.5m；K4+285～K67+323.1采用二级公路技术标准，一般路段路基宽度为12m。全线设计车速80km/h，本项目共设置大中桥502.16m/7座，小桥19.04m/1座，涵洞143道；分离式立交2座，平面交叉20处；收费站1处，养护工区1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trHeight w:val="510" w:hRule="atLeast"/>
        </w:trPr>
        <w:tc>
          <w:tcPr>
            <w:tcW w:w="852" w:type="dxa"/>
            <w:vMerge w:val="continue"/>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p>
        </w:tc>
        <w:tc>
          <w:tcPr>
            <w:tcW w:w="1797" w:type="dxa"/>
            <w:gridSpan w:val="3"/>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投资规模（万元）</w:t>
            </w:r>
          </w:p>
        </w:tc>
        <w:tc>
          <w:tcPr>
            <w:tcW w:w="5885" w:type="dxa"/>
            <w:gridSpan w:val="10"/>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118809.0674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trHeight w:val="510" w:hRule="atLeast"/>
        </w:trPr>
        <w:tc>
          <w:tcPr>
            <w:tcW w:w="852" w:type="dxa"/>
            <w:vMerge w:val="continue"/>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p>
        </w:tc>
        <w:tc>
          <w:tcPr>
            <w:tcW w:w="1797" w:type="dxa"/>
            <w:gridSpan w:val="3"/>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项目区</w:t>
            </w:r>
            <w:r>
              <w:rPr>
                <w:rFonts w:hint="default" w:ascii="Times New Roman" w:hAnsi="Times New Roman" w:eastAsia="仿宋" w:cs="Times New Roman"/>
                <w:color w:val="auto"/>
                <w:sz w:val="21"/>
                <w:szCs w:val="21"/>
                <w:highlight w:val="none"/>
                <w:lang w:val="en-US" w:eastAsia="zh-CN"/>
              </w:rPr>
              <w:t>临时用地</w:t>
            </w:r>
            <w:r>
              <w:rPr>
                <w:rFonts w:hint="default" w:ascii="Times New Roman" w:hAnsi="Times New Roman" w:eastAsia="仿宋" w:cs="Times New Roman"/>
                <w:color w:val="auto"/>
                <w:sz w:val="21"/>
                <w:szCs w:val="21"/>
                <w:highlight w:val="none"/>
              </w:rPr>
              <w:t>面积（</w:t>
            </w:r>
            <w:r>
              <w:rPr>
                <w:rFonts w:hint="default" w:ascii="Times New Roman" w:hAnsi="Times New Roman" w:eastAsia="仿宋" w:cs="Times New Roman"/>
                <w:color w:val="auto"/>
                <w:sz w:val="21"/>
                <w:szCs w:val="21"/>
                <w:highlight w:val="none"/>
                <w:lang w:val="en-US" w:eastAsia="zh-CN"/>
              </w:rPr>
              <w:t>公顷</w:t>
            </w:r>
            <w:r>
              <w:rPr>
                <w:rFonts w:hint="default" w:ascii="Times New Roman" w:hAnsi="Times New Roman" w:eastAsia="仿宋" w:cs="Times New Roman"/>
                <w:color w:val="auto"/>
                <w:sz w:val="21"/>
                <w:szCs w:val="21"/>
                <w:highlight w:val="none"/>
              </w:rPr>
              <w:t>）</w:t>
            </w:r>
          </w:p>
        </w:tc>
        <w:tc>
          <w:tcPr>
            <w:tcW w:w="5885" w:type="dxa"/>
            <w:gridSpan w:val="10"/>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lang w:val="en-US"/>
              </w:rPr>
            </w:pPr>
            <w:r>
              <w:rPr>
                <w:rFonts w:hint="eastAsia" w:ascii="Times New Roman" w:hAnsi="Times New Roman" w:eastAsia="仿宋" w:cs="Times New Roman"/>
                <w:color w:val="auto"/>
                <w:sz w:val="21"/>
                <w:szCs w:val="21"/>
                <w:highlight w:val="none"/>
                <w:lang w:val="en-US" w:eastAsia="zh-CN"/>
              </w:rPr>
              <w:t>2.4296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trHeight w:val="90" w:hRule="atLeast"/>
        </w:trPr>
        <w:tc>
          <w:tcPr>
            <w:tcW w:w="852" w:type="dxa"/>
            <w:vMerge w:val="continue"/>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p>
        </w:tc>
        <w:tc>
          <w:tcPr>
            <w:tcW w:w="1797" w:type="dxa"/>
            <w:gridSpan w:val="3"/>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复垦</w:t>
            </w:r>
            <w:r>
              <w:rPr>
                <w:rFonts w:hint="default" w:ascii="Times New Roman" w:hAnsi="Times New Roman" w:eastAsia="仿宋" w:cs="Times New Roman"/>
                <w:color w:val="auto"/>
                <w:sz w:val="21"/>
                <w:szCs w:val="21"/>
                <w:highlight w:val="none"/>
              </w:rPr>
              <w:t>投资规模</w:t>
            </w:r>
            <w:r>
              <w:rPr>
                <w:rFonts w:hint="default" w:ascii="Times New Roman" w:hAnsi="Times New Roman" w:eastAsia="仿宋" w:cs="Times New Roman"/>
                <w:color w:val="auto"/>
                <w:sz w:val="21"/>
                <w:szCs w:val="21"/>
                <w:highlight w:val="none"/>
                <w:lang w:eastAsia="zh-CN"/>
              </w:rPr>
              <w:t>（</w:t>
            </w:r>
            <w:r>
              <w:rPr>
                <w:rFonts w:hint="default" w:ascii="Times New Roman" w:hAnsi="Times New Roman" w:eastAsia="仿宋" w:cs="Times New Roman"/>
                <w:color w:val="auto"/>
                <w:sz w:val="21"/>
                <w:szCs w:val="21"/>
                <w:highlight w:val="none"/>
                <w:lang w:val="en-US" w:eastAsia="zh-CN"/>
              </w:rPr>
              <w:t>万元）</w:t>
            </w:r>
          </w:p>
        </w:tc>
        <w:tc>
          <w:tcPr>
            <w:tcW w:w="5885" w:type="dxa"/>
            <w:gridSpan w:val="10"/>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10.78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trHeight w:val="723" w:hRule="atLeast"/>
        </w:trPr>
        <w:tc>
          <w:tcPr>
            <w:tcW w:w="852" w:type="dxa"/>
            <w:vMerge w:val="continue"/>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p>
        </w:tc>
        <w:tc>
          <w:tcPr>
            <w:tcW w:w="1797" w:type="dxa"/>
            <w:gridSpan w:val="3"/>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项目位置土地利用现状图幅号</w:t>
            </w:r>
          </w:p>
        </w:tc>
        <w:tc>
          <w:tcPr>
            <w:tcW w:w="5885" w:type="dxa"/>
            <w:gridSpan w:val="10"/>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图幅号：J43G025073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trHeight w:val="723" w:hRule="atLeast"/>
        </w:trPr>
        <w:tc>
          <w:tcPr>
            <w:tcW w:w="852" w:type="dxa"/>
            <w:vMerge w:val="continue"/>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p>
        </w:tc>
        <w:tc>
          <w:tcPr>
            <w:tcW w:w="1797" w:type="dxa"/>
            <w:gridSpan w:val="3"/>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建设期限</w:t>
            </w:r>
          </w:p>
        </w:tc>
        <w:tc>
          <w:tcPr>
            <w:tcW w:w="1911" w:type="dxa"/>
            <w:gridSpan w:val="3"/>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2023年8月</w:t>
            </w:r>
            <w:r>
              <w:rPr>
                <w:rFonts w:hint="default" w:ascii="Times New Roman" w:hAnsi="Times New Roman" w:eastAsia="仿宋" w:cs="Times New Roman"/>
                <w:color w:val="auto"/>
                <w:sz w:val="21"/>
                <w:szCs w:val="21"/>
                <w:highlight w:val="none"/>
                <w:lang w:val="en-US" w:eastAsia="zh-CN"/>
              </w:rPr>
              <w:t>-</w:t>
            </w:r>
            <w:r>
              <w:rPr>
                <w:rFonts w:hint="eastAsia" w:ascii="Times New Roman" w:hAnsi="Times New Roman" w:eastAsia="仿宋" w:cs="Times New Roman"/>
                <w:color w:val="auto"/>
                <w:sz w:val="21"/>
                <w:szCs w:val="21"/>
                <w:highlight w:val="none"/>
                <w:lang w:val="en-US" w:eastAsia="zh-CN"/>
              </w:rPr>
              <w:t>2025年8月</w:t>
            </w:r>
          </w:p>
        </w:tc>
        <w:tc>
          <w:tcPr>
            <w:tcW w:w="1993" w:type="dxa"/>
            <w:gridSpan w:val="4"/>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土地复垦方案服务年限</w:t>
            </w:r>
          </w:p>
        </w:tc>
        <w:tc>
          <w:tcPr>
            <w:tcW w:w="1981" w:type="dxa"/>
            <w:gridSpan w:val="3"/>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2023年8月</w:t>
            </w:r>
            <w:r>
              <w:rPr>
                <w:rFonts w:hint="default" w:ascii="Times New Roman" w:hAnsi="Times New Roman" w:eastAsia="仿宋" w:cs="Times New Roman"/>
                <w:color w:val="auto"/>
                <w:sz w:val="21"/>
                <w:szCs w:val="21"/>
                <w:highlight w:val="none"/>
                <w:lang w:val="en-US" w:eastAsia="zh-CN"/>
              </w:rPr>
              <w:t>-</w:t>
            </w:r>
            <w:r>
              <w:rPr>
                <w:rFonts w:hint="eastAsia" w:ascii="Times New Roman" w:hAnsi="Times New Roman" w:eastAsia="仿宋" w:cs="Times New Roman"/>
                <w:color w:val="auto"/>
                <w:sz w:val="21"/>
                <w:szCs w:val="21"/>
                <w:highlight w:val="none"/>
                <w:lang w:val="en-US" w:eastAsia="zh-CN"/>
              </w:rPr>
              <w:t>2025年9月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trHeight w:val="645" w:hRule="atLeast"/>
        </w:trPr>
        <w:tc>
          <w:tcPr>
            <w:tcW w:w="852" w:type="dxa"/>
            <w:vMerge w:val="restart"/>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方案</w:t>
            </w:r>
          </w:p>
          <w:p>
            <w:pPr>
              <w:pStyle w:val="40"/>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编制</w:t>
            </w:r>
          </w:p>
          <w:p>
            <w:pPr>
              <w:pStyle w:val="40"/>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单位</w:t>
            </w:r>
          </w:p>
          <w:p>
            <w:pPr>
              <w:pStyle w:val="40"/>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人员</w:t>
            </w:r>
          </w:p>
          <w:p>
            <w:pPr>
              <w:pStyle w:val="40"/>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情况</w:t>
            </w:r>
          </w:p>
          <w:p>
            <w:pPr>
              <w:pStyle w:val="40"/>
              <w:ind w:firstLine="0" w:firstLineChars="0"/>
              <w:rPr>
                <w:rFonts w:hint="default" w:ascii="Times New Roman" w:hAnsi="Times New Roman" w:eastAsia="仿宋" w:cs="Times New Roman"/>
                <w:color w:val="auto"/>
                <w:sz w:val="21"/>
                <w:szCs w:val="21"/>
                <w:highlight w:val="none"/>
              </w:rPr>
            </w:pPr>
          </w:p>
        </w:tc>
        <w:tc>
          <w:tcPr>
            <w:tcW w:w="1797" w:type="dxa"/>
            <w:gridSpan w:val="3"/>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编制单位名称</w:t>
            </w:r>
          </w:p>
        </w:tc>
        <w:tc>
          <w:tcPr>
            <w:tcW w:w="5885" w:type="dxa"/>
            <w:gridSpan w:val="10"/>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lang w:eastAsia="zh-CN"/>
              </w:rPr>
            </w:pPr>
            <w:r>
              <w:rPr>
                <w:rFonts w:hint="eastAsia" w:ascii="Times New Roman" w:hAnsi="Times New Roman" w:eastAsia="仿宋" w:cs="Times New Roman"/>
                <w:color w:val="auto"/>
                <w:sz w:val="21"/>
                <w:szCs w:val="21"/>
                <w:highlight w:val="none"/>
                <w:lang w:eastAsia="zh-CN"/>
              </w:rPr>
              <w:t>新疆智恒技术咨询有限公司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trHeight w:val="481" w:hRule="atLeast"/>
        </w:trPr>
        <w:tc>
          <w:tcPr>
            <w:tcW w:w="852" w:type="dxa"/>
            <w:vMerge w:val="continue"/>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p>
        </w:tc>
        <w:tc>
          <w:tcPr>
            <w:tcW w:w="1797" w:type="dxa"/>
            <w:gridSpan w:val="3"/>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法人代表</w:t>
            </w:r>
          </w:p>
        </w:tc>
        <w:tc>
          <w:tcPr>
            <w:tcW w:w="5885" w:type="dxa"/>
            <w:gridSpan w:val="10"/>
            <w:tcBorders>
              <w:tl2br w:val="nil"/>
              <w:tr2bl w:val="nil"/>
            </w:tcBorders>
            <w:vAlign w:val="center"/>
          </w:tcPr>
          <w:p>
            <w:pPr>
              <w:pStyle w:val="40"/>
              <w:ind w:firstLine="0" w:firstLineChars="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杨辉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trHeight w:val="717" w:hRule="atLeast"/>
        </w:trPr>
        <w:tc>
          <w:tcPr>
            <w:tcW w:w="852" w:type="dxa"/>
            <w:vMerge w:val="continue"/>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p>
        </w:tc>
        <w:tc>
          <w:tcPr>
            <w:tcW w:w="1797" w:type="dxa"/>
            <w:gridSpan w:val="3"/>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联系人</w:t>
            </w:r>
          </w:p>
        </w:tc>
        <w:tc>
          <w:tcPr>
            <w:tcW w:w="1911" w:type="dxa"/>
            <w:gridSpan w:val="3"/>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凌金金</w:t>
            </w:r>
          </w:p>
        </w:tc>
        <w:tc>
          <w:tcPr>
            <w:tcW w:w="1993" w:type="dxa"/>
            <w:gridSpan w:val="4"/>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联系电话</w:t>
            </w:r>
          </w:p>
        </w:tc>
        <w:tc>
          <w:tcPr>
            <w:tcW w:w="1981" w:type="dxa"/>
            <w:gridSpan w:val="3"/>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eastAsia="zh-CN"/>
              </w:rPr>
              <w:t>17783656777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trHeight w:val="792" w:hRule="atLeast"/>
        </w:trPr>
        <w:tc>
          <w:tcPr>
            <w:tcW w:w="852" w:type="dxa"/>
            <w:vMerge w:val="continue"/>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p>
        </w:tc>
        <w:tc>
          <w:tcPr>
            <w:tcW w:w="1797" w:type="dxa"/>
            <w:gridSpan w:val="3"/>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单位地址</w:t>
            </w:r>
          </w:p>
        </w:tc>
        <w:tc>
          <w:tcPr>
            <w:tcW w:w="5885" w:type="dxa"/>
            <w:gridSpan w:val="10"/>
            <w:tcBorders>
              <w:tl2br w:val="nil"/>
              <w:tr2bl w:val="nil"/>
            </w:tcBorders>
            <w:vAlign w:val="center"/>
          </w:tcPr>
          <w:p>
            <w:pPr>
              <w:pStyle w:val="40"/>
              <w:ind w:firstLine="0" w:firstLineChars="0"/>
              <w:rPr>
                <w:rFonts w:hint="eastAsia"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新疆喀什地区喀什经济开发区兵团分区总部大厦A座5层503室53号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trHeight w:val="595" w:hRule="atLeast"/>
        </w:trPr>
        <w:tc>
          <w:tcPr>
            <w:tcW w:w="852" w:type="dxa"/>
            <w:vMerge w:val="continue"/>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p>
        </w:tc>
        <w:tc>
          <w:tcPr>
            <w:tcW w:w="7682" w:type="dxa"/>
            <w:gridSpan w:val="13"/>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主要编制人员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trHeight w:val="510" w:hRule="atLeast"/>
        </w:trPr>
        <w:tc>
          <w:tcPr>
            <w:tcW w:w="852" w:type="dxa"/>
            <w:vMerge w:val="continue"/>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p>
        </w:tc>
        <w:tc>
          <w:tcPr>
            <w:tcW w:w="1797" w:type="dxa"/>
            <w:gridSpan w:val="3"/>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姓名</w:t>
            </w:r>
          </w:p>
        </w:tc>
        <w:tc>
          <w:tcPr>
            <w:tcW w:w="1911" w:type="dxa"/>
            <w:gridSpan w:val="3"/>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职务/职称</w:t>
            </w:r>
          </w:p>
        </w:tc>
        <w:tc>
          <w:tcPr>
            <w:tcW w:w="1993" w:type="dxa"/>
            <w:gridSpan w:val="4"/>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单位</w:t>
            </w:r>
          </w:p>
        </w:tc>
        <w:tc>
          <w:tcPr>
            <w:tcW w:w="1981" w:type="dxa"/>
            <w:gridSpan w:val="3"/>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签名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trHeight w:val="510" w:hRule="atLeast"/>
        </w:trPr>
        <w:tc>
          <w:tcPr>
            <w:tcW w:w="852" w:type="dxa"/>
            <w:vMerge w:val="continue"/>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p>
        </w:tc>
        <w:tc>
          <w:tcPr>
            <w:tcW w:w="1797" w:type="dxa"/>
            <w:gridSpan w:val="3"/>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李霞</w:t>
            </w:r>
          </w:p>
        </w:tc>
        <w:tc>
          <w:tcPr>
            <w:tcW w:w="1911" w:type="dxa"/>
            <w:gridSpan w:val="3"/>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总工</w:t>
            </w:r>
          </w:p>
        </w:tc>
        <w:tc>
          <w:tcPr>
            <w:tcW w:w="1993" w:type="dxa"/>
            <w:gridSpan w:val="4"/>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新疆智恒技术咨询有限公司</w:t>
            </w:r>
          </w:p>
        </w:tc>
        <w:tc>
          <w:tcPr>
            <w:tcW w:w="1981" w:type="dxa"/>
            <w:gridSpan w:val="3"/>
            <w:tcBorders>
              <w:tl2br w:val="nil"/>
              <w:tr2bl w:val="nil"/>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drawing>
                <wp:inline distT="0" distB="0" distL="114300" distR="114300">
                  <wp:extent cx="765810" cy="424180"/>
                  <wp:effectExtent l="0" t="0" r="15240" b="13970"/>
                  <wp:docPr id="8" name="图片 8" descr="微信图片_2023022114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30221141007"/>
                          <pic:cNvPicPr>
                            <a:picLocks noChangeAspect="1"/>
                          </pic:cNvPicPr>
                        </pic:nvPicPr>
                        <pic:blipFill>
                          <a:blip r:embed="rId13"/>
                          <a:stretch>
                            <a:fillRect/>
                          </a:stretch>
                        </pic:blipFill>
                        <pic:spPr>
                          <a:xfrm>
                            <a:off x="0" y="0"/>
                            <a:ext cx="765810" cy="424180"/>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trHeight w:val="510" w:hRule="atLeast"/>
        </w:trPr>
        <w:tc>
          <w:tcPr>
            <w:tcW w:w="852" w:type="dxa"/>
            <w:vMerge w:val="continue"/>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p>
        </w:tc>
        <w:tc>
          <w:tcPr>
            <w:tcW w:w="1797" w:type="dxa"/>
            <w:gridSpan w:val="3"/>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王金龙</w:t>
            </w:r>
          </w:p>
        </w:tc>
        <w:tc>
          <w:tcPr>
            <w:tcW w:w="1911" w:type="dxa"/>
            <w:gridSpan w:val="3"/>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项目负责人</w:t>
            </w:r>
          </w:p>
        </w:tc>
        <w:tc>
          <w:tcPr>
            <w:tcW w:w="1993" w:type="dxa"/>
            <w:gridSpan w:val="4"/>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新疆智恒技术咨询有限公司</w:t>
            </w:r>
          </w:p>
        </w:tc>
        <w:tc>
          <w:tcPr>
            <w:tcW w:w="1981" w:type="dxa"/>
            <w:gridSpan w:val="3"/>
            <w:tcBorders>
              <w:tl2br w:val="nil"/>
              <w:tr2bl w:val="nil"/>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drawing>
                <wp:inline distT="0" distB="0" distL="114300" distR="114300">
                  <wp:extent cx="839470" cy="474980"/>
                  <wp:effectExtent l="0" t="0" r="17780" b="1270"/>
                  <wp:docPr id="9" name="图片 9" descr="微信图片_20230221155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30221155508"/>
                          <pic:cNvPicPr>
                            <a:picLocks noChangeAspect="1"/>
                          </pic:cNvPicPr>
                        </pic:nvPicPr>
                        <pic:blipFill>
                          <a:blip r:embed="rId14"/>
                          <a:stretch>
                            <a:fillRect/>
                          </a:stretch>
                        </pic:blipFill>
                        <pic:spPr>
                          <a:xfrm>
                            <a:off x="0" y="0"/>
                            <a:ext cx="839470" cy="474980"/>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trHeight w:val="510" w:hRule="atLeast"/>
        </w:trPr>
        <w:tc>
          <w:tcPr>
            <w:tcW w:w="852" w:type="dxa"/>
            <w:vMerge w:val="continue"/>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p>
        </w:tc>
        <w:tc>
          <w:tcPr>
            <w:tcW w:w="1797" w:type="dxa"/>
            <w:gridSpan w:val="3"/>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涂源</w:t>
            </w:r>
          </w:p>
        </w:tc>
        <w:tc>
          <w:tcPr>
            <w:tcW w:w="1911" w:type="dxa"/>
            <w:gridSpan w:val="3"/>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项目负责人</w:t>
            </w:r>
          </w:p>
        </w:tc>
        <w:tc>
          <w:tcPr>
            <w:tcW w:w="1993" w:type="dxa"/>
            <w:gridSpan w:val="4"/>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新疆智恒技术咨询有限公司</w:t>
            </w:r>
          </w:p>
        </w:tc>
        <w:tc>
          <w:tcPr>
            <w:tcW w:w="1981" w:type="dxa"/>
            <w:gridSpan w:val="3"/>
            <w:tcBorders>
              <w:tl2br w:val="nil"/>
              <w:tr2bl w:val="nil"/>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cs="Times New Roman"/>
                <w:sz w:val="21"/>
                <w:szCs w:val="21"/>
                <w:highlight w:val="none"/>
              </w:rPr>
              <w:drawing>
                <wp:inline distT="0" distB="0" distL="114300" distR="114300">
                  <wp:extent cx="889635" cy="570865"/>
                  <wp:effectExtent l="0" t="0" r="5715" b="635"/>
                  <wp:docPr id="10" name="图片 10" descr="微信图片_20230221160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30221160635"/>
                          <pic:cNvPicPr>
                            <a:picLocks noChangeAspect="1"/>
                          </pic:cNvPicPr>
                        </pic:nvPicPr>
                        <pic:blipFill>
                          <a:blip r:embed="rId15"/>
                          <a:stretch>
                            <a:fillRect/>
                          </a:stretch>
                        </pic:blipFill>
                        <pic:spPr>
                          <a:xfrm>
                            <a:off x="0" y="0"/>
                            <a:ext cx="889635" cy="570865"/>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trHeight w:val="510" w:hRule="atLeast"/>
        </w:trPr>
        <w:tc>
          <w:tcPr>
            <w:tcW w:w="852" w:type="dxa"/>
            <w:vMerge w:val="continue"/>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p>
        </w:tc>
        <w:tc>
          <w:tcPr>
            <w:tcW w:w="1797" w:type="dxa"/>
            <w:gridSpan w:val="3"/>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 xml:space="preserve"> 阿瓦古丽 </w:t>
            </w:r>
          </w:p>
        </w:tc>
        <w:tc>
          <w:tcPr>
            <w:tcW w:w="1911" w:type="dxa"/>
            <w:gridSpan w:val="3"/>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技术骨干</w:t>
            </w:r>
          </w:p>
        </w:tc>
        <w:tc>
          <w:tcPr>
            <w:tcW w:w="1993" w:type="dxa"/>
            <w:gridSpan w:val="4"/>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新疆智恒技术咨询有限公司</w:t>
            </w:r>
          </w:p>
        </w:tc>
        <w:tc>
          <w:tcPr>
            <w:tcW w:w="1981" w:type="dxa"/>
            <w:gridSpan w:val="3"/>
            <w:tcBorders>
              <w:tl2br w:val="nil"/>
              <w:tr2bl w:val="nil"/>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 w:cs="Times New Roman"/>
                <w:sz w:val="21"/>
                <w:szCs w:val="21"/>
                <w:highlight w:val="none"/>
              </w:rPr>
            </w:pPr>
            <w:r>
              <w:rPr>
                <w:rFonts w:hint="default" w:ascii="Times New Roman" w:hAnsi="Times New Roman" w:cs="Times New Roman"/>
                <w:color w:val="auto"/>
                <w:sz w:val="21"/>
                <w:szCs w:val="21"/>
                <w:highlight w:val="none"/>
                <w:lang w:val="en-US" w:eastAsia="zh-CN"/>
              </w:rPr>
              <w:drawing>
                <wp:inline distT="0" distB="0" distL="114300" distR="114300">
                  <wp:extent cx="829310" cy="476250"/>
                  <wp:effectExtent l="0" t="0" r="8890" b="0"/>
                  <wp:docPr id="12" name="图片 12" descr="微信图片_2023022116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30221160713"/>
                          <pic:cNvPicPr>
                            <a:picLocks noChangeAspect="1"/>
                          </pic:cNvPicPr>
                        </pic:nvPicPr>
                        <pic:blipFill>
                          <a:blip r:embed="rId16"/>
                          <a:stretch>
                            <a:fillRect/>
                          </a:stretch>
                        </pic:blipFill>
                        <pic:spPr>
                          <a:xfrm>
                            <a:off x="0" y="0"/>
                            <a:ext cx="829310" cy="476250"/>
                          </a:xfrm>
                          <a:prstGeom prst="rect">
                            <a:avLst/>
                          </a:prstGeom>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trHeight w:val="510" w:hRule="atLeast"/>
        </w:trPr>
        <w:tc>
          <w:tcPr>
            <w:tcW w:w="852" w:type="dxa"/>
            <w:vMerge w:val="restart"/>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复垦</w:t>
            </w:r>
          </w:p>
          <w:p>
            <w:pPr>
              <w:pStyle w:val="40"/>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区土</w:t>
            </w:r>
          </w:p>
          <w:p>
            <w:pPr>
              <w:pStyle w:val="40"/>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地利</w:t>
            </w:r>
          </w:p>
          <w:p>
            <w:pPr>
              <w:pStyle w:val="40"/>
              <w:ind w:firstLine="0" w:firstLineChars="0"/>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用现</w:t>
            </w:r>
          </w:p>
          <w:p>
            <w:pPr>
              <w:pStyle w:val="4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状</w:t>
            </w:r>
          </w:p>
        </w:tc>
        <w:tc>
          <w:tcPr>
            <w:tcW w:w="3708" w:type="dxa"/>
            <w:gridSpan w:val="6"/>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土地类型</w:t>
            </w:r>
          </w:p>
        </w:tc>
        <w:tc>
          <w:tcPr>
            <w:tcW w:w="3974" w:type="dxa"/>
            <w:gridSpan w:val="7"/>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面积（hm²）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trHeight w:val="510" w:hRule="atLeast"/>
        </w:trPr>
        <w:tc>
          <w:tcPr>
            <w:tcW w:w="852" w:type="dxa"/>
            <w:vMerge w:val="continue"/>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p>
        </w:tc>
        <w:tc>
          <w:tcPr>
            <w:tcW w:w="1797" w:type="dxa"/>
            <w:gridSpan w:val="3"/>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一级地类</w:t>
            </w:r>
          </w:p>
        </w:tc>
        <w:tc>
          <w:tcPr>
            <w:tcW w:w="1911" w:type="dxa"/>
            <w:gridSpan w:val="3"/>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二级地类</w:t>
            </w:r>
          </w:p>
        </w:tc>
        <w:tc>
          <w:tcPr>
            <w:tcW w:w="889" w:type="dxa"/>
            <w:gridSpan w:val="2"/>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小计</w:t>
            </w:r>
          </w:p>
        </w:tc>
        <w:tc>
          <w:tcPr>
            <w:tcW w:w="808" w:type="dxa"/>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已损毁</w:t>
            </w:r>
          </w:p>
        </w:tc>
        <w:tc>
          <w:tcPr>
            <w:tcW w:w="1033" w:type="dxa"/>
            <w:gridSpan w:val="3"/>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拟损毁</w:t>
            </w:r>
          </w:p>
        </w:tc>
        <w:tc>
          <w:tcPr>
            <w:tcW w:w="1244" w:type="dxa"/>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永久占用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trHeight w:val="510" w:hRule="atLeast"/>
        </w:trPr>
        <w:tc>
          <w:tcPr>
            <w:tcW w:w="852" w:type="dxa"/>
            <w:vMerge w:val="continue"/>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p>
        </w:tc>
        <w:tc>
          <w:tcPr>
            <w:tcW w:w="1797" w:type="dxa"/>
            <w:gridSpan w:val="3"/>
            <w:tcBorders>
              <w:tl2br w:val="nil"/>
              <w:tr2bl w:val="nil"/>
            </w:tcBorders>
            <w:vAlign w:val="center"/>
          </w:tcPr>
          <w:p>
            <w:pPr>
              <w:pStyle w:val="40"/>
              <w:ind w:firstLine="0" w:firstLineChars="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其他土地</w:t>
            </w:r>
          </w:p>
        </w:tc>
        <w:tc>
          <w:tcPr>
            <w:tcW w:w="1911" w:type="dxa"/>
            <w:gridSpan w:val="3"/>
            <w:tcBorders>
              <w:tl2br w:val="nil"/>
              <w:tr2bl w:val="nil"/>
            </w:tcBorders>
            <w:vAlign w:val="center"/>
          </w:tcPr>
          <w:p>
            <w:pPr>
              <w:pStyle w:val="40"/>
              <w:ind w:firstLine="0" w:firstLineChars="0"/>
              <w:jc w:val="center"/>
              <w:rPr>
                <w:rFonts w:hint="default" w:ascii="宋体" w:hAnsi="宋体" w:eastAsia="宋体" w:cs="宋体"/>
                <w:i w:val="0"/>
                <w:iCs w:val="0"/>
                <w:color w:val="000000"/>
                <w:kern w:val="2"/>
                <w:sz w:val="22"/>
                <w:szCs w:val="22"/>
                <w:highlight w:val="none"/>
                <w:u w:val="none"/>
                <w:lang w:val="en-US" w:eastAsia="zh-CN" w:bidi="ar-SA"/>
              </w:rPr>
            </w:pPr>
            <w:r>
              <w:rPr>
                <w:rFonts w:hint="default" w:ascii="Times New Roman" w:hAnsi="Times New Roman" w:eastAsia="仿宋" w:cs="Times New Roman"/>
                <w:color w:val="auto"/>
                <w:sz w:val="21"/>
                <w:szCs w:val="21"/>
                <w:highlight w:val="none"/>
                <w:lang w:val="en-US" w:eastAsia="zh-CN"/>
              </w:rPr>
              <w:t>沙地</w:t>
            </w:r>
          </w:p>
        </w:tc>
        <w:tc>
          <w:tcPr>
            <w:tcW w:w="889" w:type="dxa"/>
            <w:gridSpan w:val="2"/>
            <w:tcBorders>
              <w:tl2br w:val="nil"/>
              <w:tr2bl w:val="nil"/>
            </w:tcBorders>
            <w:vAlign w:val="center"/>
          </w:tcPr>
          <w:p>
            <w:pPr>
              <w:pStyle w:val="40"/>
              <w:ind w:firstLine="0" w:firstLineChars="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sz w:val="21"/>
                <w:szCs w:val="21"/>
                <w:highlight w:val="none"/>
                <w:lang w:val="en-US" w:eastAsia="zh-CN"/>
              </w:rPr>
              <w:t>2.4296</w:t>
            </w:r>
          </w:p>
        </w:tc>
        <w:tc>
          <w:tcPr>
            <w:tcW w:w="808" w:type="dxa"/>
            <w:tcBorders>
              <w:tl2br w:val="nil"/>
              <w:tr2bl w:val="nil"/>
            </w:tcBorders>
            <w:vAlign w:val="center"/>
          </w:tcPr>
          <w:p>
            <w:pPr>
              <w:pStyle w:val="40"/>
              <w:ind w:firstLine="0" w:firstLineChars="0"/>
              <w:jc w:val="center"/>
              <w:rPr>
                <w:rFonts w:hint="default" w:ascii="Times New Roman" w:hAnsi="Times New Roman" w:eastAsia="仿宋" w:cs="Times New Roman"/>
                <w:color w:val="auto"/>
                <w:sz w:val="21"/>
                <w:szCs w:val="21"/>
                <w:highlight w:val="none"/>
              </w:rPr>
            </w:pPr>
          </w:p>
        </w:tc>
        <w:tc>
          <w:tcPr>
            <w:tcW w:w="1033" w:type="dxa"/>
            <w:gridSpan w:val="3"/>
            <w:tcBorders>
              <w:tl2br w:val="nil"/>
              <w:tr2bl w:val="nil"/>
            </w:tcBorders>
            <w:vAlign w:val="center"/>
          </w:tcPr>
          <w:p>
            <w:pPr>
              <w:pStyle w:val="40"/>
              <w:ind w:firstLine="0" w:firstLineChars="0"/>
              <w:jc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sz w:val="21"/>
                <w:szCs w:val="21"/>
                <w:highlight w:val="none"/>
                <w:lang w:val="en-US" w:eastAsia="zh-CN"/>
              </w:rPr>
              <w:t>2.4296</w:t>
            </w:r>
          </w:p>
        </w:tc>
        <w:tc>
          <w:tcPr>
            <w:tcW w:w="1244" w:type="dxa"/>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trHeight w:val="510" w:hRule="atLeast"/>
        </w:trPr>
        <w:tc>
          <w:tcPr>
            <w:tcW w:w="852" w:type="dxa"/>
            <w:vMerge w:val="continue"/>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lang w:val="en-US" w:eastAsia="zh-CN"/>
              </w:rPr>
            </w:pPr>
          </w:p>
        </w:tc>
        <w:tc>
          <w:tcPr>
            <w:tcW w:w="3708" w:type="dxa"/>
            <w:gridSpan w:val="6"/>
            <w:tcBorders>
              <w:tl2br w:val="nil"/>
              <w:tr2bl w:val="nil"/>
            </w:tcBorders>
            <w:vAlign w:val="center"/>
          </w:tcPr>
          <w:p>
            <w:pPr>
              <w:pStyle w:val="40"/>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合计</w:t>
            </w:r>
          </w:p>
        </w:tc>
        <w:tc>
          <w:tcPr>
            <w:tcW w:w="889" w:type="dxa"/>
            <w:gridSpan w:val="2"/>
            <w:tcBorders>
              <w:tl2br w:val="nil"/>
              <w:tr2bl w:val="nil"/>
            </w:tcBorders>
            <w:vAlign w:val="center"/>
          </w:tcPr>
          <w:p>
            <w:pPr>
              <w:pStyle w:val="40"/>
              <w:ind w:firstLine="0" w:firstLineChars="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2.4296</w:t>
            </w:r>
          </w:p>
        </w:tc>
        <w:tc>
          <w:tcPr>
            <w:tcW w:w="808" w:type="dxa"/>
            <w:tcBorders>
              <w:tl2br w:val="nil"/>
              <w:tr2bl w:val="nil"/>
            </w:tcBorders>
            <w:vAlign w:val="center"/>
          </w:tcPr>
          <w:p>
            <w:pPr>
              <w:pStyle w:val="40"/>
              <w:ind w:firstLine="0" w:firstLineChars="0"/>
              <w:jc w:val="center"/>
              <w:rPr>
                <w:rFonts w:hint="default" w:ascii="Times New Roman" w:hAnsi="Times New Roman" w:eastAsia="仿宋" w:cs="Times New Roman"/>
                <w:color w:val="auto"/>
                <w:sz w:val="21"/>
                <w:szCs w:val="21"/>
                <w:highlight w:val="none"/>
                <w:lang w:val="en-US" w:eastAsia="zh-CN"/>
              </w:rPr>
            </w:pPr>
          </w:p>
        </w:tc>
        <w:tc>
          <w:tcPr>
            <w:tcW w:w="1033" w:type="dxa"/>
            <w:gridSpan w:val="3"/>
            <w:tcBorders>
              <w:tl2br w:val="nil"/>
              <w:tr2bl w:val="nil"/>
            </w:tcBorders>
            <w:vAlign w:val="center"/>
          </w:tcPr>
          <w:p>
            <w:pPr>
              <w:pStyle w:val="40"/>
              <w:ind w:firstLine="0" w:firstLineChars="0"/>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2.4296</w:t>
            </w:r>
          </w:p>
        </w:tc>
        <w:tc>
          <w:tcPr>
            <w:tcW w:w="1244" w:type="dxa"/>
            <w:tcBorders>
              <w:tl2br w:val="nil"/>
              <w:tr2bl w:val="nil"/>
            </w:tcBorders>
            <w:vAlign w:val="center"/>
          </w:tcPr>
          <w:p>
            <w:pPr>
              <w:pStyle w:val="40"/>
              <w:ind w:firstLine="0" w:firstLineChars="0"/>
              <w:jc w:val="center"/>
              <w:rPr>
                <w:rFonts w:hint="default" w:ascii="Times New Roman" w:hAnsi="Times New Roman" w:eastAsia="仿宋" w:cs="Times New Roman"/>
                <w:color w:val="auto"/>
                <w:kern w:val="2"/>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trHeight w:val="510" w:hRule="atLeast"/>
        </w:trPr>
        <w:tc>
          <w:tcPr>
            <w:tcW w:w="852" w:type="dxa"/>
            <w:vMerge w:val="restart"/>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复垦责任范围内土地损毁及占用情况</w:t>
            </w:r>
          </w:p>
        </w:tc>
        <w:tc>
          <w:tcPr>
            <w:tcW w:w="1797" w:type="dxa"/>
            <w:gridSpan w:val="3"/>
            <w:vMerge w:val="restart"/>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类型</w:t>
            </w:r>
          </w:p>
        </w:tc>
        <w:tc>
          <w:tcPr>
            <w:tcW w:w="2800" w:type="dxa"/>
            <w:gridSpan w:val="5"/>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面积（hm²）</w:t>
            </w:r>
          </w:p>
        </w:tc>
        <w:tc>
          <w:tcPr>
            <w:tcW w:w="3085" w:type="dxa"/>
            <w:gridSpan w:val="5"/>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其中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trHeight w:val="510" w:hRule="atLeast"/>
        </w:trPr>
        <w:tc>
          <w:tcPr>
            <w:tcW w:w="852" w:type="dxa"/>
            <w:vMerge w:val="continue"/>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p>
        </w:tc>
        <w:tc>
          <w:tcPr>
            <w:tcW w:w="1797" w:type="dxa"/>
            <w:gridSpan w:val="3"/>
            <w:vMerge w:val="continue"/>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p>
        </w:tc>
        <w:tc>
          <w:tcPr>
            <w:tcW w:w="1911" w:type="dxa"/>
            <w:gridSpan w:val="3"/>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p>
        </w:tc>
        <w:tc>
          <w:tcPr>
            <w:tcW w:w="1993" w:type="dxa"/>
            <w:gridSpan w:val="4"/>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已损毁（hm²）</w:t>
            </w:r>
          </w:p>
        </w:tc>
        <w:tc>
          <w:tcPr>
            <w:tcW w:w="1981" w:type="dxa"/>
            <w:gridSpan w:val="3"/>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拟损毁hm²）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trHeight w:val="600" w:hRule="atLeast"/>
        </w:trPr>
        <w:tc>
          <w:tcPr>
            <w:tcW w:w="852" w:type="dxa"/>
            <w:vMerge w:val="continue"/>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p>
        </w:tc>
        <w:tc>
          <w:tcPr>
            <w:tcW w:w="628" w:type="dxa"/>
            <w:vMerge w:val="restart"/>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损毁</w:t>
            </w:r>
          </w:p>
        </w:tc>
        <w:tc>
          <w:tcPr>
            <w:tcW w:w="1169" w:type="dxa"/>
            <w:gridSpan w:val="2"/>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挖损</w:t>
            </w:r>
          </w:p>
        </w:tc>
        <w:tc>
          <w:tcPr>
            <w:tcW w:w="1911" w:type="dxa"/>
            <w:gridSpan w:val="3"/>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p>
        </w:tc>
        <w:tc>
          <w:tcPr>
            <w:tcW w:w="1993" w:type="dxa"/>
            <w:gridSpan w:val="4"/>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p>
        </w:tc>
        <w:tc>
          <w:tcPr>
            <w:tcW w:w="1981" w:type="dxa"/>
            <w:gridSpan w:val="3"/>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trHeight w:val="550" w:hRule="atLeast"/>
        </w:trPr>
        <w:tc>
          <w:tcPr>
            <w:tcW w:w="852" w:type="dxa"/>
            <w:vMerge w:val="continue"/>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p>
        </w:tc>
        <w:tc>
          <w:tcPr>
            <w:tcW w:w="628" w:type="dxa"/>
            <w:vMerge w:val="continue"/>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p>
        </w:tc>
        <w:tc>
          <w:tcPr>
            <w:tcW w:w="1169" w:type="dxa"/>
            <w:gridSpan w:val="2"/>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压占</w:t>
            </w:r>
          </w:p>
        </w:tc>
        <w:tc>
          <w:tcPr>
            <w:tcW w:w="1911" w:type="dxa"/>
            <w:gridSpan w:val="3"/>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lang w:eastAsia="zh-CN"/>
              </w:rPr>
            </w:pPr>
            <w:r>
              <w:rPr>
                <w:rFonts w:hint="eastAsia" w:ascii="Times New Roman" w:hAnsi="Times New Roman" w:eastAsia="仿宋" w:cs="Times New Roman"/>
                <w:color w:val="auto"/>
                <w:sz w:val="21"/>
                <w:szCs w:val="21"/>
                <w:highlight w:val="none"/>
                <w:lang w:val="en-US" w:eastAsia="zh-CN"/>
              </w:rPr>
              <w:t>2.4296</w:t>
            </w:r>
          </w:p>
        </w:tc>
        <w:tc>
          <w:tcPr>
            <w:tcW w:w="1993" w:type="dxa"/>
            <w:gridSpan w:val="4"/>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p>
        </w:tc>
        <w:tc>
          <w:tcPr>
            <w:tcW w:w="1981" w:type="dxa"/>
            <w:gridSpan w:val="3"/>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lang w:eastAsia="zh-CN"/>
              </w:rPr>
            </w:pPr>
            <w:r>
              <w:rPr>
                <w:rFonts w:hint="eastAsia" w:ascii="Times New Roman" w:hAnsi="Times New Roman" w:eastAsia="仿宋" w:cs="Times New Roman"/>
                <w:color w:val="auto"/>
                <w:sz w:val="21"/>
                <w:szCs w:val="21"/>
                <w:highlight w:val="none"/>
                <w:lang w:val="en-US" w:eastAsia="zh-CN"/>
              </w:rPr>
              <w:t>2.4296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trHeight w:val="510" w:hRule="atLeast"/>
        </w:trPr>
        <w:tc>
          <w:tcPr>
            <w:tcW w:w="852" w:type="dxa"/>
            <w:vMerge w:val="continue"/>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p>
        </w:tc>
        <w:tc>
          <w:tcPr>
            <w:tcW w:w="1797" w:type="dxa"/>
            <w:gridSpan w:val="3"/>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合计</w:t>
            </w:r>
          </w:p>
        </w:tc>
        <w:tc>
          <w:tcPr>
            <w:tcW w:w="1911" w:type="dxa"/>
            <w:gridSpan w:val="3"/>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lang w:eastAsia="zh-CN"/>
              </w:rPr>
            </w:pPr>
            <w:r>
              <w:rPr>
                <w:rFonts w:hint="eastAsia" w:ascii="Times New Roman" w:hAnsi="Times New Roman" w:eastAsia="仿宋" w:cs="Times New Roman"/>
                <w:color w:val="auto"/>
                <w:sz w:val="21"/>
                <w:szCs w:val="21"/>
                <w:highlight w:val="none"/>
                <w:lang w:val="en-US" w:eastAsia="zh-CN"/>
              </w:rPr>
              <w:t>2.4296</w:t>
            </w:r>
          </w:p>
        </w:tc>
        <w:tc>
          <w:tcPr>
            <w:tcW w:w="1993" w:type="dxa"/>
            <w:gridSpan w:val="4"/>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p>
        </w:tc>
        <w:tc>
          <w:tcPr>
            <w:tcW w:w="1981" w:type="dxa"/>
            <w:gridSpan w:val="3"/>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lang w:eastAsia="zh-CN"/>
              </w:rPr>
            </w:pPr>
            <w:r>
              <w:rPr>
                <w:rFonts w:hint="eastAsia" w:ascii="Times New Roman" w:hAnsi="Times New Roman" w:eastAsia="仿宋" w:cs="Times New Roman"/>
                <w:color w:val="auto"/>
                <w:sz w:val="21"/>
                <w:szCs w:val="21"/>
                <w:highlight w:val="none"/>
                <w:lang w:val="en-US" w:eastAsia="zh-CN"/>
              </w:rPr>
              <w:t>2.4296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trHeight w:val="510" w:hRule="atLeast"/>
        </w:trPr>
        <w:tc>
          <w:tcPr>
            <w:tcW w:w="852" w:type="dxa"/>
            <w:vMerge w:val="restart"/>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复垦土地面积</w:t>
            </w:r>
          </w:p>
        </w:tc>
        <w:tc>
          <w:tcPr>
            <w:tcW w:w="1797" w:type="dxa"/>
            <w:gridSpan w:val="3"/>
            <w:vMerge w:val="restart"/>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一级地类</w:t>
            </w:r>
          </w:p>
        </w:tc>
        <w:tc>
          <w:tcPr>
            <w:tcW w:w="1911" w:type="dxa"/>
            <w:gridSpan w:val="3"/>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二级地类</w:t>
            </w:r>
          </w:p>
        </w:tc>
        <w:tc>
          <w:tcPr>
            <w:tcW w:w="3974" w:type="dxa"/>
            <w:gridSpan w:val="7"/>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面积（hm²）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trHeight w:val="510" w:hRule="atLeast"/>
        </w:trPr>
        <w:tc>
          <w:tcPr>
            <w:tcW w:w="852" w:type="dxa"/>
            <w:vMerge w:val="continue"/>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p>
        </w:tc>
        <w:tc>
          <w:tcPr>
            <w:tcW w:w="1797" w:type="dxa"/>
            <w:gridSpan w:val="3"/>
            <w:vMerge w:val="continue"/>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p>
        </w:tc>
        <w:tc>
          <w:tcPr>
            <w:tcW w:w="1911" w:type="dxa"/>
            <w:gridSpan w:val="3"/>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p>
        </w:tc>
        <w:tc>
          <w:tcPr>
            <w:tcW w:w="1993" w:type="dxa"/>
            <w:gridSpan w:val="4"/>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已复垦</w:t>
            </w:r>
          </w:p>
        </w:tc>
        <w:tc>
          <w:tcPr>
            <w:tcW w:w="1981" w:type="dxa"/>
            <w:gridSpan w:val="3"/>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拟复垦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trHeight w:val="543" w:hRule="atLeast"/>
        </w:trPr>
        <w:tc>
          <w:tcPr>
            <w:tcW w:w="852" w:type="dxa"/>
            <w:vMerge w:val="continue"/>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p>
        </w:tc>
        <w:tc>
          <w:tcPr>
            <w:tcW w:w="1797" w:type="dxa"/>
            <w:gridSpan w:val="3"/>
            <w:tcBorders>
              <w:tl2br w:val="nil"/>
              <w:tr2bl w:val="nil"/>
            </w:tcBorders>
            <w:vAlign w:val="center"/>
          </w:tcPr>
          <w:p>
            <w:pPr>
              <w:pStyle w:val="40"/>
              <w:ind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其他土地</w:t>
            </w:r>
          </w:p>
        </w:tc>
        <w:tc>
          <w:tcPr>
            <w:tcW w:w="1911" w:type="dxa"/>
            <w:gridSpan w:val="3"/>
            <w:tcBorders>
              <w:tl2br w:val="nil"/>
              <w:tr2bl w:val="nil"/>
            </w:tcBorders>
            <w:vAlign w:val="center"/>
          </w:tcPr>
          <w:p>
            <w:pPr>
              <w:pStyle w:val="40"/>
              <w:ind w:firstLine="0" w:firstLineChars="0"/>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沙地</w:t>
            </w:r>
          </w:p>
        </w:tc>
        <w:tc>
          <w:tcPr>
            <w:tcW w:w="1993" w:type="dxa"/>
            <w:gridSpan w:val="4"/>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p>
        </w:tc>
        <w:tc>
          <w:tcPr>
            <w:tcW w:w="1981" w:type="dxa"/>
            <w:gridSpan w:val="3"/>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 w:cs="Times New Roman"/>
                <w:color w:val="auto"/>
                <w:kern w:val="2"/>
                <w:sz w:val="21"/>
                <w:szCs w:val="21"/>
                <w:highlight w:val="none"/>
                <w:lang w:val="en-US" w:eastAsia="zh-CN" w:bidi="ar-SA"/>
              </w:rPr>
            </w:pPr>
            <w:r>
              <w:rPr>
                <w:rFonts w:hint="eastAsia" w:ascii="Times New Roman" w:hAnsi="Times New Roman" w:eastAsia="仿宋" w:cs="Times New Roman"/>
                <w:color w:val="auto"/>
                <w:sz w:val="21"/>
                <w:szCs w:val="21"/>
                <w:highlight w:val="none"/>
                <w:lang w:val="en-US" w:eastAsia="zh-CN"/>
              </w:rPr>
              <w:t>2.4296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trHeight w:val="357" w:hRule="atLeast"/>
        </w:trPr>
        <w:tc>
          <w:tcPr>
            <w:tcW w:w="852" w:type="dxa"/>
            <w:vMerge w:val="continue"/>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p>
        </w:tc>
        <w:tc>
          <w:tcPr>
            <w:tcW w:w="3708" w:type="dxa"/>
            <w:gridSpan w:val="6"/>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合计</w:t>
            </w:r>
          </w:p>
        </w:tc>
        <w:tc>
          <w:tcPr>
            <w:tcW w:w="1993" w:type="dxa"/>
            <w:gridSpan w:val="4"/>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lang w:val="en-US" w:eastAsia="zh-CN"/>
              </w:rPr>
            </w:pPr>
          </w:p>
        </w:tc>
        <w:tc>
          <w:tcPr>
            <w:tcW w:w="1981" w:type="dxa"/>
            <w:gridSpan w:val="3"/>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lang w:eastAsia="zh-CN"/>
              </w:rPr>
            </w:pPr>
            <w:r>
              <w:rPr>
                <w:rFonts w:hint="eastAsia" w:ascii="Times New Roman" w:hAnsi="Times New Roman" w:eastAsia="仿宋" w:cs="Times New Roman"/>
                <w:color w:val="auto"/>
                <w:sz w:val="21"/>
                <w:szCs w:val="21"/>
                <w:highlight w:val="none"/>
                <w:lang w:val="en-US" w:eastAsia="zh-CN"/>
              </w:rPr>
              <w:t>2.4296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trHeight w:val="463" w:hRule="atLeast"/>
        </w:trPr>
        <w:tc>
          <w:tcPr>
            <w:tcW w:w="852" w:type="dxa"/>
            <w:vMerge w:val="continue"/>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p>
        </w:tc>
        <w:tc>
          <w:tcPr>
            <w:tcW w:w="3708" w:type="dxa"/>
            <w:gridSpan w:val="6"/>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土地复垦率（％）</w:t>
            </w:r>
          </w:p>
        </w:tc>
        <w:tc>
          <w:tcPr>
            <w:tcW w:w="3974" w:type="dxa"/>
            <w:gridSpan w:val="7"/>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trHeight w:val="510" w:hRule="atLeast"/>
        </w:trPr>
        <w:tc>
          <w:tcPr>
            <w:tcW w:w="852" w:type="dxa"/>
            <w:tcBorders>
              <w:tl2br w:val="nil"/>
              <w:tr2bl w:val="nil"/>
            </w:tcBorders>
            <w:vAlign w:val="center"/>
          </w:tcPr>
          <w:p>
            <w:pPr>
              <w:pStyle w:val="40"/>
              <w:ind w:firstLine="0" w:firstLineChars="0"/>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工作计划及主要措施</w:t>
            </w:r>
          </w:p>
        </w:tc>
        <w:tc>
          <w:tcPr>
            <w:tcW w:w="7682" w:type="dxa"/>
            <w:gridSpan w:val="13"/>
            <w:tcBorders>
              <w:tl2br w:val="nil"/>
              <w:tr2bl w:val="nil"/>
            </w:tcBorders>
            <w:vAlign w:val="center"/>
          </w:tcPr>
          <w:p>
            <w:pPr>
              <w:pStyle w:val="40"/>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1.方案摘要</w:t>
            </w:r>
          </w:p>
          <w:p>
            <w:pPr>
              <w:pStyle w:val="40"/>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w:t>
            </w:r>
            <w:r>
              <w:rPr>
                <w:rFonts w:hint="default" w:ascii="Times New Roman" w:hAnsi="Times New Roman" w:eastAsia="仿宋" w:cs="Times New Roman"/>
                <w:color w:val="auto"/>
                <w:sz w:val="21"/>
                <w:szCs w:val="21"/>
                <w:highlight w:val="none"/>
                <w:lang w:val="en-US" w:eastAsia="zh-CN"/>
              </w:rPr>
              <w:t>1</w:t>
            </w:r>
            <w:r>
              <w:rPr>
                <w:rFonts w:hint="default" w:ascii="Times New Roman" w:hAnsi="Times New Roman" w:eastAsia="仿宋" w:cs="Times New Roman"/>
                <w:color w:val="auto"/>
                <w:sz w:val="21"/>
                <w:szCs w:val="21"/>
                <w:highlight w:val="none"/>
                <w:lang w:eastAsia="zh-CN"/>
              </w:rPr>
              <w:t>）服务年限</w:t>
            </w:r>
          </w:p>
          <w:p>
            <w:pPr>
              <w:keepNext w:val="0"/>
              <w:keepLines w:val="0"/>
              <w:widowControl/>
              <w:suppressLineNumbers w:val="0"/>
              <w:ind w:firstLine="420" w:firstLineChars="200"/>
              <w:jc w:val="left"/>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项</w:t>
            </w:r>
            <w:r>
              <w:rPr>
                <w:rFonts w:hint="default" w:ascii="Times New Roman" w:hAnsi="Times New Roman" w:eastAsia="仿宋" w:cs="Times New Roman"/>
                <w:color w:val="auto"/>
                <w:sz w:val="21"/>
                <w:szCs w:val="21"/>
                <w:highlight w:val="none"/>
                <w:lang w:val="en-US" w:eastAsia="zh-CN"/>
              </w:rPr>
              <w:t>目于</w:t>
            </w:r>
            <w:r>
              <w:rPr>
                <w:rFonts w:hint="eastAsia" w:ascii="Times New Roman" w:hAnsi="Times New Roman" w:eastAsia="仿宋" w:cs="Times New Roman"/>
                <w:color w:val="auto"/>
                <w:sz w:val="21"/>
                <w:szCs w:val="21"/>
                <w:highlight w:val="none"/>
                <w:lang w:val="en-US" w:eastAsia="zh-CN"/>
              </w:rPr>
              <w:t>2023年8月</w:t>
            </w:r>
            <w:r>
              <w:rPr>
                <w:rFonts w:hint="default" w:ascii="Times New Roman" w:hAnsi="Times New Roman" w:eastAsia="仿宋" w:cs="Times New Roman"/>
                <w:color w:val="auto"/>
                <w:sz w:val="21"/>
                <w:szCs w:val="21"/>
                <w:highlight w:val="none"/>
                <w:lang w:val="en-US" w:eastAsia="zh-CN"/>
              </w:rPr>
              <w:t>-</w:t>
            </w:r>
            <w:r>
              <w:rPr>
                <w:rFonts w:hint="eastAsia" w:ascii="Times New Roman" w:hAnsi="Times New Roman" w:eastAsia="仿宋" w:cs="Times New Roman"/>
                <w:color w:val="auto"/>
                <w:sz w:val="21"/>
                <w:szCs w:val="21"/>
                <w:highlight w:val="none"/>
                <w:lang w:val="en-US" w:eastAsia="zh-CN"/>
              </w:rPr>
              <w:t>2025年8月</w:t>
            </w:r>
            <w:r>
              <w:rPr>
                <w:rFonts w:hint="default" w:ascii="Times New Roman" w:hAnsi="Times New Roman" w:eastAsia="仿宋" w:cs="Times New Roman"/>
                <w:color w:val="auto"/>
                <w:sz w:val="21"/>
                <w:szCs w:val="21"/>
                <w:highlight w:val="none"/>
                <w:lang w:val="en-US" w:eastAsia="zh-CN"/>
              </w:rPr>
              <w:t>建设，建设工期</w:t>
            </w:r>
            <w:r>
              <w:rPr>
                <w:rFonts w:hint="eastAsia" w:ascii="Times New Roman" w:hAnsi="Times New Roman" w:eastAsia="仿宋" w:cs="Times New Roman"/>
                <w:color w:val="auto"/>
                <w:sz w:val="21"/>
                <w:szCs w:val="21"/>
                <w:highlight w:val="none"/>
                <w:lang w:val="en-US" w:eastAsia="zh-CN"/>
              </w:rPr>
              <w:t>2年</w:t>
            </w:r>
            <w:r>
              <w:rPr>
                <w:rFonts w:hint="default" w:ascii="Times New Roman" w:hAnsi="Times New Roman" w:eastAsia="仿宋" w:cs="Times New Roman"/>
                <w:color w:val="auto"/>
                <w:sz w:val="21"/>
                <w:szCs w:val="21"/>
                <w:highlight w:val="none"/>
                <w:lang w:val="en-US" w:eastAsia="zh-CN"/>
              </w:rPr>
              <w:t>，工程建设期内</w:t>
            </w:r>
            <w:r>
              <w:rPr>
                <w:rFonts w:hint="default" w:ascii="Times New Roman" w:hAnsi="Times New Roman" w:eastAsia="仿宋" w:cs="Times New Roman"/>
                <w:color w:val="auto"/>
                <w:kern w:val="2"/>
                <w:sz w:val="21"/>
                <w:szCs w:val="21"/>
                <w:highlight w:val="none"/>
                <w:lang w:val="en-US" w:eastAsia="zh-CN" w:bidi="ar-SA"/>
              </w:rPr>
              <w:t>采</w:t>
            </w:r>
            <w:r>
              <w:rPr>
                <w:rFonts w:hint="default" w:ascii="Times New Roman" w:hAnsi="Times New Roman" w:eastAsia="仿宋" w:cs="Times New Roman"/>
                <w:color w:val="auto"/>
                <w:sz w:val="21"/>
                <w:szCs w:val="21"/>
                <w:highlight w:val="none"/>
                <w:lang w:eastAsia="zh-CN"/>
              </w:rPr>
              <w:t>取边施工边复垦方式完成所有临时用地复垦工作，加之复垦工作存在一定的滞后性，将复垦施工期确定为工程建设期后1个月，故复垦施工期为</w:t>
            </w:r>
            <w:r>
              <w:rPr>
                <w:rFonts w:hint="eastAsia" w:ascii="Times New Roman" w:hAnsi="Times New Roman" w:eastAsia="仿宋" w:cs="Times New Roman"/>
                <w:color w:val="auto"/>
                <w:sz w:val="21"/>
                <w:szCs w:val="21"/>
                <w:highlight w:val="none"/>
                <w:lang w:val="en-US" w:eastAsia="zh-CN"/>
              </w:rPr>
              <w:t>2023年8月至2025年9月</w:t>
            </w:r>
            <w:r>
              <w:rPr>
                <w:rFonts w:hint="default" w:ascii="Times New Roman" w:hAnsi="Times New Roman" w:eastAsia="仿宋" w:cs="Times New Roman"/>
                <w:color w:val="auto"/>
                <w:sz w:val="21"/>
                <w:szCs w:val="21"/>
                <w:highlight w:val="none"/>
                <w:lang w:eastAsia="zh-CN"/>
              </w:rPr>
              <w:t>。</w:t>
            </w:r>
            <w:r>
              <w:rPr>
                <w:rFonts w:hint="eastAsia" w:ascii="Times New Roman" w:hAnsi="Times New Roman" w:eastAsia="仿宋" w:cs="Times New Roman"/>
                <w:color w:val="auto"/>
                <w:kern w:val="2"/>
                <w:sz w:val="21"/>
                <w:szCs w:val="21"/>
                <w:highlight w:val="none"/>
                <w:lang w:val="en-US" w:eastAsia="zh-CN" w:bidi="ar-SA"/>
              </w:rPr>
              <w:t>经调查，项目占用临时用地不需要后期管护</w:t>
            </w:r>
            <w:r>
              <w:rPr>
                <w:rFonts w:hint="default" w:ascii="Times New Roman" w:hAnsi="Times New Roman" w:eastAsia="仿宋" w:cs="Times New Roman"/>
                <w:color w:val="auto"/>
                <w:kern w:val="2"/>
                <w:sz w:val="21"/>
                <w:szCs w:val="21"/>
                <w:highlight w:val="none"/>
                <w:lang w:val="en-US" w:eastAsia="zh-CN" w:bidi="ar-SA"/>
              </w:rPr>
              <w:t>，最终确定本复垦方案的服务年限为</w:t>
            </w:r>
            <w:r>
              <w:rPr>
                <w:rFonts w:hint="eastAsia" w:ascii="Times New Roman" w:hAnsi="Times New Roman" w:eastAsia="仿宋" w:cs="Times New Roman"/>
                <w:color w:val="auto"/>
                <w:sz w:val="21"/>
                <w:szCs w:val="21"/>
                <w:highlight w:val="none"/>
                <w:lang w:val="en-US" w:eastAsia="zh-CN"/>
              </w:rPr>
              <w:t>2023年8月-2025年9月</w:t>
            </w:r>
            <w:r>
              <w:rPr>
                <w:rFonts w:hint="default" w:ascii="Times New Roman" w:hAnsi="Times New Roman" w:eastAsia="仿宋" w:cs="Times New Roman"/>
                <w:color w:val="auto"/>
                <w:kern w:val="2"/>
                <w:sz w:val="21"/>
                <w:szCs w:val="21"/>
                <w:highlight w:val="none"/>
                <w:lang w:val="en-US" w:eastAsia="zh-CN" w:bidi="ar-SA"/>
              </w:rPr>
              <w:t>，服务期限为</w:t>
            </w:r>
            <w:r>
              <w:rPr>
                <w:rFonts w:hint="eastAsia" w:ascii="Times New Roman" w:hAnsi="Times New Roman" w:eastAsia="仿宋" w:cs="Times New Roman"/>
                <w:color w:val="auto"/>
                <w:kern w:val="2"/>
                <w:sz w:val="21"/>
                <w:szCs w:val="21"/>
                <w:highlight w:val="none"/>
                <w:lang w:val="en-US" w:eastAsia="zh-CN" w:bidi="ar-SA"/>
              </w:rPr>
              <w:t>25个月</w:t>
            </w:r>
            <w:r>
              <w:rPr>
                <w:rFonts w:hint="default" w:ascii="Times New Roman" w:hAnsi="Times New Roman" w:eastAsia="仿宋" w:cs="Times New Roman"/>
                <w:color w:val="auto"/>
                <w:kern w:val="2"/>
                <w:sz w:val="21"/>
                <w:szCs w:val="21"/>
                <w:highlight w:val="none"/>
                <w:lang w:val="en-US" w:eastAsia="zh-CN" w:bidi="ar-SA"/>
              </w:rPr>
              <w:t>。</w:t>
            </w:r>
            <w:r>
              <w:rPr>
                <w:rFonts w:hint="default" w:ascii="Times New Roman" w:hAnsi="Times New Roman" w:eastAsia="仿宋" w:cs="Times New Roman"/>
                <w:color w:val="auto"/>
                <w:sz w:val="21"/>
                <w:szCs w:val="21"/>
                <w:highlight w:val="none"/>
                <w:lang w:eastAsia="zh-CN"/>
              </w:rPr>
              <w:t>若出现特殊情况项目提前或延后完工，复垦方案的服务年限随之提前或延后。</w:t>
            </w:r>
          </w:p>
          <w:p>
            <w:pPr>
              <w:pStyle w:val="40"/>
              <w:keepNext w:val="0"/>
              <w:keepLines w:val="0"/>
              <w:pageBreakBefore w:val="0"/>
              <w:widowControl/>
              <w:numPr>
                <w:ilvl w:val="0"/>
                <w:numId w:val="3"/>
              </w:numPr>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复垦区及复垦责任范围</w:t>
            </w:r>
          </w:p>
          <w:p>
            <w:pPr>
              <w:pStyle w:val="40"/>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sz w:val="21"/>
                <w:szCs w:val="21"/>
                <w:highlight w:val="none"/>
                <w:lang w:eastAsia="zh-CN"/>
              </w:rPr>
              <w:t>本方案</w:t>
            </w:r>
            <w:r>
              <w:rPr>
                <w:rFonts w:hint="default" w:ascii="Times New Roman" w:hAnsi="Times New Roman" w:eastAsia="仿宋" w:cs="Times New Roman"/>
                <w:color w:val="auto"/>
                <w:sz w:val="21"/>
                <w:szCs w:val="21"/>
                <w:highlight w:val="none"/>
                <w:lang w:eastAsia="zh-CN"/>
              </w:rPr>
              <w:t>临时用地面积为</w:t>
            </w:r>
            <w:r>
              <w:rPr>
                <w:rFonts w:hint="eastAsia" w:ascii="Times New Roman" w:hAnsi="Times New Roman" w:eastAsia="仿宋" w:cs="Times New Roman"/>
                <w:color w:val="auto"/>
                <w:sz w:val="21"/>
                <w:szCs w:val="21"/>
                <w:highlight w:val="none"/>
                <w:lang w:val="en-US" w:eastAsia="zh-CN"/>
              </w:rPr>
              <w:t>2.4296</w:t>
            </w:r>
            <w:r>
              <w:rPr>
                <w:rFonts w:hint="default" w:ascii="Times New Roman" w:hAnsi="Times New Roman" w:eastAsia="仿宋" w:cs="Times New Roman"/>
                <w:color w:val="auto"/>
                <w:sz w:val="21"/>
                <w:szCs w:val="21"/>
                <w:highlight w:val="none"/>
                <w:lang w:eastAsia="zh-CN"/>
              </w:rPr>
              <w:t>hm²，复垦责任范围面积为损毁</w:t>
            </w:r>
            <w:r>
              <w:rPr>
                <w:rFonts w:hint="default" w:ascii="Times New Roman" w:hAnsi="Times New Roman" w:eastAsia="仿宋" w:cs="Times New Roman"/>
                <w:color w:val="auto"/>
                <w:sz w:val="21"/>
                <w:szCs w:val="21"/>
                <w:highlight w:val="none"/>
                <w:lang w:val="en-US" w:eastAsia="zh-CN"/>
              </w:rPr>
              <w:t>临时</w:t>
            </w:r>
            <w:r>
              <w:rPr>
                <w:rFonts w:hint="default" w:ascii="Times New Roman" w:hAnsi="Times New Roman" w:eastAsia="仿宋" w:cs="Times New Roman"/>
                <w:color w:val="auto"/>
                <w:sz w:val="21"/>
                <w:szCs w:val="21"/>
                <w:highlight w:val="none"/>
                <w:lang w:eastAsia="zh-CN"/>
              </w:rPr>
              <w:t>土地面积</w:t>
            </w:r>
            <w:r>
              <w:rPr>
                <w:rFonts w:hint="eastAsia" w:ascii="Times New Roman" w:hAnsi="Times New Roman" w:eastAsia="仿宋" w:cs="Times New Roman"/>
                <w:color w:val="auto"/>
                <w:sz w:val="21"/>
                <w:szCs w:val="21"/>
                <w:highlight w:val="none"/>
                <w:lang w:val="en-US" w:eastAsia="zh-CN"/>
              </w:rPr>
              <w:t>2.4296</w:t>
            </w:r>
            <w:r>
              <w:rPr>
                <w:rFonts w:hint="default" w:ascii="Times New Roman" w:hAnsi="Times New Roman" w:eastAsia="仿宋" w:cs="Times New Roman"/>
                <w:color w:val="auto"/>
                <w:sz w:val="21"/>
                <w:szCs w:val="21"/>
                <w:highlight w:val="none"/>
                <w:lang w:eastAsia="zh-CN"/>
              </w:rPr>
              <w:t>hm²，</w:t>
            </w:r>
            <w:r>
              <w:rPr>
                <w:rFonts w:hint="default" w:ascii="Times New Roman" w:hAnsi="Times New Roman" w:eastAsia="仿宋" w:cs="Times New Roman"/>
                <w:color w:val="auto"/>
                <w:sz w:val="21"/>
                <w:szCs w:val="21"/>
                <w:highlight w:val="none"/>
                <w:lang w:val="en-US" w:eastAsia="zh-CN"/>
              </w:rPr>
              <w:t>全部为国有用地。</w:t>
            </w:r>
          </w:p>
          <w:p>
            <w:pPr>
              <w:pStyle w:val="40"/>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w:t>
            </w:r>
            <w:r>
              <w:rPr>
                <w:rFonts w:hint="default" w:ascii="Times New Roman" w:hAnsi="Times New Roman" w:eastAsia="仿宋" w:cs="Times New Roman"/>
                <w:color w:val="auto"/>
                <w:sz w:val="21"/>
                <w:szCs w:val="21"/>
                <w:highlight w:val="none"/>
                <w:lang w:val="en-US" w:eastAsia="zh-CN"/>
              </w:rPr>
              <w:t>3）项目区</w:t>
            </w:r>
            <w:r>
              <w:rPr>
                <w:rFonts w:hint="default" w:ascii="Times New Roman" w:hAnsi="Times New Roman" w:eastAsia="仿宋" w:cs="Times New Roman"/>
                <w:color w:val="auto"/>
                <w:sz w:val="21"/>
                <w:szCs w:val="21"/>
                <w:highlight w:val="none"/>
                <w:lang w:eastAsia="zh-CN"/>
              </w:rPr>
              <w:t>损毁</w:t>
            </w:r>
            <w:r>
              <w:rPr>
                <w:rFonts w:hint="default" w:ascii="Times New Roman" w:hAnsi="Times New Roman" w:eastAsia="仿宋" w:cs="Times New Roman"/>
                <w:color w:val="auto"/>
                <w:sz w:val="21"/>
                <w:szCs w:val="21"/>
                <w:highlight w:val="none"/>
                <w:lang w:val="en-US" w:eastAsia="zh-CN"/>
              </w:rPr>
              <w:t>土地</w:t>
            </w:r>
            <w:r>
              <w:rPr>
                <w:rFonts w:hint="default" w:ascii="Times New Roman" w:hAnsi="Times New Roman" w:eastAsia="仿宋" w:cs="Times New Roman"/>
                <w:color w:val="auto"/>
                <w:sz w:val="21"/>
                <w:szCs w:val="21"/>
                <w:highlight w:val="none"/>
                <w:lang w:eastAsia="zh-CN"/>
              </w:rPr>
              <w:t>情况</w:t>
            </w:r>
          </w:p>
          <w:p>
            <w:pPr>
              <w:pStyle w:val="40"/>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en-US" w:eastAsia="zh-CN"/>
              </w:rPr>
              <w:t>本次临时用地</w:t>
            </w:r>
            <w:r>
              <w:rPr>
                <w:rFonts w:hint="eastAsia" w:ascii="Times New Roman" w:hAnsi="Times New Roman" w:eastAsia="仿宋" w:cs="Times New Roman"/>
                <w:color w:val="auto"/>
                <w:sz w:val="21"/>
                <w:szCs w:val="21"/>
                <w:highlight w:val="none"/>
                <w:lang w:val="en-US" w:eastAsia="zh-CN"/>
              </w:rPr>
              <w:t>拟损毁</w:t>
            </w:r>
            <w:r>
              <w:rPr>
                <w:rFonts w:hint="default" w:ascii="Times New Roman" w:hAnsi="Times New Roman" w:eastAsia="仿宋" w:cs="Times New Roman"/>
                <w:color w:val="auto"/>
                <w:sz w:val="21"/>
                <w:szCs w:val="21"/>
                <w:highlight w:val="none"/>
                <w:lang w:val="en-US" w:eastAsia="zh-CN"/>
              </w:rPr>
              <w:t>，均为临时性</w:t>
            </w:r>
            <w:r>
              <w:rPr>
                <w:rFonts w:hint="eastAsia" w:ascii="Times New Roman" w:hAnsi="Times New Roman" w:eastAsia="仿宋" w:cs="Times New Roman"/>
                <w:color w:val="auto"/>
                <w:sz w:val="21"/>
                <w:szCs w:val="21"/>
                <w:highlight w:val="none"/>
                <w:lang w:val="en-US" w:eastAsia="zh-CN"/>
              </w:rPr>
              <w:t>拟损毁</w:t>
            </w:r>
            <w:r>
              <w:rPr>
                <w:rFonts w:hint="default" w:ascii="Times New Roman" w:hAnsi="Times New Roman" w:eastAsia="仿宋" w:cs="Times New Roman"/>
                <w:color w:val="auto"/>
                <w:sz w:val="21"/>
                <w:szCs w:val="21"/>
                <w:highlight w:val="none"/>
                <w:lang w:val="en-US" w:eastAsia="zh-CN"/>
              </w:rPr>
              <w:t>土地，土地的损毁主要是</w:t>
            </w:r>
            <w:r>
              <w:rPr>
                <w:rFonts w:hint="eastAsia" w:ascii="Times New Roman" w:hAnsi="Times New Roman" w:eastAsia="仿宋" w:cs="Times New Roman"/>
                <w:color w:val="auto"/>
                <w:sz w:val="21"/>
                <w:szCs w:val="21"/>
                <w:highlight w:val="none"/>
                <w:lang w:val="en-US" w:eastAsia="zh-CN"/>
              </w:rPr>
              <w:t>施工便道建设</w:t>
            </w:r>
            <w:r>
              <w:rPr>
                <w:rFonts w:hint="default" w:ascii="Times New Roman" w:hAnsi="Times New Roman" w:eastAsia="仿宋" w:cs="Times New Roman"/>
                <w:color w:val="auto"/>
                <w:sz w:val="21"/>
                <w:szCs w:val="21"/>
                <w:highlight w:val="none"/>
                <w:lang w:val="en-US" w:eastAsia="zh-CN"/>
              </w:rPr>
              <w:t>对土地的损毁，土地损毁形式主要为</w:t>
            </w:r>
            <w:r>
              <w:rPr>
                <w:rFonts w:hint="eastAsia" w:ascii="Times New Roman" w:hAnsi="Times New Roman" w:eastAsia="仿宋" w:cs="Times New Roman"/>
                <w:color w:val="auto"/>
                <w:sz w:val="21"/>
                <w:szCs w:val="21"/>
                <w:highlight w:val="none"/>
                <w:lang w:val="en-US" w:eastAsia="zh-CN"/>
              </w:rPr>
              <w:t>压占</w:t>
            </w:r>
            <w:r>
              <w:rPr>
                <w:rFonts w:hint="default" w:ascii="Times New Roman" w:hAnsi="Times New Roman" w:eastAsia="仿宋" w:cs="Times New Roman"/>
                <w:color w:val="auto"/>
                <w:sz w:val="21"/>
                <w:szCs w:val="21"/>
                <w:highlight w:val="none"/>
                <w:lang w:val="en-US" w:eastAsia="zh-CN"/>
              </w:rPr>
              <w:t>，损毁前地类为</w:t>
            </w:r>
            <w:r>
              <w:rPr>
                <w:rFonts w:hint="eastAsia" w:ascii="Times New Roman" w:hAnsi="Times New Roman" w:eastAsia="仿宋" w:cs="Times New Roman"/>
                <w:color w:val="auto"/>
                <w:kern w:val="2"/>
                <w:sz w:val="21"/>
                <w:szCs w:val="21"/>
                <w:highlight w:val="none"/>
                <w:lang w:val="en-US" w:eastAsia="zh-CN" w:bidi="ar-SA"/>
              </w:rPr>
              <w:t>沙地</w:t>
            </w:r>
            <w:r>
              <w:rPr>
                <w:rFonts w:hint="default" w:ascii="Times New Roman" w:hAnsi="Times New Roman" w:eastAsia="仿宋" w:cs="Times New Roman"/>
                <w:color w:val="auto"/>
                <w:sz w:val="21"/>
                <w:szCs w:val="21"/>
                <w:highlight w:val="none"/>
                <w:lang w:val="en-US" w:eastAsia="zh-CN"/>
              </w:rPr>
              <w:t>，</w:t>
            </w:r>
            <w:r>
              <w:rPr>
                <w:rFonts w:hint="eastAsia" w:ascii="Times New Roman" w:hAnsi="Times New Roman" w:eastAsia="仿宋" w:cs="Times New Roman"/>
                <w:color w:val="auto"/>
                <w:sz w:val="21"/>
                <w:szCs w:val="21"/>
                <w:highlight w:val="none"/>
                <w:lang w:val="en-US" w:eastAsia="zh-CN"/>
              </w:rPr>
              <w:t>面积2.4296hm²</w:t>
            </w:r>
            <w:r>
              <w:rPr>
                <w:rFonts w:hint="default" w:ascii="Times New Roman" w:hAnsi="Times New Roman" w:eastAsia="仿宋" w:cs="Times New Roman"/>
                <w:color w:val="auto"/>
                <w:sz w:val="21"/>
                <w:szCs w:val="21"/>
                <w:highlight w:val="none"/>
                <w:lang w:eastAsia="zh-CN"/>
              </w:rPr>
              <w:t>。</w:t>
            </w:r>
          </w:p>
          <w:p>
            <w:pPr>
              <w:pStyle w:val="40"/>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w:t>
            </w:r>
            <w:r>
              <w:rPr>
                <w:rFonts w:hint="default" w:ascii="Times New Roman" w:hAnsi="Times New Roman" w:eastAsia="仿宋" w:cs="Times New Roman"/>
                <w:color w:val="auto"/>
                <w:sz w:val="21"/>
                <w:szCs w:val="21"/>
                <w:highlight w:val="none"/>
                <w:lang w:val="en-US" w:eastAsia="zh-CN"/>
              </w:rPr>
              <w:t>4</w:t>
            </w:r>
            <w:r>
              <w:rPr>
                <w:rFonts w:hint="default" w:ascii="Times New Roman" w:hAnsi="Times New Roman" w:eastAsia="仿宋" w:cs="Times New Roman"/>
                <w:color w:val="auto"/>
                <w:sz w:val="21"/>
                <w:szCs w:val="21"/>
                <w:highlight w:val="none"/>
                <w:lang w:eastAsia="zh-CN"/>
              </w:rPr>
              <w:t>）土地复垦目标</w:t>
            </w:r>
          </w:p>
          <w:p>
            <w:pPr>
              <w:pStyle w:val="40"/>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val="en-US" w:eastAsia="zh-CN"/>
              </w:rPr>
              <w:t>本方案复垦责任范围</w:t>
            </w:r>
            <w:r>
              <w:rPr>
                <w:rFonts w:hint="eastAsia" w:ascii="Times New Roman" w:hAnsi="Times New Roman" w:eastAsia="仿宋" w:cs="Times New Roman"/>
                <w:i w:val="0"/>
                <w:iCs w:val="0"/>
                <w:color w:val="auto"/>
                <w:kern w:val="0"/>
                <w:sz w:val="21"/>
                <w:szCs w:val="21"/>
                <w:highlight w:val="none"/>
                <w:u w:val="none"/>
                <w:lang w:val="en-US" w:eastAsia="zh-CN" w:bidi="ar"/>
              </w:rPr>
              <w:t>2.4296</w:t>
            </w:r>
            <w:r>
              <w:rPr>
                <w:rFonts w:hint="default" w:ascii="Times New Roman" w:hAnsi="Times New Roman" w:eastAsia="仿宋" w:cs="Times New Roman"/>
                <w:color w:val="auto"/>
                <w:sz w:val="21"/>
                <w:szCs w:val="21"/>
                <w:highlight w:val="none"/>
                <w:lang w:eastAsia="zh-CN"/>
              </w:rPr>
              <w:t>hm²，</w:t>
            </w:r>
            <w:r>
              <w:rPr>
                <w:rFonts w:hint="eastAsia" w:ascii="Times New Roman" w:hAnsi="Times New Roman" w:eastAsia="仿宋" w:cs="Times New Roman"/>
                <w:color w:val="auto"/>
                <w:sz w:val="21"/>
                <w:szCs w:val="21"/>
                <w:highlight w:val="none"/>
                <w:lang w:val="en-US" w:eastAsia="zh-CN"/>
              </w:rPr>
              <w:t>全部复垦为沙地</w:t>
            </w:r>
            <w:r>
              <w:rPr>
                <w:rFonts w:hint="default" w:ascii="Times New Roman" w:hAnsi="Times New Roman" w:eastAsia="仿宋" w:cs="Times New Roman"/>
                <w:color w:val="auto"/>
                <w:sz w:val="21"/>
                <w:szCs w:val="21"/>
                <w:highlight w:val="none"/>
                <w:lang w:eastAsia="zh-CN"/>
              </w:rPr>
              <w:t>，土地复垦率为100%。</w:t>
            </w:r>
          </w:p>
          <w:p>
            <w:pPr>
              <w:pStyle w:val="40"/>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仿宋" w:cs="Times New Roman"/>
                <w:color w:val="auto"/>
                <w:sz w:val="21"/>
                <w:szCs w:val="21"/>
                <w:highlight w:val="none"/>
                <w:lang w:eastAsia="zh-CN"/>
              </w:rPr>
            </w:pPr>
            <w:r>
              <w:rPr>
                <w:rFonts w:hint="default" w:ascii="Times New Roman" w:hAnsi="Times New Roman" w:eastAsia="仿宋" w:cs="Times New Roman"/>
                <w:color w:val="auto"/>
                <w:sz w:val="21"/>
                <w:szCs w:val="21"/>
                <w:highlight w:val="none"/>
                <w:lang w:eastAsia="zh-CN"/>
              </w:rPr>
              <w:t>（</w:t>
            </w:r>
            <w:r>
              <w:rPr>
                <w:rFonts w:hint="default" w:ascii="Times New Roman" w:hAnsi="Times New Roman" w:eastAsia="仿宋" w:cs="Times New Roman"/>
                <w:color w:val="auto"/>
                <w:sz w:val="21"/>
                <w:szCs w:val="21"/>
                <w:highlight w:val="none"/>
                <w:lang w:val="en-US" w:eastAsia="zh-CN"/>
              </w:rPr>
              <w:t>5</w:t>
            </w:r>
            <w:r>
              <w:rPr>
                <w:rFonts w:hint="default" w:ascii="Times New Roman" w:hAnsi="Times New Roman" w:eastAsia="仿宋" w:cs="Times New Roman"/>
                <w:color w:val="auto"/>
                <w:sz w:val="21"/>
                <w:szCs w:val="21"/>
                <w:highlight w:val="none"/>
                <w:lang w:eastAsia="zh-CN"/>
              </w:rPr>
              <w:t>）复垦投资情况</w:t>
            </w:r>
          </w:p>
          <w:p>
            <w:pPr>
              <w:pStyle w:val="40"/>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eastAsia="zh-CN"/>
              </w:rPr>
              <w:t>本项目土地复垦静态总投资</w:t>
            </w:r>
            <w:r>
              <w:rPr>
                <w:rFonts w:hint="eastAsia" w:ascii="Times New Roman" w:hAnsi="Times New Roman" w:eastAsia="仿宋" w:cs="Times New Roman"/>
                <w:color w:val="auto"/>
                <w:sz w:val="21"/>
                <w:szCs w:val="21"/>
                <w:highlight w:val="none"/>
                <w:lang w:val="en-US" w:eastAsia="zh-CN"/>
              </w:rPr>
              <w:t>10.78</w:t>
            </w:r>
            <w:r>
              <w:rPr>
                <w:rFonts w:hint="default" w:ascii="Times New Roman" w:hAnsi="Times New Roman" w:eastAsia="仿宋" w:cs="Times New Roman"/>
                <w:color w:val="auto"/>
                <w:sz w:val="21"/>
                <w:szCs w:val="21"/>
                <w:highlight w:val="none"/>
                <w:lang w:eastAsia="zh-CN"/>
              </w:rPr>
              <w:t>万元。其中：工程施工费为</w:t>
            </w:r>
            <w:r>
              <w:rPr>
                <w:rFonts w:hint="eastAsia" w:ascii="Times New Roman" w:hAnsi="Times New Roman" w:eastAsia="仿宋" w:cs="Times New Roman"/>
                <w:color w:val="auto"/>
                <w:sz w:val="21"/>
                <w:szCs w:val="21"/>
                <w:highlight w:val="none"/>
                <w:lang w:val="en-US" w:eastAsia="zh-CN"/>
              </w:rPr>
              <w:t>10.47</w:t>
            </w:r>
            <w:r>
              <w:rPr>
                <w:rFonts w:hint="default" w:ascii="Times New Roman" w:hAnsi="Times New Roman" w:eastAsia="仿宋" w:cs="Times New Roman"/>
                <w:color w:val="auto"/>
                <w:sz w:val="21"/>
                <w:szCs w:val="21"/>
                <w:highlight w:val="none"/>
                <w:lang w:eastAsia="zh-CN"/>
              </w:rPr>
              <w:t>万元，</w:t>
            </w:r>
            <w:r>
              <w:rPr>
                <w:rFonts w:hint="default" w:ascii="Times New Roman" w:hAnsi="Times New Roman" w:eastAsia="仿宋" w:cs="Times New Roman"/>
                <w:color w:val="auto"/>
                <w:sz w:val="21"/>
                <w:szCs w:val="21"/>
                <w:highlight w:val="none"/>
                <w:lang w:val="en-US" w:eastAsia="zh-CN"/>
              </w:rPr>
              <w:t>占总投资的</w:t>
            </w:r>
            <w:r>
              <w:rPr>
                <w:rFonts w:hint="eastAsia" w:ascii="Times New Roman" w:hAnsi="Times New Roman" w:eastAsia="仿宋" w:cs="Times New Roman"/>
                <w:color w:val="auto"/>
                <w:sz w:val="21"/>
                <w:szCs w:val="21"/>
                <w:highlight w:val="none"/>
                <w:lang w:val="en-US" w:eastAsia="zh-CN"/>
              </w:rPr>
              <w:t>97.09%</w:t>
            </w:r>
            <w:r>
              <w:rPr>
                <w:rFonts w:hint="default" w:ascii="Times New Roman" w:hAnsi="Times New Roman" w:eastAsia="仿宋" w:cs="Times New Roman"/>
                <w:color w:val="auto"/>
                <w:sz w:val="21"/>
                <w:szCs w:val="21"/>
                <w:highlight w:val="none"/>
                <w:lang w:val="en-US" w:eastAsia="zh-CN"/>
              </w:rPr>
              <w:t>；预备费</w:t>
            </w:r>
            <w:r>
              <w:rPr>
                <w:rFonts w:hint="eastAsia" w:ascii="Times New Roman" w:hAnsi="Times New Roman" w:eastAsia="仿宋" w:cs="Times New Roman"/>
                <w:color w:val="auto"/>
                <w:sz w:val="21"/>
                <w:szCs w:val="21"/>
                <w:highlight w:val="none"/>
                <w:lang w:val="en-US" w:eastAsia="zh-CN"/>
              </w:rPr>
              <w:t>0.31</w:t>
            </w:r>
            <w:r>
              <w:rPr>
                <w:rFonts w:hint="default" w:ascii="Times New Roman" w:hAnsi="Times New Roman" w:eastAsia="仿宋" w:cs="Times New Roman"/>
                <w:color w:val="auto"/>
                <w:sz w:val="21"/>
                <w:szCs w:val="21"/>
                <w:highlight w:val="none"/>
                <w:lang w:val="en-US" w:eastAsia="zh-CN"/>
              </w:rPr>
              <w:t>万元，占静态总投资</w:t>
            </w:r>
            <w:r>
              <w:rPr>
                <w:rFonts w:hint="eastAsia" w:ascii="Times New Roman" w:hAnsi="Times New Roman" w:eastAsia="仿宋" w:cs="Times New Roman"/>
                <w:color w:val="auto"/>
                <w:sz w:val="21"/>
                <w:szCs w:val="21"/>
                <w:highlight w:val="none"/>
                <w:lang w:val="en-US" w:eastAsia="zh-CN"/>
              </w:rPr>
              <w:t>2.91</w:t>
            </w:r>
            <w:r>
              <w:rPr>
                <w:rFonts w:hint="default" w:ascii="Times New Roman" w:hAnsi="Times New Roman" w:eastAsia="仿宋" w:cs="Times New Roman"/>
                <w:color w:val="auto"/>
                <w:sz w:val="21"/>
                <w:szCs w:val="21"/>
                <w:highlight w:val="none"/>
                <w:lang w:val="en-US" w:eastAsia="zh-CN"/>
              </w:rPr>
              <w:t>%。</w:t>
            </w:r>
          </w:p>
          <w:p>
            <w:pPr>
              <w:pStyle w:val="40"/>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2.临时用地概述</w:t>
            </w:r>
          </w:p>
          <w:p>
            <w:pPr>
              <w:pStyle w:val="40"/>
              <w:keepNext w:val="0"/>
              <w:keepLines w:val="0"/>
              <w:pageBreakBefore w:val="0"/>
              <w:widowControl/>
              <w:kinsoku/>
              <w:wordWrap/>
              <w:overflowPunct/>
              <w:topLinePunct w:val="0"/>
              <w:autoSpaceDE/>
              <w:autoSpaceDN/>
              <w:bidi w:val="0"/>
              <w:adjustRightInd/>
              <w:snapToGrid/>
              <w:spacing w:line="240" w:lineRule="auto"/>
              <w:ind w:firstLine="420" w:firstLineChars="200"/>
              <w:jc w:val="left"/>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根据项目实施方案等基础资料的统计和分析，结合实地调查情况，本项目</w:t>
            </w:r>
            <w:r>
              <w:rPr>
                <w:rFonts w:hint="eastAsia" w:ascii="Times New Roman" w:hAnsi="Times New Roman" w:eastAsia="仿宋" w:cs="Times New Roman"/>
                <w:color w:val="auto"/>
                <w:sz w:val="21"/>
                <w:szCs w:val="21"/>
                <w:highlight w:val="none"/>
                <w:lang w:val="en-US" w:eastAsia="zh-CN"/>
              </w:rPr>
              <w:t>疏勒县</w:t>
            </w:r>
            <w:r>
              <w:rPr>
                <w:rFonts w:hint="default" w:ascii="Times New Roman" w:hAnsi="Times New Roman" w:eastAsia="仿宋" w:cs="Times New Roman"/>
                <w:color w:val="auto"/>
                <w:sz w:val="21"/>
                <w:szCs w:val="21"/>
                <w:highlight w:val="none"/>
                <w:lang w:val="en-US" w:eastAsia="zh-CN"/>
              </w:rPr>
              <w:t>临时工程为</w:t>
            </w:r>
            <w:r>
              <w:rPr>
                <w:rFonts w:hint="eastAsia" w:ascii="Times New Roman" w:hAnsi="Times New Roman" w:eastAsia="仿宋" w:cs="Times New Roman"/>
                <w:color w:val="auto"/>
                <w:sz w:val="21"/>
                <w:szCs w:val="21"/>
                <w:highlight w:val="none"/>
                <w:lang w:val="en-US" w:eastAsia="zh-CN"/>
              </w:rPr>
              <w:t>施工便道压占</w:t>
            </w:r>
            <w:r>
              <w:rPr>
                <w:rFonts w:hint="default" w:ascii="Times New Roman" w:hAnsi="Times New Roman" w:eastAsia="仿宋" w:cs="Times New Roman"/>
                <w:color w:val="auto"/>
                <w:sz w:val="21"/>
                <w:szCs w:val="21"/>
                <w:highlight w:val="none"/>
                <w:lang w:val="en-US" w:eastAsia="zh-CN"/>
              </w:rPr>
              <w:t>造成的土地损毁</w:t>
            </w:r>
            <w:r>
              <w:rPr>
                <w:rFonts w:hint="eastAsia" w:ascii="Times New Roman" w:hAnsi="Times New Roman" w:eastAsia="仿宋"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lang w:val="en-US" w:eastAsia="zh-CN"/>
              </w:rPr>
              <w:t>项目区设置</w:t>
            </w:r>
            <w:r>
              <w:rPr>
                <w:rFonts w:hint="eastAsia" w:ascii="Times New Roman" w:hAnsi="Times New Roman" w:eastAsia="仿宋" w:cs="Times New Roman"/>
                <w:color w:val="auto"/>
                <w:sz w:val="21"/>
                <w:szCs w:val="21"/>
                <w:highlight w:val="none"/>
                <w:lang w:val="en-US" w:eastAsia="zh-CN"/>
              </w:rPr>
              <w:t>施工便道</w:t>
            </w:r>
            <w:r>
              <w:rPr>
                <w:rFonts w:hint="default" w:ascii="Times New Roman" w:hAnsi="Times New Roman" w:eastAsia="仿宋" w:cs="Times New Roman"/>
                <w:color w:val="auto"/>
                <w:sz w:val="21"/>
                <w:szCs w:val="21"/>
                <w:highlight w:val="none"/>
                <w:lang w:val="en-US" w:eastAsia="zh-CN"/>
              </w:rPr>
              <w:t>总面积</w:t>
            </w:r>
            <w:r>
              <w:rPr>
                <w:rFonts w:hint="eastAsia" w:ascii="Times New Roman" w:hAnsi="Times New Roman" w:eastAsia="仿宋" w:cs="Times New Roman"/>
                <w:sz w:val="21"/>
                <w:szCs w:val="21"/>
                <w:highlight w:val="none"/>
                <w:lang w:val="en-US" w:eastAsia="zh-CN"/>
              </w:rPr>
              <w:t>2.4296</w:t>
            </w:r>
            <w:r>
              <w:rPr>
                <w:rFonts w:hint="default" w:ascii="Times New Roman" w:hAnsi="Times New Roman" w:eastAsia="仿宋" w:cs="Times New Roman"/>
                <w:color w:val="auto"/>
                <w:sz w:val="21"/>
                <w:szCs w:val="21"/>
                <w:highlight w:val="none"/>
                <w:lang w:val="en-US" w:eastAsia="zh-CN"/>
              </w:rPr>
              <w:t>公顷</w:t>
            </w:r>
            <w:r>
              <w:rPr>
                <w:rFonts w:hint="eastAsia" w:ascii="Times New Roman" w:hAnsi="Times New Roman" w:eastAsia="仿宋" w:cs="Times New Roman"/>
                <w:color w:val="auto"/>
                <w:sz w:val="21"/>
                <w:szCs w:val="21"/>
                <w:highlight w:val="none"/>
                <w:lang w:val="en-US" w:eastAsia="zh-CN"/>
              </w:rPr>
              <w:t>，全部为沙地</w:t>
            </w:r>
            <w:r>
              <w:rPr>
                <w:rFonts w:hint="default" w:ascii="Times New Roman" w:hAnsi="Times New Roman" w:eastAsia="仿宋" w:cs="Times New Roman"/>
                <w:color w:val="auto"/>
                <w:sz w:val="21"/>
                <w:szCs w:val="21"/>
                <w:highlight w:val="none"/>
                <w:lang w:val="en-US" w:eastAsia="zh-CN"/>
              </w:rPr>
              <w:t>。对</w:t>
            </w:r>
            <w:r>
              <w:rPr>
                <w:rFonts w:hint="eastAsia" w:ascii="Times New Roman" w:hAnsi="Times New Roman" w:eastAsia="仿宋" w:cs="Times New Roman"/>
                <w:color w:val="auto"/>
                <w:sz w:val="21"/>
                <w:szCs w:val="21"/>
                <w:highlight w:val="none"/>
                <w:lang w:val="en-US" w:eastAsia="zh-CN"/>
              </w:rPr>
              <w:t>施工便道</w:t>
            </w:r>
            <w:r>
              <w:rPr>
                <w:rFonts w:hint="default" w:ascii="Times New Roman" w:hAnsi="Times New Roman" w:eastAsia="仿宋" w:cs="Times New Roman"/>
                <w:color w:val="auto"/>
                <w:sz w:val="21"/>
                <w:szCs w:val="21"/>
                <w:highlight w:val="none"/>
                <w:lang w:val="en-US" w:eastAsia="zh-CN"/>
              </w:rPr>
              <w:t>使用</w:t>
            </w:r>
            <w:r>
              <w:rPr>
                <w:rFonts w:hint="eastAsia" w:ascii="Times New Roman" w:hAnsi="Times New Roman" w:eastAsia="仿宋" w:cs="Times New Roman"/>
                <w:color w:val="auto"/>
                <w:sz w:val="21"/>
                <w:szCs w:val="21"/>
                <w:highlight w:val="none"/>
                <w:lang w:val="en-US" w:eastAsia="zh-CN"/>
              </w:rPr>
              <w:t>15厘米</w:t>
            </w:r>
            <w:r>
              <w:rPr>
                <w:rFonts w:hint="default" w:ascii="Times New Roman" w:hAnsi="Times New Roman" w:eastAsia="仿宋" w:cs="Times New Roman"/>
                <w:color w:val="auto"/>
                <w:sz w:val="21"/>
                <w:szCs w:val="21"/>
                <w:highlight w:val="none"/>
                <w:lang w:val="en-US" w:eastAsia="zh-CN"/>
              </w:rPr>
              <w:t>戈壁料进行场地硬化，待项目主体工程施工结束后拆除机械设施、拆除硬化，并对场地进行清理、平整。</w:t>
            </w:r>
          </w:p>
          <w:p>
            <w:pPr>
              <w:pStyle w:val="40"/>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left"/>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3</w:t>
            </w:r>
            <w:r>
              <w:rPr>
                <w:rFonts w:hint="default" w:ascii="Times New Roman" w:hAnsi="Times New Roman" w:eastAsia="仿宋" w:cs="Times New Roman"/>
                <w:b/>
                <w:bCs/>
                <w:color w:val="auto"/>
                <w:sz w:val="21"/>
                <w:szCs w:val="21"/>
                <w:highlight w:val="none"/>
              </w:rPr>
              <w:t>.</w:t>
            </w:r>
            <w:r>
              <w:rPr>
                <w:rFonts w:hint="default" w:ascii="Times New Roman" w:hAnsi="Times New Roman" w:eastAsia="仿宋" w:cs="Times New Roman"/>
                <w:b/>
                <w:bCs/>
                <w:color w:val="auto"/>
                <w:sz w:val="21"/>
                <w:szCs w:val="21"/>
                <w:highlight w:val="none"/>
                <w:lang w:val="en-US" w:eastAsia="zh-CN"/>
              </w:rPr>
              <w:t>主要复垦措施</w:t>
            </w:r>
          </w:p>
          <w:p>
            <w:pPr>
              <w:pStyle w:val="40"/>
              <w:keepNext w:val="0"/>
              <w:keepLines w:val="0"/>
              <w:pageBreakBefore w:val="0"/>
              <w:widowControl/>
              <w:kinsoku/>
              <w:wordWrap/>
              <w:overflowPunct/>
              <w:topLinePunct w:val="0"/>
              <w:autoSpaceDE/>
              <w:autoSpaceDN/>
              <w:bidi w:val="0"/>
              <w:adjustRightInd/>
              <w:snapToGrid/>
              <w:spacing w:line="240" w:lineRule="auto"/>
              <w:ind w:firstLine="420"/>
              <w:jc w:val="left"/>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本项目复垦区为</w:t>
            </w:r>
            <w:r>
              <w:rPr>
                <w:rFonts w:hint="eastAsia" w:ascii="Times New Roman" w:hAnsi="Times New Roman" w:eastAsia="仿宋" w:cs="Times New Roman"/>
                <w:sz w:val="21"/>
                <w:szCs w:val="21"/>
                <w:highlight w:val="none"/>
                <w:lang w:val="en-US" w:eastAsia="zh-CN"/>
              </w:rPr>
              <w:t>临时施工便道</w:t>
            </w:r>
            <w:r>
              <w:rPr>
                <w:rFonts w:hint="default" w:ascii="Times New Roman" w:hAnsi="Times New Roman" w:eastAsia="仿宋" w:cs="Times New Roman"/>
                <w:sz w:val="21"/>
                <w:szCs w:val="21"/>
                <w:highlight w:val="none"/>
                <w:lang w:val="en-US" w:eastAsia="zh-CN"/>
              </w:rPr>
              <w:t>，用地总面积</w:t>
            </w:r>
            <w:r>
              <w:rPr>
                <w:rFonts w:hint="eastAsia" w:ascii="Times New Roman" w:hAnsi="Times New Roman" w:eastAsia="仿宋" w:cs="Times New Roman"/>
                <w:sz w:val="21"/>
                <w:szCs w:val="21"/>
                <w:highlight w:val="none"/>
                <w:lang w:val="en-US" w:eastAsia="zh-CN"/>
              </w:rPr>
              <w:t>2.4296</w:t>
            </w:r>
            <w:r>
              <w:rPr>
                <w:rFonts w:hint="default" w:ascii="Times New Roman" w:hAnsi="Times New Roman" w:eastAsia="仿宋" w:cs="Times New Roman"/>
                <w:sz w:val="21"/>
                <w:szCs w:val="21"/>
                <w:highlight w:val="none"/>
                <w:lang w:val="en-US" w:eastAsia="zh-CN"/>
              </w:rPr>
              <w:t>公顷，复垦方向为</w:t>
            </w:r>
            <w:r>
              <w:rPr>
                <w:rFonts w:hint="eastAsia" w:ascii="Times New Roman" w:hAnsi="Times New Roman" w:eastAsia="仿宋" w:cs="Times New Roman"/>
                <w:color w:val="auto"/>
                <w:kern w:val="2"/>
                <w:sz w:val="21"/>
                <w:szCs w:val="21"/>
                <w:highlight w:val="none"/>
                <w:lang w:val="en-US" w:eastAsia="zh-CN" w:bidi="ar-SA"/>
              </w:rPr>
              <w:t>沙地</w:t>
            </w:r>
            <w:r>
              <w:rPr>
                <w:rFonts w:hint="default" w:ascii="Times New Roman" w:hAnsi="Times New Roman" w:eastAsia="仿宋" w:cs="Times New Roman"/>
                <w:sz w:val="21"/>
                <w:szCs w:val="21"/>
                <w:highlight w:val="none"/>
                <w:lang w:val="en-US" w:eastAsia="zh-CN"/>
              </w:rPr>
              <w:t>。本方案采取的工程措施包括</w:t>
            </w:r>
            <w:r>
              <w:rPr>
                <w:rFonts w:hint="eastAsia" w:ascii="Times New Roman" w:hAnsi="Times New Roman" w:eastAsia="仿宋" w:cs="Times New Roman"/>
                <w:sz w:val="21"/>
                <w:szCs w:val="21"/>
                <w:highlight w:val="none"/>
                <w:lang w:val="en-US" w:eastAsia="zh-CN"/>
              </w:rPr>
              <w:t>地表固化物的清理、垃圾清运和土地平整</w:t>
            </w:r>
            <w:r>
              <w:rPr>
                <w:rFonts w:hint="default" w:ascii="Times New Roman" w:hAnsi="Times New Roman" w:eastAsia="仿宋" w:cs="Times New Roman"/>
                <w:sz w:val="21"/>
                <w:szCs w:val="21"/>
                <w:highlight w:val="none"/>
                <w:lang w:val="en-US" w:eastAsia="zh-CN"/>
              </w:rPr>
              <w:t>。</w:t>
            </w:r>
          </w:p>
          <w:p>
            <w:pPr>
              <w:pStyle w:val="40"/>
              <w:keepNext w:val="0"/>
              <w:keepLines w:val="0"/>
              <w:pageBreakBefore w:val="0"/>
              <w:widowControl/>
              <w:kinsoku/>
              <w:wordWrap/>
              <w:overflowPunct/>
              <w:topLinePunct w:val="0"/>
              <w:autoSpaceDE/>
              <w:autoSpaceDN/>
              <w:bidi w:val="0"/>
              <w:adjustRightInd/>
              <w:snapToGrid/>
              <w:spacing w:line="240" w:lineRule="auto"/>
              <w:ind w:firstLine="420"/>
              <w:jc w:val="left"/>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a）地表固化物的清理</w:t>
            </w:r>
          </w:p>
          <w:p>
            <w:pPr>
              <w:pStyle w:val="40"/>
              <w:keepNext w:val="0"/>
              <w:keepLines w:val="0"/>
              <w:pageBreakBefore w:val="0"/>
              <w:widowControl/>
              <w:kinsoku/>
              <w:wordWrap/>
              <w:overflowPunct/>
              <w:topLinePunct w:val="0"/>
              <w:autoSpaceDE/>
              <w:autoSpaceDN/>
              <w:bidi w:val="0"/>
              <w:adjustRightInd/>
              <w:snapToGrid/>
              <w:spacing w:line="240" w:lineRule="auto"/>
              <w:ind w:firstLine="420"/>
              <w:jc w:val="left"/>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利用机械对硬化场地地表固化物进行清除，根据项目前期计划，施工便道砂砾石硬化面积</w:t>
            </w:r>
            <w:r>
              <w:rPr>
                <w:rFonts w:hint="eastAsia" w:ascii="Times New Roman" w:hAnsi="Times New Roman" w:eastAsia="仿宋" w:cs="Times New Roman"/>
                <w:sz w:val="21"/>
                <w:szCs w:val="21"/>
                <w:highlight w:val="none"/>
                <w:lang w:val="en-US" w:eastAsia="zh-CN"/>
              </w:rPr>
              <w:t>2.4296</w:t>
            </w:r>
            <w:r>
              <w:rPr>
                <w:rFonts w:hint="default" w:ascii="Times New Roman" w:hAnsi="Times New Roman" w:eastAsia="仿宋" w:cs="Times New Roman"/>
                <w:sz w:val="21"/>
                <w:szCs w:val="21"/>
                <w:highlight w:val="none"/>
                <w:lang w:val="en-US" w:eastAsia="zh-CN"/>
              </w:rPr>
              <w:t>公顷，硬化厚度15厘米，硬化拆除量为</w:t>
            </w:r>
            <w:r>
              <w:rPr>
                <w:rFonts w:hint="eastAsia" w:ascii="Times New Roman" w:hAnsi="Times New Roman" w:eastAsia="仿宋" w:cs="Times New Roman"/>
                <w:sz w:val="21"/>
                <w:szCs w:val="21"/>
                <w:highlight w:val="none"/>
                <w:lang w:val="en-US" w:eastAsia="zh-CN"/>
              </w:rPr>
              <w:t>3644.40</w:t>
            </w:r>
            <w:r>
              <w:rPr>
                <w:rFonts w:hint="default" w:ascii="Times New Roman" w:hAnsi="Times New Roman" w:eastAsia="仿宋" w:cs="Times New Roman"/>
                <w:sz w:val="21"/>
                <w:szCs w:val="21"/>
                <w:highlight w:val="none"/>
                <w:lang w:val="en-US" w:eastAsia="zh-CN"/>
              </w:rPr>
              <w:t>立方米。</w:t>
            </w:r>
          </w:p>
          <w:p>
            <w:pPr>
              <w:pStyle w:val="40"/>
              <w:keepNext w:val="0"/>
              <w:keepLines w:val="0"/>
              <w:pageBreakBefore w:val="0"/>
              <w:widowControl/>
              <w:kinsoku/>
              <w:wordWrap/>
              <w:overflowPunct/>
              <w:topLinePunct w:val="0"/>
              <w:autoSpaceDE/>
              <w:autoSpaceDN/>
              <w:bidi w:val="0"/>
              <w:adjustRightInd/>
              <w:snapToGrid/>
              <w:spacing w:line="240" w:lineRule="auto"/>
              <w:ind w:firstLine="420"/>
              <w:jc w:val="left"/>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b）垃圾清运</w:t>
            </w:r>
          </w:p>
          <w:p>
            <w:pPr>
              <w:pStyle w:val="40"/>
              <w:keepNext w:val="0"/>
              <w:keepLines w:val="0"/>
              <w:pageBreakBefore w:val="0"/>
              <w:widowControl/>
              <w:kinsoku/>
              <w:wordWrap/>
              <w:overflowPunct/>
              <w:topLinePunct w:val="0"/>
              <w:autoSpaceDE/>
              <w:autoSpaceDN/>
              <w:bidi w:val="0"/>
              <w:adjustRightInd/>
              <w:snapToGrid/>
              <w:spacing w:line="240" w:lineRule="auto"/>
              <w:ind w:firstLine="420"/>
              <w:jc w:val="left"/>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清运垃圾主要为场地硬化砂砾石产生的，清运至公路主线</w:t>
            </w:r>
            <w:r>
              <w:rPr>
                <w:rFonts w:hint="eastAsia" w:ascii="Times New Roman" w:hAnsi="Times New Roman" w:eastAsia="仿宋" w:cs="Times New Roman"/>
                <w:sz w:val="21"/>
                <w:szCs w:val="21"/>
                <w:highlight w:val="none"/>
                <w:lang w:val="en-US" w:eastAsia="zh-CN"/>
              </w:rPr>
              <w:t>重复利用</w:t>
            </w:r>
            <w:r>
              <w:rPr>
                <w:rFonts w:hint="default" w:ascii="Times New Roman" w:hAnsi="Times New Roman" w:eastAsia="仿宋" w:cs="Times New Roman"/>
                <w:sz w:val="21"/>
                <w:szCs w:val="21"/>
                <w:highlight w:val="none"/>
                <w:lang w:val="en-US" w:eastAsia="zh-CN"/>
              </w:rPr>
              <w:t>，清运垃圾</w:t>
            </w:r>
            <w:r>
              <w:rPr>
                <w:rFonts w:hint="eastAsia" w:ascii="Times New Roman" w:hAnsi="Times New Roman" w:eastAsia="仿宋" w:cs="Times New Roman"/>
                <w:sz w:val="21"/>
                <w:szCs w:val="21"/>
                <w:highlight w:val="none"/>
                <w:lang w:val="en-US" w:eastAsia="zh-CN"/>
              </w:rPr>
              <w:t>3644.40</w:t>
            </w:r>
            <w:r>
              <w:rPr>
                <w:rFonts w:hint="default" w:ascii="Times New Roman" w:hAnsi="Times New Roman" w:eastAsia="仿宋" w:cs="Times New Roman"/>
                <w:sz w:val="21"/>
                <w:szCs w:val="21"/>
                <w:highlight w:val="none"/>
                <w:lang w:val="en-US" w:eastAsia="zh-CN"/>
              </w:rPr>
              <w:t>立方米，运距3公里左右。</w:t>
            </w:r>
          </w:p>
          <w:p>
            <w:pPr>
              <w:pStyle w:val="40"/>
              <w:keepNext w:val="0"/>
              <w:keepLines w:val="0"/>
              <w:pageBreakBefore w:val="0"/>
              <w:widowControl/>
              <w:kinsoku/>
              <w:wordWrap/>
              <w:overflowPunct/>
              <w:topLinePunct w:val="0"/>
              <w:autoSpaceDE/>
              <w:autoSpaceDN/>
              <w:bidi w:val="0"/>
              <w:adjustRightInd/>
              <w:snapToGrid/>
              <w:spacing w:line="240" w:lineRule="auto"/>
              <w:ind w:firstLine="420"/>
              <w:jc w:val="left"/>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c）土地平整</w:t>
            </w:r>
          </w:p>
          <w:p>
            <w:pPr>
              <w:pStyle w:val="40"/>
              <w:keepNext w:val="0"/>
              <w:keepLines w:val="0"/>
              <w:pageBreakBefore w:val="0"/>
              <w:widowControl/>
              <w:kinsoku/>
              <w:wordWrap/>
              <w:overflowPunct/>
              <w:topLinePunct w:val="0"/>
              <w:autoSpaceDE/>
              <w:autoSpaceDN/>
              <w:bidi w:val="0"/>
              <w:adjustRightInd/>
              <w:snapToGrid/>
              <w:spacing w:line="240" w:lineRule="auto"/>
              <w:ind w:firstLine="420"/>
              <w:jc w:val="left"/>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施工便道来往机械车辆对土地造成压占后，使原有的土地形态发生改变，会使土地的表层起伏不平。为保证复垦措施的及时实施，待主体工程施工结束后，以平整单元内部土方挖填平衡为基础，利用74kw推土机对场地进行平整，推平地面高低不平区域，平整后地面坡度达到复垦质量要求，平整厚度约20cm，土地平整工程量为</w:t>
            </w:r>
            <w:r>
              <w:rPr>
                <w:rFonts w:hint="eastAsia" w:ascii="Times New Roman" w:hAnsi="Times New Roman" w:eastAsia="仿宋" w:cs="Times New Roman"/>
                <w:sz w:val="21"/>
                <w:szCs w:val="21"/>
                <w:highlight w:val="none"/>
                <w:lang w:val="en-US" w:eastAsia="zh-CN"/>
              </w:rPr>
              <w:t>4859.20</w:t>
            </w:r>
            <w:r>
              <w:rPr>
                <w:rFonts w:hint="default" w:ascii="Times New Roman" w:hAnsi="Times New Roman" w:eastAsia="仿宋" w:cs="Times New Roman"/>
                <w:sz w:val="21"/>
                <w:szCs w:val="21"/>
                <w:highlight w:val="none"/>
                <w:lang w:val="en-US" w:eastAsia="zh-CN"/>
              </w:rPr>
              <w:t>立方米。</w:t>
            </w:r>
          </w:p>
          <w:p>
            <w:pPr>
              <w:pStyle w:val="40"/>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jc w:val="left"/>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4.土地复垦工作计划</w:t>
            </w:r>
          </w:p>
          <w:p>
            <w:pPr>
              <w:pStyle w:val="40"/>
              <w:keepNext w:val="0"/>
              <w:keepLines w:val="0"/>
              <w:pageBreakBefore w:val="0"/>
              <w:widowControl/>
              <w:kinsoku/>
              <w:wordWrap/>
              <w:overflowPunct/>
              <w:topLinePunct w:val="0"/>
              <w:autoSpaceDE/>
              <w:autoSpaceDN/>
              <w:bidi w:val="0"/>
              <w:adjustRightInd/>
              <w:snapToGrid/>
              <w:spacing w:line="240" w:lineRule="auto"/>
              <w:ind w:firstLine="420"/>
              <w:jc w:val="left"/>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第一阶段（</w:t>
            </w:r>
            <w:r>
              <w:rPr>
                <w:rFonts w:hint="eastAsia" w:ascii="Times New Roman" w:hAnsi="Times New Roman" w:eastAsia="仿宋" w:cs="Times New Roman"/>
                <w:color w:val="auto"/>
                <w:sz w:val="21"/>
                <w:szCs w:val="21"/>
                <w:highlight w:val="none"/>
                <w:lang w:val="en-US" w:eastAsia="zh-CN"/>
              </w:rPr>
              <w:t>2023年8月</w:t>
            </w:r>
            <w:r>
              <w:rPr>
                <w:rFonts w:hint="default" w:ascii="Times New Roman" w:hAnsi="Times New Roman" w:eastAsia="仿宋" w:cs="Times New Roman"/>
                <w:color w:val="auto"/>
                <w:sz w:val="21"/>
                <w:szCs w:val="21"/>
                <w:highlight w:val="none"/>
                <w:lang w:val="en-US" w:eastAsia="zh-CN"/>
              </w:rPr>
              <w:t>-</w:t>
            </w:r>
            <w:r>
              <w:rPr>
                <w:rFonts w:hint="eastAsia" w:ascii="Times New Roman" w:hAnsi="Times New Roman" w:eastAsia="仿宋" w:cs="Times New Roman"/>
                <w:color w:val="auto"/>
                <w:sz w:val="21"/>
                <w:szCs w:val="21"/>
                <w:highlight w:val="none"/>
                <w:lang w:val="en-US" w:eastAsia="zh-CN"/>
              </w:rPr>
              <w:t>2025年8月</w:t>
            </w:r>
            <w:r>
              <w:rPr>
                <w:rFonts w:hint="default" w:ascii="Times New Roman" w:hAnsi="Times New Roman" w:eastAsia="仿宋" w:cs="Times New Roman"/>
                <w:sz w:val="21"/>
                <w:szCs w:val="21"/>
                <w:highlight w:val="none"/>
                <w:lang w:val="en-US" w:eastAsia="zh-CN"/>
              </w:rPr>
              <w:t>）在此期间主要目标为临时施工便道原始地貌监测、损毁情况监测，监测临时用地使用过程中是否加深了土地损毁程度，采取相关的预防控制措施，加强管理，严格按照设计施工，避免造成新的土地损毁。</w:t>
            </w:r>
          </w:p>
          <w:p>
            <w:pPr>
              <w:pStyle w:val="40"/>
              <w:keepNext w:val="0"/>
              <w:keepLines w:val="0"/>
              <w:pageBreakBefore w:val="0"/>
              <w:widowControl/>
              <w:kinsoku/>
              <w:wordWrap/>
              <w:overflowPunct/>
              <w:topLinePunct w:val="0"/>
              <w:autoSpaceDE/>
              <w:autoSpaceDN/>
              <w:bidi w:val="0"/>
              <w:adjustRightInd/>
              <w:snapToGrid/>
              <w:spacing w:line="240" w:lineRule="auto"/>
              <w:ind w:firstLine="420"/>
              <w:jc w:val="left"/>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第二阶段（</w:t>
            </w:r>
            <w:r>
              <w:rPr>
                <w:rFonts w:hint="eastAsia" w:ascii="Times New Roman" w:hAnsi="Times New Roman" w:eastAsia="仿宋" w:cs="Times New Roman"/>
                <w:sz w:val="21"/>
                <w:szCs w:val="21"/>
                <w:highlight w:val="none"/>
                <w:lang w:val="en-US" w:eastAsia="zh-CN"/>
              </w:rPr>
              <w:t>2025年8月</w:t>
            </w:r>
            <w:r>
              <w:rPr>
                <w:rFonts w:hint="default" w:ascii="Times New Roman" w:hAnsi="Times New Roman" w:eastAsia="仿宋" w:cs="Times New Roman"/>
                <w:sz w:val="21"/>
                <w:szCs w:val="21"/>
                <w:highlight w:val="none"/>
                <w:lang w:val="en-US" w:eastAsia="zh-CN"/>
              </w:rPr>
              <w:t>-</w:t>
            </w:r>
            <w:r>
              <w:rPr>
                <w:rFonts w:hint="eastAsia" w:ascii="Times New Roman" w:hAnsi="Times New Roman" w:eastAsia="仿宋" w:cs="Times New Roman"/>
                <w:sz w:val="21"/>
                <w:szCs w:val="21"/>
                <w:highlight w:val="none"/>
                <w:lang w:val="en-US" w:eastAsia="zh-CN"/>
              </w:rPr>
              <w:t>2025年9月</w:t>
            </w:r>
            <w:r>
              <w:rPr>
                <w:rFonts w:hint="default" w:ascii="Times New Roman" w:hAnsi="Times New Roman" w:eastAsia="仿宋" w:cs="Times New Roman"/>
                <w:sz w:val="21"/>
                <w:szCs w:val="21"/>
                <w:highlight w:val="none"/>
                <w:lang w:val="en-US" w:eastAsia="zh-CN"/>
              </w:rPr>
              <w:t>）主要进行土地复垦施工，包括</w:t>
            </w:r>
            <w:r>
              <w:rPr>
                <w:rFonts w:hint="eastAsia" w:ascii="Times New Roman" w:hAnsi="Times New Roman" w:eastAsia="仿宋" w:cs="Times New Roman"/>
                <w:sz w:val="21"/>
                <w:szCs w:val="21"/>
                <w:highlight w:val="none"/>
                <w:lang w:val="en-US" w:eastAsia="zh-CN"/>
              </w:rPr>
              <w:t>地表固化物的清理、垃圾清运和土地平整</w:t>
            </w:r>
            <w:r>
              <w:rPr>
                <w:rFonts w:hint="default" w:ascii="Times New Roman" w:hAnsi="Times New Roman" w:eastAsia="仿宋" w:cs="Times New Roman"/>
                <w:sz w:val="21"/>
                <w:szCs w:val="21"/>
                <w:highlight w:val="none"/>
                <w:lang w:val="en-US" w:eastAsia="zh-CN"/>
              </w:rPr>
              <w:t>。</w:t>
            </w:r>
          </w:p>
          <w:p>
            <w:pPr>
              <w:pStyle w:val="40"/>
              <w:keepNext w:val="0"/>
              <w:keepLines w:val="0"/>
              <w:pageBreakBefore w:val="0"/>
              <w:widowControl/>
              <w:kinsoku/>
              <w:wordWrap/>
              <w:overflowPunct/>
              <w:topLinePunct w:val="0"/>
              <w:autoSpaceDE/>
              <w:autoSpaceDN/>
              <w:bidi w:val="0"/>
              <w:adjustRightInd w:val="0"/>
              <w:snapToGrid w:val="0"/>
              <w:spacing w:line="320" w:lineRule="exact"/>
              <w:ind w:firstLine="420" w:firstLineChars="200"/>
              <w:jc w:val="left"/>
              <w:textAlignment w:val="auto"/>
              <w:rPr>
                <w:rFonts w:hint="default" w:ascii="Times New Roman" w:hAnsi="Times New Roman" w:cs="Times New Roman"/>
                <w:color w:val="auto"/>
                <w:highlight w:val="none"/>
              </w:rPr>
            </w:pPr>
            <w:r>
              <w:rPr>
                <w:rFonts w:hint="default" w:ascii="Times New Roman" w:hAnsi="Times New Roman" w:eastAsia="仿宋" w:cs="Times New Roman"/>
                <w:sz w:val="21"/>
                <w:szCs w:val="21"/>
                <w:highlight w:val="none"/>
                <w:lang w:val="en-US" w:eastAsia="zh-CN"/>
              </w:rPr>
              <w:t>第三阶段（202</w:t>
            </w:r>
            <w:r>
              <w:rPr>
                <w:rFonts w:hint="eastAsia" w:ascii="Times New Roman" w:hAnsi="Times New Roman" w:eastAsia="仿宋" w:cs="Times New Roman"/>
                <w:sz w:val="21"/>
                <w:szCs w:val="21"/>
                <w:highlight w:val="none"/>
                <w:lang w:val="en-US" w:eastAsia="zh-CN"/>
              </w:rPr>
              <w:t>5</w:t>
            </w:r>
            <w:r>
              <w:rPr>
                <w:rFonts w:hint="default" w:ascii="Times New Roman" w:hAnsi="Times New Roman" w:eastAsia="仿宋" w:cs="Times New Roman"/>
                <w:sz w:val="21"/>
                <w:szCs w:val="21"/>
                <w:highlight w:val="none"/>
                <w:lang w:val="en-US" w:eastAsia="zh-CN"/>
              </w:rPr>
              <w:t>年</w:t>
            </w:r>
            <w:r>
              <w:rPr>
                <w:rFonts w:hint="eastAsia" w:ascii="Times New Roman" w:hAnsi="Times New Roman" w:eastAsia="仿宋" w:cs="Times New Roman"/>
                <w:sz w:val="21"/>
                <w:szCs w:val="21"/>
                <w:highlight w:val="none"/>
                <w:lang w:val="en-US" w:eastAsia="zh-CN"/>
              </w:rPr>
              <w:t>9</w:t>
            </w:r>
            <w:r>
              <w:rPr>
                <w:rFonts w:hint="default" w:ascii="Times New Roman" w:hAnsi="Times New Roman" w:eastAsia="仿宋" w:cs="Times New Roman"/>
                <w:sz w:val="21"/>
                <w:szCs w:val="21"/>
                <w:highlight w:val="none"/>
                <w:lang w:val="en-US" w:eastAsia="zh-CN"/>
              </w:rPr>
              <w:t>月）为土地复垦完成后竣工验收期。</w:t>
            </w:r>
          </w:p>
          <w:p>
            <w:pPr>
              <w:pStyle w:val="40"/>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b/>
                <w:bCs/>
                <w:color w:val="auto"/>
                <w:sz w:val="21"/>
                <w:szCs w:val="21"/>
                <w:highlight w:val="none"/>
                <w:lang w:val="en-US" w:eastAsia="zh-CN"/>
              </w:rPr>
              <w:t>5.土地复垦保障措施</w:t>
            </w:r>
          </w:p>
          <w:p>
            <w:pPr>
              <w:pStyle w:val="40"/>
              <w:keepNext w:val="0"/>
              <w:keepLines w:val="0"/>
              <w:pageBreakBefore w:val="0"/>
              <w:widowControl/>
              <w:kinsoku/>
              <w:wordWrap/>
              <w:overflowPunct/>
              <w:topLinePunct w:val="0"/>
              <w:autoSpaceDE/>
              <w:autoSpaceDN/>
              <w:bidi w:val="0"/>
              <w:adjustRightInd/>
              <w:snapToGrid/>
              <w:spacing w:line="240" w:lineRule="auto"/>
              <w:ind w:firstLine="420"/>
              <w:jc w:val="left"/>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w:t>
            </w:r>
            <w:r>
              <w:rPr>
                <w:rFonts w:hint="eastAsia" w:ascii="Times New Roman" w:hAnsi="Times New Roman" w:eastAsia="仿宋" w:cs="Times New Roman"/>
                <w:color w:val="auto"/>
                <w:sz w:val="21"/>
                <w:szCs w:val="21"/>
                <w:highlight w:val="none"/>
                <w:lang w:eastAsia="zh-CN"/>
              </w:rPr>
              <w:t>新疆路桥南疆工程建设有限公司</w:t>
            </w:r>
            <w:r>
              <w:rPr>
                <w:rFonts w:hint="default" w:ascii="Times New Roman" w:hAnsi="Times New Roman" w:eastAsia="仿宋" w:cs="Times New Roman"/>
                <w:color w:val="auto"/>
                <w:sz w:val="21"/>
                <w:szCs w:val="21"/>
                <w:highlight w:val="none"/>
              </w:rPr>
              <w:t>设立土地复垦实施管理机构，全面负责本方案土地复垦工作，设置专职工作人员1至2人。</w:t>
            </w:r>
          </w:p>
          <w:p>
            <w:pPr>
              <w:pStyle w:val="40"/>
              <w:keepNext w:val="0"/>
              <w:keepLines w:val="0"/>
              <w:pageBreakBefore w:val="0"/>
              <w:widowControl/>
              <w:kinsoku/>
              <w:wordWrap/>
              <w:overflowPunct/>
              <w:topLinePunct w:val="0"/>
              <w:autoSpaceDE/>
              <w:autoSpaceDN/>
              <w:bidi w:val="0"/>
              <w:adjustRightInd/>
              <w:snapToGrid/>
              <w:spacing w:line="240" w:lineRule="auto"/>
              <w:ind w:firstLine="420"/>
              <w:jc w:val="left"/>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（2）制定复垦方案实施的领导责任制，制定内部自我检查、监督制，杜绝边复垦、边损毁的现象发生。</w:t>
            </w:r>
          </w:p>
          <w:p>
            <w:pPr>
              <w:pStyle w:val="40"/>
              <w:keepNext w:val="0"/>
              <w:keepLines w:val="0"/>
              <w:pageBreakBefore w:val="0"/>
              <w:widowControl/>
              <w:kinsoku/>
              <w:wordWrap/>
              <w:overflowPunct/>
              <w:topLinePunct w:val="0"/>
              <w:autoSpaceDE/>
              <w:autoSpaceDN/>
              <w:bidi w:val="0"/>
              <w:adjustRightInd/>
              <w:snapToGrid/>
              <w:spacing w:line="240" w:lineRule="auto"/>
              <w:ind w:firstLine="420"/>
              <w:jc w:val="left"/>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（3）根据《土地复垦条例》（国务院令〔2011〕第592号）第3条和第15条规定，本项目</w:t>
            </w:r>
            <w:r>
              <w:rPr>
                <w:rFonts w:hint="default" w:ascii="Times New Roman" w:hAnsi="Times New Roman" w:eastAsia="仿宋" w:cs="Times New Roman"/>
                <w:color w:val="auto"/>
                <w:sz w:val="21"/>
                <w:szCs w:val="21"/>
                <w:highlight w:val="none"/>
                <w:lang w:val="en-US" w:eastAsia="zh-CN"/>
              </w:rPr>
              <w:t>由</w:t>
            </w:r>
            <w:r>
              <w:rPr>
                <w:rFonts w:hint="eastAsia" w:ascii="Times New Roman" w:hAnsi="Times New Roman" w:eastAsia="仿宋" w:cs="Times New Roman"/>
                <w:color w:val="auto"/>
                <w:sz w:val="21"/>
                <w:szCs w:val="21"/>
                <w:highlight w:val="none"/>
                <w:lang w:eastAsia="zh-CN"/>
              </w:rPr>
              <w:t>新疆路桥南疆工程建设有限公司</w:t>
            </w:r>
            <w:r>
              <w:rPr>
                <w:rFonts w:hint="default" w:ascii="Times New Roman" w:hAnsi="Times New Roman" w:eastAsia="仿宋" w:cs="Times New Roman"/>
                <w:color w:val="auto"/>
                <w:sz w:val="21"/>
                <w:szCs w:val="21"/>
                <w:highlight w:val="none"/>
              </w:rPr>
              <w:t>全部承担</w:t>
            </w:r>
            <w:r>
              <w:rPr>
                <w:rFonts w:hint="default" w:ascii="Times New Roman" w:hAnsi="Times New Roman" w:eastAsia="仿宋" w:cs="Times New Roman"/>
                <w:color w:val="auto"/>
                <w:sz w:val="21"/>
                <w:szCs w:val="21"/>
                <w:highlight w:val="none"/>
                <w:lang w:eastAsia="zh-CN"/>
              </w:rPr>
              <w:t>临时用地项目</w:t>
            </w:r>
            <w:r>
              <w:rPr>
                <w:rFonts w:hint="default" w:ascii="Times New Roman" w:hAnsi="Times New Roman" w:eastAsia="仿宋" w:cs="Times New Roman"/>
                <w:color w:val="auto"/>
                <w:sz w:val="21"/>
                <w:szCs w:val="21"/>
                <w:highlight w:val="none"/>
              </w:rPr>
              <w:t>建设工程的土地复垦费用并将其计入建设</w:t>
            </w:r>
            <w:r>
              <w:rPr>
                <w:rFonts w:hint="default" w:ascii="Times New Roman" w:hAnsi="Times New Roman" w:eastAsia="仿宋" w:cs="Times New Roman"/>
                <w:color w:val="auto"/>
                <w:sz w:val="21"/>
                <w:szCs w:val="21"/>
                <w:highlight w:val="none"/>
                <w:lang w:val="en-US" w:eastAsia="zh-CN"/>
              </w:rPr>
              <w:t>项目</w:t>
            </w:r>
            <w:r>
              <w:rPr>
                <w:rFonts w:hint="default" w:ascii="Times New Roman" w:hAnsi="Times New Roman" w:eastAsia="仿宋" w:cs="Times New Roman"/>
                <w:color w:val="auto"/>
                <w:sz w:val="21"/>
                <w:szCs w:val="21"/>
                <w:highlight w:val="none"/>
              </w:rPr>
              <w:t>总投资。</w:t>
            </w:r>
          </w:p>
          <w:p>
            <w:pPr>
              <w:pStyle w:val="40"/>
              <w:keepNext w:val="0"/>
              <w:keepLines w:val="0"/>
              <w:pageBreakBefore w:val="0"/>
              <w:widowControl/>
              <w:kinsoku/>
              <w:wordWrap/>
              <w:overflowPunct/>
              <w:topLinePunct w:val="0"/>
              <w:autoSpaceDE/>
              <w:autoSpaceDN/>
              <w:bidi w:val="0"/>
              <w:adjustRightInd/>
              <w:snapToGrid/>
              <w:spacing w:line="240" w:lineRule="auto"/>
              <w:ind w:firstLine="420"/>
              <w:jc w:val="left"/>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（4）由</w:t>
            </w:r>
            <w:r>
              <w:rPr>
                <w:rFonts w:hint="eastAsia" w:ascii="Times New Roman" w:hAnsi="Times New Roman" w:eastAsia="仿宋" w:cs="Times New Roman"/>
                <w:color w:val="auto"/>
                <w:sz w:val="21"/>
                <w:szCs w:val="21"/>
                <w:highlight w:val="none"/>
                <w:lang w:eastAsia="zh-CN"/>
              </w:rPr>
              <w:t>新疆路桥南疆工程建设有限公司</w:t>
            </w:r>
            <w:r>
              <w:rPr>
                <w:rFonts w:hint="default" w:ascii="Times New Roman" w:hAnsi="Times New Roman" w:eastAsia="仿宋" w:cs="Times New Roman"/>
                <w:color w:val="auto"/>
                <w:sz w:val="21"/>
                <w:szCs w:val="21"/>
                <w:highlight w:val="none"/>
              </w:rPr>
              <w:t>、银行、当地自然资源局建立土地复垦专用账户，专用账户按照“政府监管，专户存储、专款专用”的原则管理。</w:t>
            </w:r>
          </w:p>
          <w:p>
            <w:pPr>
              <w:pStyle w:val="40"/>
              <w:keepNext w:val="0"/>
              <w:keepLines w:val="0"/>
              <w:pageBreakBefore w:val="0"/>
              <w:widowControl/>
              <w:kinsoku/>
              <w:wordWrap/>
              <w:overflowPunct/>
              <w:topLinePunct w:val="0"/>
              <w:autoSpaceDE/>
              <w:autoSpaceDN/>
              <w:bidi w:val="0"/>
              <w:adjustRightInd/>
              <w:snapToGrid/>
              <w:spacing w:line="240" w:lineRule="auto"/>
              <w:ind w:firstLine="420"/>
              <w:jc w:val="left"/>
              <w:textAlignment w:val="auto"/>
              <w:rPr>
                <w:rFonts w:hint="default" w:ascii="Times New Roman" w:hAnsi="Times New Roman" w:eastAsia="仿宋" w:cs="Times New Roman"/>
                <w:b/>
                <w:bCs/>
                <w:color w:val="auto"/>
                <w:sz w:val="21"/>
                <w:szCs w:val="21"/>
                <w:highlight w:val="none"/>
                <w:lang w:val="en-US" w:eastAsia="zh-CN"/>
              </w:rPr>
            </w:pPr>
            <w:r>
              <w:rPr>
                <w:rFonts w:hint="default" w:ascii="Times New Roman" w:hAnsi="Times New Roman" w:eastAsia="仿宋" w:cs="Times New Roman"/>
                <w:color w:val="auto"/>
                <w:sz w:val="21"/>
                <w:szCs w:val="21"/>
                <w:highlight w:val="none"/>
              </w:rPr>
              <w:t>（5）建立土地复垦方案编制与实施的公众全程参与机制，以问卷调查、座谈会、公示公告等方式，积极征求当地专家领导及相关部门的意见。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6990" w:hRule="atLeast"/>
        </w:trPr>
        <w:tc>
          <w:tcPr>
            <w:tcW w:w="852" w:type="dxa"/>
            <w:vMerge w:val="restart"/>
            <w:tcBorders>
              <w:tl2br w:val="nil"/>
              <w:tr2bl w:val="nil"/>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sz w:val="21"/>
                <w:szCs w:val="21"/>
                <w:highlight w:val="none"/>
                <w:lang w:val="en-US" w:eastAsia="zh-CN"/>
              </w:rPr>
              <w:t>投资估算</w:t>
            </w:r>
          </w:p>
        </w:tc>
        <w:tc>
          <w:tcPr>
            <w:tcW w:w="1087" w:type="dxa"/>
            <w:gridSpan w:val="2"/>
            <w:tcBorders>
              <w:tl2br w:val="nil"/>
              <w:tr2bl w:val="nil"/>
            </w:tcBorders>
            <w:vAlign w:val="center"/>
          </w:tcPr>
          <w:p>
            <w:pPr>
              <w:pStyle w:val="40"/>
              <w:keepNext w:val="0"/>
              <w:keepLines w:val="0"/>
              <w:pageBreakBefore w:val="0"/>
              <w:kinsoku/>
              <w:wordWrap/>
              <w:overflowPunct/>
              <w:topLinePunct w:val="0"/>
              <w:autoSpaceDE/>
              <w:autoSpaceDN/>
              <w:bidi w:val="0"/>
              <w:adjustRightInd w:val="0"/>
              <w:snapToGrid w:val="0"/>
              <w:spacing w:line="320" w:lineRule="exact"/>
              <w:ind w:firstLine="0" w:firstLineChars="0"/>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测算依据</w:t>
            </w:r>
          </w:p>
        </w:tc>
        <w:tc>
          <w:tcPr>
            <w:tcW w:w="6600" w:type="dxa"/>
            <w:gridSpan w:val="12"/>
            <w:tcBorders>
              <w:tl2br w:val="nil"/>
              <w:tr2bl w:val="nil"/>
            </w:tcBorders>
            <w:vAlign w:val="center"/>
          </w:tcPr>
          <w:p>
            <w:pPr>
              <w:pStyle w:val="40"/>
              <w:keepNext w:val="0"/>
              <w:keepLines w:val="0"/>
              <w:pageBreakBefore w:val="0"/>
              <w:widowControl/>
              <w:kinsoku/>
              <w:wordWrap/>
              <w:overflowPunct/>
              <w:topLinePunct w:val="0"/>
              <w:autoSpaceDE/>
              <w:autoSpaceDN/>
              <w:bidi w:val="0"/>
              <w:adjustRightInd/>
              <w:snapToGrid/>
              <w:spacing w:line="240" w:lineRule="auto"/>
              <w:ind w:firstLine="420"/>
              <w:jc w:val="left"/>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土地复垦投资估算依据</w:t>
            </w:r>
          </w:p>
          <w:p>
            <w:pPr>
              <w:pStyle w:val="40"/>
              <w:keepNext w:val="0"/>
              <w:keepLines w:val="0"/>
              <w:pageBreakBefore w:val="0"/>
              <w:widowControl/>
              <w:kinsoku/>
              <w:wordWrap/>
              <w:overflowPunct/>
              <w:topLinePunct w:val="0"/>
              <w:autoSpaceDE/>
              <w:autoSpaceDN/>
              <w:bidi w:val="0"/>
              <w:adjustRightInd/>
              <w:snapToGrid/>
              <w:spacing w:line="240" w:lineRule="auto"/>
              <w:ind w:firstLine="420"/>
              <w:jc w:val="left"/>
              <w:textAlignment w:val="auto"/>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lang w:eastAsia="zh-CN"/>
              </w:rPr>
              <w:t>a）《土地复垦方案编制规程》（TD/T1031.1-2011）；</w:t>
            </w:r>
          </w:p>
          <w:p>
            <w:pPr>
              <w:pStyle w:val="40"/>
              <w:keepNext w:val="0"/>
              <w:keepLines w:val="0"/>
              <w:pageBreakBefore w:val="0"/>
              <w:widowControl/>
              <w:kinsoku/>
              <w:wordWrap/>
              <w:overflowPunct/>
              <w:topLinePunct w:val="0"/>
              <w:autoSpaceDE/>
              <w:autoSpaceDN/>
              <w:bidi w:val="0"/>
              <w:adjustRightInd/>
              <w:snapToGrid/>
              <w:spacing w:line="240" w:lineRule="auto"/>
              <w:ind w:firstLine="420"/>
              <w:jc w:val="left"/>
              <w:textAlignment w:val="auto"/>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lang w:val="en-US" w:eastAsia="zh-CN"/>
              </w:rPr>
              <w:t>b</w:t>
            </w:r>
            <w:r>
              <w:rPr>
                <w:rFonts w:hint="default" w:ascii="Times New Roman" w:hAnsi="Times New Roman" w:eastAsia="仿宋" w:cs="Times New Roman"/>
                <w:color w:val="auto"/>
                <w:highlight w:val="none"/>
                <w:lang w:eastAsia="zh-CN"/>
              </w:rPr>
              <w:t>）财政部、</w:t>
            </w:r>
            <w:r>
              <w:rPr>
                <w:rFonts w:hint="default" w:ascii="Times New Roman" w:hAnsi="Times New Roman" w:eastAsia="仿宋" w:cs="Times New Roman"/>
                <w:color w:val="auto"/>
                <w:highlight w:val="none"/>
                <w:lang w:val="en-US" w:eastAsia="zh-CN"/>
              </w:rPr>
              <w:t>原</w:t>
            </w:r>
            <w:r>
              <w:rPr>
                <w:rFonts w:hint="default" w:ascii="Times New Roman" w:hAnsi="Times New Roman" w:eastAsia="仿宋" w:cs="Times New Roman"/>
                <w:color w:val="auto"/>
                <w:highlight w:val="none"/>
                <w:lang w:eastAsia="zh-CN"/>
              </w:rPr>
              <w:t>国土资源部《土地开发整理项目预算编制规定》（2012年2月）；</w:t>
            </w:r>
          </w:p>
          <w:p>
            <w:pPr>
              <w:pStyle w:val="40"/>
              <w:keepNext w:val="0"/>
              <w:keepLines w:val="0"/>
              <w:pageBreakBefore w:val="0"/>
              <w:widowControl/>
              <w:kinsoku/>
              <w:wordWrap/>
              <w:overflowPunct/>
              <w:topLinePunct w:val="0"/>
              <w:autoSpaceDE/>
              <w:autoSpaceDN/>
              <w:bidi w:val="0"/>
              <w:adjustRightInd/>
              <w:snapToGrid/>
              <w:spacing w:line="240" w:lineRule="auto"/>
              <w:ind w:firstLine="420"/>
              <w:jc w:val="left"/>
              <w:textAlignment w:val="auto"/>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lang w:val="en-US" w:eastAsia="zh-CN"/>
              </w:rPr>
              <w:t>c</w:t>
            </w:r>
            <w:r>
              <w:rPr>
                <w:rFonts w:hint="default" w:ascii="Times New Roman" w:hAnsi="Times New Roman" w:eastAsia="仿宋" w:cs="Times New Roman"/>
                <w:color w:val="auto"/>
                <w:highlight w:val="none"/>
                <w:lang w:eastAsia="zh-CN"/>
              </w:rPr>
              <w:t>）财政部、</w:t>
            </w:r>
            <w:r>
              <w:rPr>
                <w:rFonts w:hint="default" w:ascii="Times New Roman" w:hAnsi="Times New Roman" w:eastAsia="仿宋" w:cs="Times New Roman"/>
                <w:color w:val="auto"/>
                <w:highlight w:val="none"/>
                <w:lang w:val="en-US" w:eastAsia="zh-CN"/>
              </w:rPr>
              <w:t>原</w:t>
            </w:r>
            <w:r>
              <w:rPr>
                <w:rFonts w:hint="default" w:ascii="Times New Roman" w:hAnsi="Times New Roman" w:eastAsia="仿宋" w:cs="Times New Roman"/>
                <w:color w:val="auto"/>
                <w:highlight w:val="none"/>
                <w:lang w:eastAsia="zh-CN"/>
              </w:rPr>
              <w:t>国土资源部《土地开发整理项目预算定额》（2012年2月）；</w:t>
            </w:r>
          </w:p>
          <w:p>
            <w:pPr>
              <w:pStyle w:val="40"/>
              <w:keepNext w:val="0"/>
              <w:keepLines w:val="0"/>
              <w:pageBreakBefore w:val="0"/>
              <w:widowControl/>
              <w:kinsoku/>
              <w:wordWrap/>
              <w:overflowPunct/>
              <w:topLinePunct w:val="0"/>
              <w:autoSpaceDE/>
              <w:autoSpaceDN/>
              <w:bidi w:val="0"/>
              <w:adjustRightInd/>
              <w:snapToGrid/>
              <w:spacing w:line="240" w:lineRule="auto"/>
              <w:ind w:firstLine="420"/>
              <w:jc w:val="left"/>
              <w:textAlignment w:val="auto"/>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lang w:val="en-US" w:eastAsia="zh-CN"/>
              </w:rPr>
              <w:t>d</w:t>
            </w:r>
            <w:r>
              <w:rPr>
                <w:rFonts w:hint="default" w:ascii="Times New Roman" w:hAnsi="Times New Roman" w:eastAsia="仿宋" w:cs="Times New Roman"/>
                <w:color w:val="auto"/>
                <w:highlight w:val="none"/>
                <w:lang w:eastAsia="zh-CN"/>
              </w:rPr>
              <w:t>）财政部、</w:t>
            </w:r>
            <w:r>
              <w:rPr>
                <w:rFonts w:hint="default" w:ascii="Times New Roman" w:hAnsi="Times New Roman" w:eastAsia="仿宋" w:cs="Times New Roman"/>
                <w:color w:val="auto"/>
                <w:highlight w:val="none"/>
                <w:lang w:val="en-US" w:eastAsia="zh-CN"/>
              </w:rPr>
              <w:t>原</w:t>
            </w:r>
            <w:r>
              <w:rPr>
                <w:rFonts w:hint="default" w:ascii="Times New Roman" w:hAnsi="Times New Roman" w:eastAsia="仿宋" w:cs="Times New Roman"/>
                <w:color w:val="auto"/>
                <w:highlight w:val="none"/>
                <w:lang w:eastAsia="zh-CN"/>
              </w:rPr>
              <w:t>国土资源部《土地开发整理项目施工机械台班费定额》（2012年2月）；</w:t>
            </w:r>
          </w:p>
          <w:p>
            <w:pPr>
              <w:pStyle w:val="40"/>
              <w:keepNext w:val="0"/>
              <w:keepLines w:val="0"/>
              <w:pageBreakBefore w:val="0"/>
              <w:widowControl/>
              <w:kinsoku/>
              <w:wordWrap/>
              <w:overflowPunct/>
              <w:topLinePunct w:val="0"/>
              <w:autoSpaceDE/>
              <w:autoSpaceDN/>
              <w:bidi w:val="0"/>
              <w:adjustRightInd/>
              <w:snapToGrid/>
              <w:spacing w:line="240" w:lineRule="auto"/>
              <w:ind w:firstLine="420"/>
              <w:jc w:val="left"/>
              <w:textAlignment w:val="auto"/>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lang w:eastAsia="zh-CN"/>
              </w:rPr>
              <w:t>e）</w:t>
            </w:r>
            <w:r>
              <w:rPr>
                <w:rFonts w:hint="default" w:ascii="Times New Roman" w:hAnsi="Times New Roman" w:eastAsia="仿宋" w:cs="Times New Roman"/>
                <w:color w:val="auto"/>
                <w:highlight w:val="none"/>
                <w:lang w:val="en-US" w:eastAsia="zh-CN"/>
              </w:rPr>
              <w:t>原</w:t>
            </w:r>
            <w:r>
              <w:rPr>
                <w:rFonts w:hint="default" w:ascii="Times New Roman" w:hAnsi="Times New Roman" w:eastAsia="仿宋" w:cs="Times New Roman"/>
                <w:color w:val="auto"/>
                <w:highlight w:val="none"/>
                <w:lang w:eastAsia="zh-CN"/>
              </w:rPr>
              <w:t>国土资源部土地整理中心《土地复垦方案编制实务》（2011年）；</w:t>
            </w:r>
          </w:p>
          <w:p>
            <w:pPr>
              <w:pStyle w:val="40"/>
              <w:keepNext w:val="0"/>
              <w:keepLines w:val="0"/>
              <w:pageBreakBefore w:val="0"/>
              <w:widowControl/>
              <w:kinsoku/>
              <w:wordWrap/>
              <w:overflowPunct/>
              <w:topLinePunct w:val="0"/>
              <w:autoSpaceDE/>
              <w:autoSpaceDN/>
              <w:bidi w:val="0"/>
              <w:adjustRightInd/>
              <w:snapToGrid/>
              <w:spacing w:line="240" w:lineRule="auto"/>
              <w:ind w:firstLine="420"/>
              <w:jc w:val="left"/>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eastAsia="zh-CN"/>
              </w:rPr>
              <w:t>f）《财政部、</w:t>
            </w:r>
            <w:r>
              <w:rPr>
                <w:rFonts w:hint="default" w:ascii="Times New Roman" w:hAnsi="Times New Roman" w:eastAsia="仿宋" w:cs="Times New Roman"/>
                <w:color w:val="auto"/>
                <w:highlight w:val="none"/>
                <w:lang w:val="en-US" w:eastAsia="zh-CN"/>
              </w:rPr>
              <w:t>原</w:t>
            </w:r>
            <w:r>
              <w:rPr>
                <w:rFonts w:hint="default" w:ascii="Times New Roman" w:hAnsi="Times New Roman" w:eastAsia="仿宋" w:cs="Times New Roman"/>
                <w:color w:val="auto"/>
                <w:highlight w:val="none"/>
                <w:lang w:eastAsia="zh-CN"/>
              </w:rPr>
              <w:t>国土资源部关于印发土地开发整理项目预算定额标准的通知》，财综〔2011〕128号；</w:t>
            </w:r>
          </w:p>
          <w:p>
            <w:pPr>
              <w:pStyle w:val="40"/>
              <w:keepNext w:val="0"/>
              <w:keepLines w:val="0"/>
              <w:pageBreakBefore w:val="0"/>
              <w:widowControl/>
              <w:kinsoku/>
              <w:wordWrap/>
              <w:overflowPunct/>
              <w:topLinePunct w:val="0"/>
              <w:autoSpaceDE/>
              <w:autoSpaceDN/>
              <w:bidi w:val="0"/>
              <w:adjustRightInd/>
              <w:snapToGrid/>
              <w:spacing w:line="240" w:lineRule="auto"/>
              <w:ind w:firstLine="420"/>
              <w:jc w:val="left"/>
              <w:textAlignment w:val="auto"/>
              <w:rPr>
                <w:rFonts w:hint="default" w:ascii="Times New Roman" w:hAnsi="Times New Roman" w:eastAsia="仿宋" w:cs="Times New Roman"/>
                <w:color w:val="auto"/>
                <w:highlight w:val="none"/>
                <w:lang w:eastAsia="zh-CN"/>
              </w:rPr>
            </w:pPr>
            <w:r>
              <w:rPr>
                <w:rFonts w:hint="default" w:ascii="Times New Roman" w:hAnsi="Times New Roman" w:eastAsia="仿宋" w:cs="Times New Roman"/>
                <w:color w:val="auto"/>
                <w:highlight w:val="none"/>
                <w:lang w:val="en-US" w:eastAsia="zh-CN"/>
              </w:rPr>
              <w:t>g</w:t>
            </w:r>
            <w:r>
              <w:rPr>
                <w:rFonts w:hint="default" w:ascii="Times New Roman" w:hAnsi="Times New Roman" w:eastAsia="仿宋" w:cs="Times New Roman"/>
                <w:color w:val="auto"/>
                <w:highlight w:val="none"/>
                <w:lang w:eastAsia="zh-CN"/>
              </w:rPr>
              <w:t>）《关于加强基本建设大中型项目概算中“价差预备费”管理的有关通知》（计投资﹝1999﹞1340号）；</w:t>
            </w:r>
          </w:p>
          <w:p>
            <w:pPr>
              <w:pStyle w:val="40"/>
              <w:keepNext w:val="0"/>
              <w:keepLines w:val="0"/>
              <w:pageBreakBefore w:val="0"/>
              <w:widowControl/>
              <w:kinsoku/>
              <w:wordWrap/>
              <w:overflowPunct/>
              <w:topLinePunct w:val="0"/>
              <w:autoSpaceDE/>
              <w:autoSpaceDN/>
              <w:bidi w:val="0"/>
              <w:adjustRightInd/>
              <w:snapToGrid/>
              <w:spacing w:line="240" w:lineRule="auto"/>
              <w:ind w:firstLine="420"/>
              <w:jc w:val="left"/>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h</w:t>
            </w:r>
            <w:r>
              <w:rPr>
                <w:rFonts w:hint="default" w:ascii="Times New Roman" w:hAnsi="Times New Roman" w:eastAsia="仿宋" w:cs="Times New Roman"/>
                <w:color w:val="auto"/>
                <w:highlight w:val="none"/>
                <w:lang w:eastAsia="zh-CN"/>
              </w:rPr>
              <w:t>）《关于调整我区建设工程计价依据增值税税率的通知》（新建标〔2019〕4号）；</w:t>
            </w:r>
          </w:p>
          <w:p>
            <w:pPr>
              <w:pStyle w:val="40"/>
              <w:keepNext w:val="0"/>
              <w:keepLines w:val="0"/>
              <w:pageBreakBefore w:val="0"/>
              <w:widowControl/>
              <w:kinsoku/>
              <w:wordWrap/>
              <w:overflowPunct/>
              <w:topLinePunct w:val="0"/>
              <w:autoSpaceDE/>
              <w:autoSpaceDN/>
              <w:bidi w:val="0"/>
              <w:adjustRightInd/>
              <w:snapToGrid/>
              <w:spacing w:line="240" w:lineRule="auto"/>
              <w:ind w:firstLine="420"/>
              <w:jc w:val="left"/>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i）《新疆维吾尔自治区土地整治项目补充预算定额（试行）》（新财综</w:t>
            </w:r>
            <w:r>
              <w:rPr>
                <w:rFonts w:hint="default" w:ascii="Times New Roman" w:hAnsi="Times New Roman" w:eastAsia="仿宋" w:cs="Times New Roman"/>
                <w:color w:val="auto"/>
                <w:highlight w:val="none"/>
                <w:lang w:eastAsia="zh-CN"/>
              </w:rPr>
              <w:t>〔2019〕</w:t>
            </w:r>
            <w:r>
              <w:rPr>
                <w:rFonts w:hint="default" w:ascii="Times New Roman" w:hAnsi="Times New Roman" w:eastAsia="仿宋" w:cs="Times New Roman"/>
                <w:color w:val="auto"/>
                <w:highlight w:val="none"/>
                <w:lang w:val="en-US" w:eastAsia="zh-CN"/>
              </w:rPr>
              <w:t>1</w:t>
            </w:r>
            <w:r>
              <w:rPr>
                <w:rFonts w:hint="default" w:ascii="Times New Roman" w:hAnsi="Times New Roman" w:eastAsia="仿宋" w:cs="Times New Roman"/>
                <w:color w:val="auto"/>
                <w:highlight w:val="none"/>
                <w:lang w:eastAsia="zh-CN"/>
              </w:rPr>
              <w:t>号</w:t>
            </w:r>
            <w:r>
              <w:rPr>
                <w:rFonts w:hint="default" w:ascii="Times New Roman" w:hAnsi="Times New Roman" w:eastAsia="仿宋" w:cs="Times New Roman"/>
                <w:color w:val="auto"/>
                <w:highlight w:val="none"/>
                <w:lang w:val="en-US" w:eastAsia="zh-CN"/>
              </w:rPr>
              <w:t>）；</w:t>
            </w:r>
          </w:p>
          <w:p>
            <w:pPr>
              <w:pStyle w:val="40"/>
              <w:keepNext w:val="0"/>
              <w:keepLines w:val="0"/>
              <w:pageBreakBefore w:val="0"/>
              <w:widowControl/>
              <w:kinsoku/>
              <w:wordWrap/>
              <w:overflowPunct/>
              <w:topLinePunct w:val="0"/>
              <w:autoSpaceDE/>
              <w:autoSpaceDN/>
              <w:bidi w:val="0"/>
              <w:adjustRightInd/>
              <w:snapToGrid/>
              <w:spacing w:line="240" w:lineRule="auto"/>
              <w:ind w:firstLine="420"/>
              <w:jc w:val="left"/>
              <w:textAlignment w:val="auto"/>
              <w:rPr>
                <w:rFonts w:hint="default" w:ascii="Times New Roman" w:hAnsi="Times New Roman" w:eastAsia="仿宋" w:cs="Times New Roman"/>
                <w:color w:val="auto"/>
                <w:highlight w:val="none"/>
                <w:lang w:val="en-US" w:eastAsia="zh-CN"/>
              </w:rPr>
            </w:pPr>
            <w:r>
              <w:rPr>
                <w:rFonts w:hint="default" w:ascii="Times New Roman" w:hAnsi="Times New Roman" w:eastAsia="仿宋" w:cs="Times New Roman"/>
                <w:color w:val="auto"/>
                <w:highlight w:val="none"/>
                <w:lang w:val="en-US" w:eastAsia="zh-CN"/>
              </w:rPr>
              <w:t>j）</w:t>
            </w:r>
            <w:r>
              <w:rPr>
                <w:rFonts w:hint="default" w:ascii="Times New Roman" w:hAnsi="Times New Roman" w:eastAsia="仿宋" w:cs="Times New Roman"/>
                <w:color w:val="auto"/>
                <w:highlight w:val="none"/>
                <w:lang w:eastAsia="zh-CN"/>
              </w:rPr>
              <w:t>《新疆水利水电工程设计概（估）预算编制规定》（新水建管﹝2005﹞108 号）；</w:t>
            </w:r>
          </w:p>
          <w:p>
            <w:pPr>
              <w:pStyle w:val="40"/>
              <w:keepNext w:val="0"/>
              <w:keepLines w:val="0"/>
              <w:pageBreakBefore w:val="0"/>
              <w:widowControl/>
              <w:kinsoku/>
              <w:wordWrap/>
              <w:overflowPunct/>
              <w:topLinePunct w:val="0"/>
              <w:autoSpaceDE/>
              <w:autoSpaceDN/>
              <w:bidi w:val="0"/>
              <w:adjustRightInd/>
              <w:snapToGrid/>
              <w:spacing w:line="240" w:lineRule="auto"/>
              <w:ind w:firstLine="420"/>
              <w:jc w:val="left"/>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lang w:val="en-US" w:eastAsia="zh-CN"/>
              </w:rPr>
              <w:t>k</w:t>
            </w:r>
            <w:r>
              <w:rPr>
                <w:rFonts w:hint="default" w:ascii="Times New Roman" w:hAnsi="Times New Roman" w:eastAsia="仿宋" w:cs="Times New Roman"/>
                <w:color w:val="auto"/>
                <w:highlight w:val="none"/>
                <w:lang w:eastAsia="zh-CN"/>
              </w:rPr>
              <w:t>）新疆工程建设标准造价信息网发布的2023年11月喀什地区</w:t>
            </w:r>
            <w:r>
              <w:rPr>
                <w:rFonts w:hint="default" w:ascii="Times New Roman" w:hAnsi="Times New Roman" w:eastAsia="仿宋" w:cs="Times New Roman"/>
                <w:color w:val="auto"/>
                <w:highlight w:val="none"/>
                <w:lang w:val="en-US" w:eastAsia="zh-CN"/>
              </w:rPr>
              <w:t>定额材料价格</w:t>
            </w:r>
            <w:r>
              <w:rPr>
                <w:rFonts w:hint="default" w:ascii="Times New Roman" w:hAnsi="Times New Roman" w:eastAsia="仿宋" w:cs="Times New Roman"/>
                <w:color w:val="auto"/>
                <w:highlight w:val="none"/>
                <w:lang w:eastAsia="zh-CN"/>
              </w:rPr>
              <w:t>以及实地调查价格。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852" w:type="dxa"/>
            <w:vMerge w:val="continue"/>
            <w:tcBorders>
              <w:tl2br w:val="nil"/>
              <w:tr2bl w:val="nil"/>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 w:cs="Times New Roman"/>
                <w:color w:val="auto"/>
                <w:highlight w:val="none"/>
                <w:lang w:eastAsia="zh-CN"/>
              </w:rPr>
            </w:pPr>
          </w:p>
        </w:tc>
        <w:tc>
          <w:tcPr>
            <w:tcW w:w="1087" w:type="dxa"/>
            <w:gridSpan w:val="2"/>
            <w:vMerge w:val="restart"/>
            <w:tcBorders>
              <w:tl2br w:val="nil"/>
              <w:tr2bl w:val="nil"/>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费用构成</w:t>
            </w:r>
          </w:p>
        </w:tc>
        <w:tc>
          <w:tcPr>
            <w:tcW w:w="1309" w:type="dxa"/>
            <w:gridSpan w:val="2"/>
            <w:tcBorders>
              <w:tl2br w:val="nil"/>
              <w:tr2bl w:val="nil"/>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序号</w:t>
            </w:r>
          </w:p>
        </w:tc>
        <w:tc>
          <w:tcPr>
            <w:tcW w:w="1948" w:type="dxa"/>
            <w:gridSpan w:val="3"/>
            <w:tcBorders>
              <w:tl2br w:val="nil"/>
              <w:tr2bl w:val="nil"/>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工程或费用名称</w:t>
            </w:r>
          </w:p>
        </w:tc>
        <w:tc>
          <w:tcPr>
            <w:tcW w:w="1933" w:type="dxa"/>
            <w:gridSpan w:val="4"/>
            <w:tcBorders>
              <w:tl2br w:val="nil"/>
              <w:tr2bl w:val="nil"/>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费用（万元）</w:t>
            </w:r>
          </w:p>
        </w:tc>
        <w:tc>
          <w:tcPr>
            <w:tcW w:w="1410" w:type="dxa"/>
            <w:gridSpan w:val="3"/>
            <w:tcBorders>
              <w:tl2br w:val="nil"/>
              <w:tr2bl w:val="nil"/>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费率（%）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852" w:type="dxa"/>
            <w:vMerge w:val="continue"/>
            <w:tcBorders>
              <w:tl2br w:val="nil"/>
              <w:tr2bl w:val="nil"/>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 w:cs="Times New Roman"/>
                <w:color w:val="auto"/>
                <w:highlight w:val="none"/>
              </w:rPr>
            </w:pPr>
          </w:p>
        </w:tc>
        <w:tc>
          <w:tcPr>
            <w:tcW w:w="1087" w:type="dxa"/>
            <w:gridSpan w:val="2"/>
            <w:vMerge w:val="continue"/>
            <w:tcBorders>
              <w:tl2br w:val="nil"/>
              <w:tr2bl w:val="nil"/>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 w:cs="Times New Roman"/>
                <w:color w:val="auto"/>
                <w:highlight w:val="none"/>
              </w:rPr>
            </w:pPr>
          </w:p>
        </w:tc>
        <w:tc>
          <w:tcPr>
            <w:tcW w:w="1309" w:type="dxa"/>
            <w:gridSpan w:val="2"/>
            <w:tcBorders>
              <w:tl2br w:val="nil"/>
              <w:tr2bl w:val="nil"/>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1</w:t>
            </w:r>
          </w:p>
        </w:tc>
        <w:tc>
          <w:tcPr>
            <w:tcW w:w="1948" w:type="dxa"/>
            <w:gridSpan w:val="3"/>
            <w:tcBorders>
              <w:tl2br w:val="nil"/>
              <w:tr2bl w:val="nil"/>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 w:cs="Times New Roman"/>
                <w:color w:val="auto"/>
                <w:highlight w:val="none"/>
                <w:lang w:val="en-US" w:eastAsia="zh-CN"/>
              </w:rPr>
            </w:pPr>
            <w:r>
              <w:rPr>
                <w:rFonts w:hint="eastAsia" w:ascii="Times New Roman" w:hAnsi="Times New Roman" w:eastAsia="仿宋" w:cs="Times New Roman"/>
                <w:color w:val="auto"/>
                <w:highlight w:val="none"/>
                <w:lang w:val="en-US" w:eastAsia="zh-CN"/>
              </w:rPr>
              <w:t>工程施工费</w:t>
            </w:r>
          </w:p>
        </w:tc>
        <w:tc>
          <w:tcPr>
            <w:tcW w:w="1933" w:type="dxa"/>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color w:val="auto"/>
                <w:highlight w:val="none"/>
                <w:lang w:val="en-US" w:eastAsia="zh-CN"/>
              </w:rPr>
            </w:pPr>
            <w:r>
              <w:rPr>
                <w:rFonts w:hint="eastAsia" w:ascii="Times New Roman" w:hAnsi="Times New Roman" w:eastAsia="仿宋" w:cs="Times New Roman"/>
                <w:i w:val="0"/>
                <w:iCs w:val="0"/>
                <w:color w:val="000000"/>
                <w:kern w:val="0"/>
                <w:sz w:val="21"/>
                <w:szCs w:val="21"/>
                <w:highlight w:val="none"/>
                <w:u w:val="none"/>
                <w:lang w:val="en-US" w:eastAsia="zh-CN" w:bidi="ar"/>
              </w:rPr>
              <w:t>10.47</w:t>
            </w:r>
          </w:p>
        </w:tc>
        <w:tc>
          <w:tcPr>
            <w:tcW w:w="1410" w:type="dxa"/>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color w:val="auto"/>
                <w:highlight w:val="none"/>
                <w:lang w:val="en-US" w:eastAsia="zh-CN"/>
              </w:rPr>
            </w:pPr>
            <w:r>
              <w:rPr>
                <w:rFonts w:hint="eastAsia" w:ascii="Times New Roman" w:hAnsi="Times New Roman" w:eastAsia="仿宋" w:cs="Times New Roman"/>
                <w:i w:val="0"/>
                <w:iCs w:val="0"/>
                <w:color w:val="000000"/>
                <w:kern w:val="0"/>
                <w:sz w:val="21"/>
                <w:szCs w:val="21"/>
                <w:highlight w:val="none"/>
                <w:u w:val="none"/>
                <w:lang w:val="en-US" w:eastAsia="zh-CN" w:bidi="ar"/>
              </w:rPr>
              <w:t>97.09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852" w:type="dxa"/>
            <w:vMerge w:val="continue"/>
            <w:tcBorders>
              <w:tl2br w:val="nil"/>
              <w:tr2bl w:val="nil"/>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 w:cs="Times New Roman"/>
                <w:color w:val="auto"/>
                <w:highlight w:val="none"/>
              </w:rPr>
            </w:pPr>
          </w:p>
        </w:tc>
        <w:tc>
          <w:tcPr>
            <w:tcW w:w="1087" w:type="dxa"/>
            <w:gridSpan w:val="2"/>
            <w:vMerge w:val="continue"/>
            <w:tcBorders>
              <w:tl2br w:val="nil"/>
              <w:tr2bl w:val="nil"/>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 w:cs="Times New Roman"/>
                <w:color w:val="auto"/>
                <w:highlight w:val="none"/>
              </w:rPr>
            </w:pPr>
          </w:p>
        </w:tc>
        <w:tc>
          <w:tcPr>
            <w:tcW w:w="1309" w:type="dxa"/>
            <w:gridSpan w:val="2"/>
            <w:tcBorders>
              <w:tl2br w:val="nil"/>
              <w:tr2bl w:val="nil"/>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2</w:t>
            </w:r>
          </w:p>
        </w:tc>
        <w:tc>
          <w:tcPr>
            <w:tcW w:w="1948" w:type="dxa"/>
            <w:gridSpan w:val="3"/>
            <w:tcBorders>
              <w:tl2br w:val="nil"/>
              <w:tr2bl w:val="nil"/>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 w:cs="Times New Roman"/>
                <w:color w:val="auto"/>
                <w:highlight w:val="none"/>
                <w:lang w:val="en-US" w:eastAsia="zh-CN"/>
              </w:rPr>
            </w:pPr>
            <w:r>
              <w:rPr>
                <w:rFonts w:hint="eastAsia" w:ascii="Times New Roman" w:hAnsi="Times New Roman" w:eastAsia="仿宋" w:cs="Times New Roman"/>
                <w:color w:val="auto"/>
                <w:highlight w:val="none"/>
                <w:lang w:val="en-US" w:eastAsia="zh-CN"/>
              </w:rPr>
              <w:t>设备费</w:t>
            </w:r>
          </w:p>
        </w:tc>
        <w:tc>
          <w:tcPr>
            <w:tcW w:w="1933" w:type="dxa"/>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color w:val="auto"/>
                <w:highlight w:val="none"/>
                <w:lang w:val="en-US" w:eastAsia="zh-CN"/>
              </w:rPr>
            </w:pPr>
            <w:r>
              <w:rPr>
                <w:rFonts w:hint="eastAsia" w:ascii="Times New Roman" w:hAnsi="Times New Roman" w:eastAsia="仿宋" w:cs="Times New Roman"/>
                <w:i w:val="0"/>
                <w:iCs w:val="0"/>
                <w:color w:val="000000"/>
                <w:kern w:val="0"/>
                <w:sz w:val="21"/>
                <w:szCs w:val="21"/>
                <w:highlight w:val="none"/>
                <w:u w:val="none"/>
                <w:lang w:val="en-US" w:eastAsia="zh-CN" w:bidi="ar"/>
              </w:rPr>
              <w:t>0.00</w:t>
            </w:r>
          </w:p>
        </w:tc>
        <w:tc>
          <w:tcPr>
            <w:tcW w:w="1410" w:type="dxa"/>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color w:val="auto"/>
                <w:highlight w:val="none"/>
                <w:lang w:val="en-US" w:eastAsia="zh-CN"/>
              </w:rPr>
            </w:pPr>
            <w:r>
              <w:rPr>
                <w:rFonts w:hint="eastAsia" w:ascii="Times New Roman" w:hAnsi="Times New Roman" w:eastAsia="仿宋" w:cs="Times New Roman"/>
                <w:i w:val="0"/>
                <w:iCs w:val="0"/>
                <w:color w:val="000000"/>
                <w:kern w:val="0"/>
                <w:sz w:val="21"/>
                <w:szCs w:val="21"/>
                <w:highlight w:val="none"/>
                <w:u w:val="none"/>
                <w:lang w:val="en-US" w:eastAsia="zh-CN" w:bidi="ar"/>
              </w:rPr>
              <w:t>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852" w:type="dxa"/>
            <w:vMerge w:val="continue"/>
            <w:tcBorders>
              <w:tl2br w:val="nil"/>
              <w:tr2bl w:val="nil"/>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 w:cs="Times New Roman"/>
                <w:color w:val="auto"/>
                <w:highlight w:val="none"/>
              </w:rPr>
            </w:pPr>
          </w:p>
        </w:tc>
        <w:tc>
          <w:tcPr>
            <w:tcW w:w="1087" w:type="dxa"/>
            <w:gridSpan w:val="2"/>
            <w:vMerge w:val="continue"/>
            <w:tcBorders>
              <w:tl2br w:val="nil"/>
              <w:tr2bl w:val="nil"/>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 w:cs="Times New Roman"/>
                <w:color w:val="auto"/>
                <w:highlight w:val="none"/>
              </w:rPr>
            </w:pPr>
          </w:p>
        </w:tc>
        <w:tc>
          <w:tcPr>
            <w:tcW w:w="1309" w:type="dxa"/>
            <w:gridSpan w:val="2"/>
            <w:tcBorders>
              <w:tl2br w:val="nil"/>
              <w:tr2bl w:val="nil"/>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3</w:t>
            </w:r>
          </w:p>
        </w:tc>
        <w:tc>
          <w:tcPr>
            <w:tcW w:w="1948" w:type="dxa"/>
            <w:gridSpan w:val="3"/>
            <w:tcBorders>
              <w:tl2br w:val="nil"/>
              <w:tr2bl w:val="nil"/>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 w:cs="Times New Roman"/>
                <w:color w:val="auto"/>
                <w:highlight w:val="none"/>
                <w:lang w:val="en-US" w:eastAsia="zh-CN"/>
              </w:rPr>
            </w:pPr>
            <w:r>
              <w:rPr>
                <w:rFonts w:hint="eastAsia" w:ascii="Times New Roman" w:hAnsi="Times New Roman" w:eastAsia="仿宋" w:cs="Times New Roman"/>
                <w:color w:val="auto"/>
                <w:highlight w:val="none"/>
                <w:lang w:val="en-US" w:eastAsia="zh-CN"/>
              </w:rPr>
              <w:t>其他费用</w:t>
            </w:r>
          </w:p>
        </w:tc>
        <w:tc>
          <w:tcPr>
            <w:tcW w:w="1933" w:type="dxa"/>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color w:val="auto"/>
                <w:highlight w:val="none"/>
                <w:lang w:val="en-US" w:eastAsia="zh-CN"/>
              </w:rPr>
            </w:pPr>
            <w:r>
              <w:rPr>
                <w:rFonts w:hint="eastAsia" w:ascii="Times New Roman" w:hAnsi="Times New Roman" w:eastAsia="仿宋" w:cs="Times New Roman"/>
                <w:i w:val="0"/>
                <w:iCs w:val="0"/>
                <w:color w:val="000000"/>
                <w:kern w:val="0"/>
                <w:sz w:val="21"/>
                <w:szCs w:val="21"/>
                <w:highlight w:val="none"/>
                <w:u w:val="none"/>
                <w:lang w:val="en-US" w:eastAsia="zh-CN" w:bidi="ar"/>
              </w:rPr>
              <w:t>0.00</w:t>
            </w:r>
          </w:p>
        </w:tc>
        <w:tc>
          <w:tcPr>
            <w:tcW w:w="1410" w:type="dxa"/>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color w:val="auto"/>
                <w:highlight w:val="none"/>
                <w:lang w:val="en-US" w:eastAsia="zh-CN"/>
              </w:rPr>
            </w:pPr>
            <w:r>
              <w:rPr>
                <w:rFonts w:hint="eastAsia" w:ascii="Times New Roman" w:hAnsi="Times New Roman" w:eastAsia="仿宋" w:cs="Times New Roman"/>
                <w:i w:val="0"/>
                <w:iCs w:val="0"/>
                <w:color w:val="000000"/>
                <w:kern w:val="0"/>
                <w:sz w:val="21"/>
                <w:szCs w:val="21"/>
                <w:highlight w:val="none"/>
                <w:u w:val="none"/>
                <w:lang w:val="en-US" w:eastAsia="zh-CN" w:bidi="ar"/>
              </w:rPr>
              <w:t>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852" w:type="dxa"/>
            <w:vMerge w:val="continue"/>
            <w:tcBorders>
              <w:tl2br w:val="nil"/>
              <w:tr2bl w:val="nil"/>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 w:cs="Times New Roman"/>
                <w:color w:val="auto"/>
                <w:highlight w:val="none"/>
              </w:rPr>
            </w:pPr>
          </w:p>
        </w:tc>
        <w:tc>
          <w:tcPr>
            <w:tcW w:w="1087" w:type="dxa"/>
            <w:gridSpan w:val="2"/>
            <w:vMerge w:val="continue"/>
            <w:tcBorders>
              <w:tl2br w:val="nil"/>
              <w:tr2bl w:val="nil"/>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 w:cs="Times New Roman"/>
                <w:color w:val="auto"/>
                <w:highlight w:val="none"/>
              </w:rPr>
            </w:pPr>
          </w:p>
        </w:tc>
        <w:tc>
          <w:tcPr>
            <w:tcW w:w="1309" w:type="dxa"/>
            <w:gridSpan w:val="2"/>
            <w:tcBorders>
              <w:tl2br w:val="nil"/>
              <w:tr2bl w:val="nil"/>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4</w:t>
            </w:r>
          </w:p>
        </w:tc>
        <w:tc>
          <w:tcPr>
            <w:tcW w:w="1948" w:type="dxa"/>
            <w:gridSpan w:val="3"/>
            <w:tcBorders>
              <w:tl2br w:val="nil"/>
              <w:tr2bl w:val="nil"/>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 w:cs="Times New Roman"/>
                <w:color w:val="auto"/>
                <w:highlight w:val="none"/>
                <w:lang w:val="en-US" w:eastAsia="zh-CN"/>
              </w:rPr>
            </w:pPr>
            <w:r>
              <w:rPr>
                <w:rFonts w:hint="eastAsia" w:ascii="Times New Roman" w:hAnsi="Times New Roman" w:eastAsia="仿宋" w:cs="Times New Roman"/>
                <w:color w:val="auto"/>
                <w:highlight w:val="none"/>
                <w:lang w:val="en-US" w:eastAsia="zh-CN"/>
              </w:rPr>
              <w:t>监测与管护费</w:t>
            </w:r>
          </w:p>
        </w:tc>
        <w:tc>
          <w:tcPr>
            <w:tcW w:w="1933" w:type="dxa"/>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color w:val="auto"/>
                <w:highlight w:val="none"/>
                <w:lang w:val="en-US" w:eastAsia="zh-CN"/>
              </w:rPr>
            </w:pPr>
            <w:r>
              <w:rPr>
                <w:rFonts w:hint="eastAsia" w:ascii="Times New Roman" w:hAnsi="Times New Roman" w:eastAsia="仿宋" w:cs="Times New Roman"/>
                <w:i w:val="0"/>
                <w:iCs w:val="0"/>
                <w:color w:val="000000"/>
                <w:kern w:val="0"/>
                <w:sz w:val="21"/>
                <w:szCs w:val="21"/>
                <w:highlight w:val="none"/>
                <w:u w:val="none"/>
                <w:lang w:val="en-US" w:eastAsia="zh-CN" w:bidi="ar"/>
              </w:rPr>
              <w:t>0.00</w:t>
            </w:r>
          </w:p>
        </w:tc>
        <w:tc>
          <w:tcPr>
            <w:tcW w:w="1410" w:type="dxa"/>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color w:val="auto"/>
                <w:highlight w:val="none"/>
                <w:lang w:val="en-US" w:eastAsia="zh-CN"/>
              </w:rPr>
            </w:pPr>
            <w:r>
              <w:rPr>
                <w:rFonts w:hint="eastAsia" w:ascii="Times New Roman" w:hAnsi="Times New Roman" w:eastAsia="仿宋" w:cs="Times New Roman"/>
                <w:i w:val="0"/>
                <w:iCs w:val="0"/>
                <w:color w:val="000000"/>
                <w:kern w:val="0"/>
                <w:sz w:val="21"/>
                <w:szCs w:val="21"/>
                <w:highlight w:val="none"/>
                <w:u w:val="none"/>
                <w:lang w:val="en-US" w:eastAsia="zh-CN" w:bidi="ar"/>
              </w:rPr>
              <w:t>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852" w:type="dxa"/>
            <w:vMerge w:val="continue"/>
            <w:tcBorders>
              <w:tl2br w:val="nil"/>
              <w:tr2bl w:val="nil"/>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 w:cs="Times New Roman"/>
                <w:color w:val="auto"/>
                <w:highlight w:val="none"/>
              </w:rPr>
            </w:pPr>
          </w:p>
        </w:tc>
        <w:tc>
          <w:tcPr>
            <w:tcW w:w="1087" w:type="dxa"/>
            <w:gridSpan w:val="2"/>
            <w:vMerge w:val="continue"/>
            <w:tcBorders>
              <w:tl2br w:val="nil"/>
              <w:tr2bl w:val="nil"/>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 w:cs="Times New Roman"/>
                <w:color w:val="auto"/>
                <w:highlight w:val="none"/>
              </w:rPr>
            </w:pPr>
          </w:p>
        </w:tc>
        <w:tc>
          <w:tcPr>
            <w:tcW w:w="1309" w:type="dxa"/>
            <w:gridSpan w:val="2"/>
            <w:tcBorders>
              <w:tl2br w:val="nil"/>
              <w:tr2bl w:val="nil"/>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（1）</w:t>
            </w:r>
          </w:p>
        </w:tc>
        <w:tc>
          <w:tcPr>
            <w:tcW w:w="1948" w:type="dxa"/>
            <w:gridSpan w:val="3"/>
            <w:tcBorders>
              <w:tl2br w:val="nil"/>
              <w:tr2bl w:val="nil"/>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 w:cs="Times New Roman"/>
                <w:color w:val="auto"/>
                <w:highlight w:val="none"/>
                <w:lang w:val="en-US" w:eastAsia="zh-CN"/>
              </w:rPr>
            </w:pPr>
            <w:r>
              <w:rPr>
                <w:rFonts w:hint="eastAsia" w:ascii="Times New Roman" w:hAnsi="Times New Roman" w:eastAsia="仿宋" w:cs="Times New Roman"/>
                <w:color w:val="auto"/>
                <w:highlight w:val="none"/>
                <w:lang w:val="en-US" w:eastAsia="zh-CN"/>
              </w:rPr>
              <w:t>复垦监测费</w:t>
            </w:r>
          </w:p>
        </w:tc>
        <w:tc>
          <w:tcPr>
            <w:tcW w:w="1933" w:type="dxa"/>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color w:val="auto"/>
                <w:highlight w:val="none"/>
                <w:lang w:val="en-US" w:eastAsia="zh-CN"/>
              </w:rPr>
            </w:pPr>
            <w:r>
              <w:rPr>
                <w:rFonts w:hint="eastAsia" w:ascii="Times New Roman" w:hAnsi="Times New Roman" w:eastAsia="仿宋" w:cs="Times New Roman"/>
                <w:i w:val="0"/>
                <w:iCs w:val="0"/>
                <w:color w:val="000000"/>
                <w:kern w:val="0"/>
                <w:sz w:val="21"/>
                <w:szCs w:val="21"/>
                <w:highlight w:val="none"/>
                <w:u w:val="none"/>
                <w:lang w:val="en-US" w:eastAsia="zh-CN" w:bidi="ar"/>
              </w:rPr>
              <w:t>0.00</w:t>
            </w:r>
          </w:p>
        </w:tc>
        <w:tc>
          <w:tcPr>
            <w:tcW w:w="1410" w:type="dxa"/>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color w:val="auto"/>
                <w:highlight w:val="none"/>
                <w:lang w:val="en-US" w:eastAsia="zh-CN"/>
              </w:rPr>
            </w:pPr>
            <w:r>
              <w:rPr>
                <w:rFonts w:hint="eastAsia" w:ascii="Times New Roman" w:hAnsi="Times New Roman" w:eastAsia="仿宋" w:cs="Times New Roman"/>
                <w:i w:val="0"/>
                <w:iCs w:val="0"/>
                <w:color w:val="000000"/>
                <w:kern w:val="0"/>
                <w:sz w:val="21"/>
                <w:szCs w:val="21"/>
                <w:highlight w:val="none"/>
                <w:u w:val="none"/>
                <w:lang w:val="en-US" w:eastAsia="zh-CN" w:bidi="ar"/>
              </w:rPr>
              <w:t>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852" w:type="dxa"/>
            <w:vMerge w:val="continue"/>
            <w:tcBorders>
              <w:tl2br w:val="nil"/>
              <w:tr2bl w:val="nil"/>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 w:cs="Times New Roman"/>
                <w:color w:val="auto"/>
                <w:highlight w:val="none"/>
              </w:rPr>
            </w:pPr>
          </w:p>
        </w:tc>
        <w:tc>
          <w:tcPr>
            <w:tcW w:w="1087" w:type="dxa"/>
            <w:gridSpan w:val="2"/>
            <w:vMerge w:val="continue"/>
            <w:tcBorders>
              <w:tl2br w:val="nil"/>
              <w:tr2bl w:val="nil"/>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 w:cs="Times New Roman"/>
                <w:color w:val="auto"/>
                <w:highlight w:val="none"/>
              </w:rPr>
            </w:pPr>
          </w:p>
        </w:tc>
        <w:tc>
          <w:tcPr>
            <w:tcW w:w="1309" w:type="dxa"/>
            <w:gridSpan w:val="2"/>
            <w:tcBorders>
              <w:tl2br w:val="nil"/>
              <w:tr2bl w:val="nil"/>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（2）</w:t>
            </w:r>
          </w:p>
        </w:tc>
        <w:tc>
          <w:tcPr>
            <w:tcW w:w="1948" w:type="dxa"/>
            <w:gridSpan w:val="3"/>
            <w:tcBorders>
              <w:tl2br w:val="nil"/>
              <w:tr2bl w:val="nil"/>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 w:cs="Times New Roman"/>
                <w:color w:val="auto"/>
                <w:highlight w:val="none"/>
                <w:lang w:val="en-US" w:eastAsia="zh-CN"/>
              </w:rPr>
            </w:pPr>
            <w:r>
              <w:rPr>
                <w:rFonts w:hint="eastAsia" w:ascii="Times New Roman" w:hAnsi="Times New Roman" w:eastAsia="仿宋" w:cs="Times New Roman"/>
                <w:color w:val="auto"/>
                <w:highlight w:val="none"/>
                <w:lang w:val="en-US" w:eastAsia="zh-CN"/>
              </w:rPr>
              <w:t>管护费</w:t>
            </w:r>
          </w:p>
        </w:tc>
        <w:tc>
          <w:tcPr>
            <w:tcW w:w="1933" w:type="dxa"/>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color w:val="auto"/>
                <w:highlight w:val="none"/>
                <w:lang w:val="en-US" w:eastAsia="zh-CN"/>
              </w:rPr>
            </w:pPr>
            <w:r>
              <w:rPr>
                <w:rFonts w:hint="eastAsia" w:ascii="Times New Roman" w:hAnsi="Times New Roman" w:eastAsia="仿宋" w:cs="Times New Roman"/>
                <w:i w:val="0"/>
                <w:iCs w:val="0"/>
                <w:color w:val="000000"/>
                <w:kern w:val="0"/>
                <w:sz w:val="21"/>
                <w:szCs w:val="21"/>
                <w:highlight w:val="none"/>
                <w:u w:val="none"/>
                <w:lang w:val="en-US" w:eastAsia="zh-CN" w:bidi="ar"/>
              </w:rPr>
              <w:t>0.00</w:t>
            </w:r>
          </w:p>
        </w:tc>
        <w:tc>
          <w:tcPr>
            <w:tcW w:w="1410" w:type="dxa"/>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color w:val="auto"/>
                <w:highlight w:val="none"/>
                <w:lang w:val="en-US" w:eastAsia="zh-CN"/>
              </w:rPr>
            </w:pPr>
            <w:r>
              <w:rPr>
                <w:rFonts w:hint="eastAsia" w:ascii="Times New Roman" w:hAnsi="Times New Roman" w:eastAsia="仿宋" w:cs="Times New Roman"/>
                <w:i w:val="0"/>
                <w:iCs w:val="0"/>
                <w:color w:val="000000"/>
                <w:kern w:val="0"/>
                <w:sz w:val="21"/>
                <w:szCs w:val="21"/>
                <w:highlight w:val="none"/>
                <w:u w:val="none"/>
                <w:lang w:val="en-US" w:eastAsia="zh-CN" w:bidi="ar"/>
              </w:rPr>
              <w:t>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852" w:type="dxa"/>
            <w:vMerge w:val="continue"/>
            <w:tcBorders>
              <w:tl2br w:val="nil"/>
              <w:tr2bl w:val="nil"/>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 w:cs="Times New Roman"/>
                <w:color w:val="auto"/>
                <w:highlight w:val="none"/>
              </w:rPr>
            </w:pPr>
          </w:p>
        </w:tc>
        <w:tc>
          <w:tcPr>
            <w:tcW w:w="1087" w:type="dxa"/>
            <w:gridSpan w:val="2"/>
            <w:vMerge w:val="continue"/>
            <w:tcBorders>
              <w:tl2br w:val="nil"/>
              <w:tr2bl w:val="nil"/>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 w:cs="Times New Roman"/>
                <w:color w:val="auto"/>
                <w:highlight w:val="none"/>
              </w:rPr>
            </w:pPr>
          </w:p>
        </w:tc>
        <w:tc>
          <w:tcPr>
            <w:tcW w:w="1309" w:type="dxa"/>
            <w:gridSpan w:val="2"/>
            <w:tcBorders>
              <w:tl2br w:val="nil"/>
              <w:tr2bl w:val="nil"/>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5</w:t>
            </w:r>
          </w:p>
        </w:tc>
        <w:tc>
          <w:tcPr>
            <w:tcW w:w="1948" w:type="dxa"/>
            <w:gridSpan w:val="3"/>
            <w:tcBorders>
              <w:tl2br w:val="nil"/>
              <w:tr2bl w:val="nil"/>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 w:cs="Times New Roman"/>
                <w:color w:val="auto"/>
                <w:highlight w:val="none"/>
                <w:lang w:val="en-US" w:eastAsia="zh-CN"/>
              </w:rPr>
            </w:pPr>
            <w:r>
              <w:rPr>
                <w:rFonts w:hint="eastAsia" w:ascii="Times New Roman" w:hAnsi="Times New Roman" w:eastAsia="仿宋" w:cs="Times New Roman"/>
                <w:color w:val="auto"/>
                <w:highlight w:val="none"/>
                <w:lang w:val="en-US" w:eastAsia="zh-CN"/>
              </w:rPr>
              <w:t>预备费</w:t>
            </w:r>
          </w:p>
        </w:tc>
        <w:tc>
          <w:tcPr>
            <w:tcW w:w="1933" w:type="dxa"/>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color w:val="auto"/>
                <w:highlight w:val="none"/>
                <w:lang w:val="en-US" w:eastAsia="zh-CN"/>
              </w:rPr>
            </w:pPr>
            <w:r>
              <w:rPr>
                <w:rFonts w:hint="eastAsia" w:ascii="Times New Roman" w:hAnsi="Times New Roman" w:eastAsia="仿宋" w:cs="Times New Roman"/>
                <w:i w:val="0"/>
                <w:iCs w:val="0"/>
                <w:color w:val="000000"/>
                <w:kern w:val="0"/>
                <w:sz w:val="21"/>
                <w:szCs w:val="21"/>
                <w:highlight w:val="none"/>
                <w:u w:val="none"/>
                <w:lang w:val="en-US" w:eastAsia="zh-CN" w:bidi="ar"/>
              </w:rPr>
              <w:t>0.31</w:t>
            </w:r>
          </w:p>
        </w:tc>
        <w:tc>
          <w:tcPr>
            <w:tcW w:w="1410" w:type="dxa"/>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color w:val="auto"/>
                <w:highlight w:val="none"/>
                <w:lang w:val="en-US" w:eastAsia="zh-CN"/>
              </w:rPr>
            </w:pPr>
            <w:r>
              <w:rPr>
                <w:rFonts w:hint="eastAsia" w:ascii="Times New Roman" w:hAnsi="Times New Roman" w:eastAsia="仿宋" w:cs="Times New Roman"/>
                <w:i w:val="0"/>
                <w:iCs w:val="0"/>
                <w:color w:val="000000"/>
                <w:kern w:val="0"/>
                <w:sz w:val="21"/>
                <w:szCs w:val="21"/>
                <w:highlight w:val="none"/>
                <w:u w:val="none"/>
                <w:lang w:val="en-US" w:eastAsia="zh-CN" w:bidi="ar"/>
              </w:rPr>
              <w:t>2.91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852" w:type="dxa"/>
            <w:vMerge w:val="continue"/>
            <w:tcBorders>
              <w:tl2br w:val="nil"/>
              <w:tr2bl w:val="nil"/>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 w:cs="Times New Roman"/>
                <w:color w:val="auto"/>
                <w:highlight w:val="none"/>
              </w:rPr>
            </w:pPr>
          </w:p>
        </w:tc>
        <w:tc>
          <w:tcPr>
            <w:tcW w:w="1087" w:type="dxa"/>
            <w:gridSpan w:val="2"/>
            <w:vMerge w:val="continue"/>
            <w:tcBorders>
              <w:tl2br w:val="nil"/>
              <w:tr2bl w:val="nil"/>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 w:cs="Times New Roman"/>
                <w:color w:val="auto"/>
                <w:highlight w:val="none"/>
              </w:rPr>
            </w:pPr>
          </w:p>
        </w:tc>
        <w:tc>
          <w:tcPr>
            <w:tcW w:w="1309" w:type="dxa"/>
            <w:gridSpan w:val="2"/>
            <w:tcBorders>
              <w:tl2br w:val="nil"/>
              <w:tr2bl w:val="nil"/>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（1）</w:t>
            </w:r>
          </w:p>
        </w:tc>
        <w:tc>
          <w:tcPr>
            <w:tcW w:w="1948" w:type="dxa"/>
            <w:gridSpan w:val="3"/>
            <w:tcBorders>
              <w:tl2br w:val="nil"/>
              <w:tr2bl w:val="nil"/>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 w:cs="Times New Roman"/>
                <w:color w:val="auto"/>
                <w:highlight w:val="none"/>
                <w:lang w:val="en-US" w:eastAsia="zh-CN"/>
              </w:rPr>
            </w:pPr>
            <w:r>
              <w:rPr>
                <w:rFonts w:hint="eastAsia" w:ascii="Times New Roman" w:hAnsi="Times New Roman" w:eastAsia="仿宋" w:cs="Times New Roman"/>
                <w:color w:val="auto"/>
                <w:highlight w:val="none"/>
                <w:lang w:val="en-US" w:eastAsia="zh-CN"/>
              </w:rPr>
              <w:t>基本预备费</w:t>
            </w:r>
          </w:p>
        </w:tc>
        <w:tc>
          <w:tcPr>
            <w:tcW w:w="1933" w:type="dxa"/>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color w:val="auto"/>
                <w:highlight w:val="none"/>
                <w:lang w:val="en-US" w:eastAsia="zh-CN"/>
              </w:rPr>
            </w:pPr>
            <w:r>
              <w:rPr>
                <w:rFonts w:hint="eastAsia" w:ascii="Times New Roman" w:hAnsi="Times New Roman" w:eastAsia="仿宋" w:cs="Times New Roman"/>
                <w:i w:val="0"/>
                <w:iCs w:val="0"/>
                <w:color w:val="000000"/>
                <w:kern w:val="0"/>
                <w:sz w:val="21"/>
                <w:szCs w:val="21"/>
                <w:highlight w:val="none"/>
                <w:u w:val="none"/>
                <w:lang w:val="en-US" w:eastAsia="zh-CN" w:bidi="ar"/>
              </w:rPr>
              <w:t>0.31</w:t>
            </w:r>
          </w:p>
        </w:tc>
        <w:tc>
          <w:tcPr>
            <w:tcW w:w="1410" w:type="dxa"/>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color w:val="auto"/>
                <w:highlight w:val="none"/>
                <w:lang w:val="en-US" w:eastAsia="zh-CN"/>
              </w:rPr>
            </w:pPr>
            <w:r>
              <w:rPr>
                <w:rFonts w:hint="eastAsia" w:ascii="Times New Roman" w:hAnsi="Times New Roman" w:eastAsia="仿宋" w:cs="Times New Roman"/>
                <w:i w:val="0"/>
                <w:iCs w:val="0"/>
                <w:color w:val="000000"/>
                <w:kern w:val="0"/>
                <w:sz w:val="21"/>
                <w:szCs w:val="21"/>
                <w:highlight w:val="none"/>
                <w:u w:val="none"/>
                <w:lang w:val="en-US" w:eastAsia="zh-CN" w:bidi="ar"/>
              </w:rPr>
              <w:t>2.91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852" w:type="dxa"/>
            <w:vMerge w:val="continue"/>
            <w:tcBorders>
              <w:tl2br w:val="nil"/>
              <w:tr2bl w:val="nil"/>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 w:cs="Times New Roman"/>
                <w:color w:val="auto"/>
                <w:highlight w:val="none"/>
              </w:rPr>
            </w:pPr>
          </w:p>
        </w:tc>
        <w:tc>
          <w:tcPr>
            <w:tcW w:w="1087" w:type="dxa"/>
            <w:gridSpan w:val="2"/>
            <w:vMerge w:val="continue"/>
            <w:tcBorders>
              <w:tl2br w:val="nil"/>
              <w:tr2bl w:val="nil"/>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 w:cs="Times New Roman"/>
                <w:color w:val="auto"/>
                <w:highlight w:val="none"/>
              </w:rPr>
            </w:pPr>
          </w:p>
        </w:tc>
        <w:tc>
          <w:tcPr>
            <w:tcW w:w="1309" w:type="dxa"/>
            <w:gridSpan w:val="2"/>
            <w:tcBorders>
              <w:tl2br w:val="nil"/>
              <w:tr2bl w:val="nil"/>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 w:cs="Times New Roman"/>
                <w:color w:val="auto"/>
                <w:highlight w:val="none"/>
              </w:rPr>
            </w:pPr>
            <w:r>
              <w:rPr>
                <w:rFonts w:hint="default" w:ascii="Times New Roman" w:hAnsi="Times New Roman" w:eastAsia="仿宋" w:cs="Times New Roman"/>
                <w:color w:val="auto"/>
                <w:highlight w:val="none"/>
              </w:rPr>
              <w:t>（2）</w:t>
            </w:r>
          </w:p>
        </w:tc>
        <w:tc>
          <w:tcPr>
            <w:tcW w:w="1948" w:type="dxa"/>
            <w:gridSpan w:val="3"/>
            <w:tcBorders>
              <w:tl2br w:val="nil"/>
              <w:tr2bl w:val="nil"/>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 w:cs="Times New Roman"/>
                <w:color w:val="auto"/>
                <w:highlight w:val="none"/>
                <w:lang w:val="en-US" w:eastAsia="zh-CN"/>
              </w:rPr>
            </w:pPr>
            <w:r>
              <w:rPr>
                <w:rFonts w:hint="eastAsia" w:ascii="Times New Roman" w:hAnsi="Times New Roman" w:eastAsia="仿宋" w:cs="Times New Roman"/>
                <w:color w:val="auto"/>
                <w:highlight w:val="none"/>
                <w:lang w:val="en-US" w:eastAsia="zh-CN"/>
              </w:rPr>
              <w:t>价差预备费</w:t>
            </w:r>
          </w:p>
        </w:tc>
        <w:tc>
          <w:tcPr>
            <w:tcW w:w="1933" w:type="dxa"/>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color w:val="auto"/>
                <w:highlight w:val="none"/>
                <w:lang w:val="en-US" w:eastAsia="zh-CN"/>
              </w:rPr>
            </w:pPr>
          </w:p>
        </w:tc>
        <w:tc>
          <w:tcPr>
            <w:tcW w:w="1410" w:type="dxa"/>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color w:val="auto"/>
                <w:highlight w:val="none"/>
                <w:lang w:val="en-US" w:eastAsia="zh-CN"/>
              </w:rPr>
            </w:pPr>
            <w:r>
              <w:rPr>
                <w:rFonts w:hint="eastAsia" w:ascii="Times New Roman" w:hAnsi="Times New Roman" w:eastAsia="仿宋" w:cs="Times New Roman"/>
                <w:i w:val="0"/>
                <w:iCs w:val="0"/>
                <w:color w:val="000000"/>
                <w:kern w:val="0"/>
                <w:sz w:val="21"/>
                <w:szCs w:val="21"/>
                <w:highlight w:val="none"/>
                <w:u w:val="none"/>
                <w:lang w:val="en-US" w:eastAsia="zh-CN" w:bidi="ar"/>
              </w:rPr>
              <w:t>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12" w:hRule="atLeast"/>
        </w:trPr>
        <w:tc>
          <w:tcPr>
            <w:tcW w:w="852" w:type="dxa"/>
            <w:vMerge w:val="continue"/>
            <w:tcBorders>
              <w:tl2br w:val="nil"/>
              <w:tr2bl w:val="nil"/>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 w:cs="Times New Roman"/>
                <w:color w:val="auto"/>
                <w:highlight w:val="none"/>
              </w:rPr>
            </w:pPr>
          </w:p>
        </w:tc>
        <w:tc>
          <w:tcPr>
            <w:tcW w:w="1087" w:type="dxa"/>
            <w:gridSpan w:val="2"/>
            <w:vMerge w:val="continue"/>
            <w:tcBorders>
              <w:tl2br w:val="nil"/>
              <w:tr2bl w:val="nil"/>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 w:cs="Times New Roman"/>
                <w:color w:val="auto"/>
                <w:highlight w:val="none"/>
              </w:rPr>
            </w:pPr>
          </w:p>
        </w:tc>
        <w:tc>
          <w:tcPr>
            <w:tcW w:w="1309" w:type="dxa"/>
            <w:gridSpan w:val="2"/>
            <w:tcBorders>
              <w:tl2br w:val="nil"/>
              <w:tr2bl w:val="nil"/>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eastAsia" w:ascii="Times New Roman" w:hAnsi="Times New Roman" w:eastAsia="仿宋" w:cs="Times New Roman"/>
                <w:color w:val="auto"/>
                <w:highlight w:val="none"/>
                <w:lang w:val="en-US" w:eastAsia="zh-CN"/>
              </w:rPr>
            </w:pPr>
            <w:r>
              <w:rPr>
                <w:rFonts w:hint="eastAsia" w:ascii="Times New Roman" w:hAnsi="Times New Roman" w:eastAsia="仿宋" w:cs="Times New Roman"/>
                <w:color w:val="auto"/>
                <w:highlight w:val="none"/>
                <w:lang w:val="en-US" w:eastAsia="zh-CN"/>
              </w:rPr>
              <w:t>6</w:t>
            </w:r>
          </w:p>
        </w:tc>
        <w:tc>
          <w:tcPr>
            <w:tcW w:w="1948" w:type="dxa"/>
            <w:gridSpan w:val="3"/>
            <w:tcBorders>
              <w:tl2br w:val="nil"/>
              <w:tr2bl w:val="nil"/>
            </w:tcBorders>
            <w:vAlign w:val="center"/>
          </w:tcPr>
          <w:p>
            <w:pPr>
              <w:pStyle w:val="40"/>
              <w:keepNext w:val="0"/>
              <w:keepLines w:val="0"/>
              <w:pageBreakBefore w:val="0"/>
              <w:kinsoku/>
              <w:wordWrap/>
              <w:overflowPunct/>
              <w:topLinePunct w:val="0"/>
              <w:autoSpaceDE/>
              <w:autoSpaceDN/>
              <w:bidi w:val="0"/>
              <w:adjustRightInd w:val="0"/>
              <w:snapToGrid w:val="0"/>
              <w:ind w:firstLine="0" w:firstLineChars="0"/>
              <w:textAlignment w:val="auto"/>
              <w:rPr>
                <w:rFonts w:hint="default" w:ascii="Times New Roman" w:hAnsi="Times New Roman" w:eastAsia="仿宋" w:cs="Times New Roman"/>
                <w:color w:val="auto"/>
                <w:highlight w:val="none"/>
                <w:lang w:val="en-US" w:eastAsia="zh-CN"/>
              </w:rPr>
            </w:pPr>
            <w:r>
              <w:rPr>
                <w:rFonts w:hint="eastAsia" w:ascii="Times New Roman" w:hAnsi="Times New Roman" w:eastAsia="仿宋" w:cs="Times New Roman"/>
                <w:color w:val="auto"/>
                <w:highlight w:val="none"/>
                <w:lang w:val="en-US" w:eastAsia="zh-CN"/>
              </w:rPr>
              <w:t>静态总投资</w:t>
            </w:r>
          </w:p>
        </w:tc>
        <w:tc>
          <w:tcPr>
            <w:tcW w:w="1933" w:type="dxa"/>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color w:val="auto"/>
                <w:highlight w:val="none"/>
                <w:lang w:val="en-US" w:eastAsia="zh-CN"/>
              </w:rPr>
            </w:pPr>
            <w:r>
              <w:rPr>
                <w:rFonts w:hint="eastAsia" w:ascii="Times New Roman" w:hAnsi="Times New Roman" w:eastAsia="仿宋" w:cs="Times New Roman"/>
                <w:i w:val="0"/>
                <w:iCs w:val="0"/>
                <w:color w:val="000000"/>
                <w:kern w:val="0"/>
                <w:sz w:val="21"/>
                <w:szCs w:val="21"/>
                <w:highlight w:val="none"/>
                <w:u w:val="none"/>
                <w:lang w:val="en-US" w:eastAsia="zh-CN" w:bidi="ar"/>
              </w:rPr>
              <w:t>10.78</w:t>
            </w:r>
          </w:p>
        </w:tc>
        <w:tc>
          <w:tcPr>
            <w:tcW w:w="1410" w:type="dxa"/>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Times New Roman" w:hAnsi="Times New Roman" w:eastAsia="仿宋" w:cs="Times New Roman"/>
                <w:color w:val="auto"/>
                <w:highlight w:val="none"/>
                <w:lang w:val="en-US" w:eastAsia="zh-CN"/>
              </w:rPr>
            </w:pPr>
            <w:r>
              <w:rPr>
                <w:rFonts w:hint="eastAsia" w:ascii="Times New Roman" w:hAnsi="Times New Roman" w:eastAsia="仿宋" w:cs="Times New Roman"/>
                <w:i w:val="0"/>
                <w:iCs w:val="0"/>
                <w:color w:val="000000"/>
                <w:kern w:val="0"/>
                <w:sz w:val="21"/>
                <w:szCs w:val="21"/>
                <w:highlight w:val="none"/>
                <w:u w:val="none"/>
                <w:lang w:val="en-US" w:eastAsia="zh-CN" w:bidi="ar"/>
              </w:rPr>
              <w:t>100.00</w:t>
            </w:r>
          </w:p>
        </w:tc>
      </w:tr>
    </w:tbl>
    <w:p>
      <w:pPr>
        <w:pStyle w:val="2"/>
        <w:rPr>
          <w:rFonts w:hint="default" w:ascii="Times New Roman" w:hAnsi="Times New Roman" w:cs="Times New Roman"/>
          <w:color w:val="auto"/>
          <w:highlight w:val="none"/>
        </w:rPr>
        <w:sectPr>
          <w:headerReference r:id="rId9" w:type="default"/>
          <w:footerReference r:id="rId10"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type="linesAndChars" w:linePitch="312" w:charSpace="0"/>
        </w:sectPr>
      </w:pPr>
    </w:p>
    <w:bookmarkEnd w:id="189"/>
    <w:bookmarkEnd w:id="190"/>
    <w:p>
      <w:pPr>
        <w:ind w:firstLine="0" w:firstLineChars="0"/>
        <w:jc w:val="center"/>
        <w:rPr>
          <w:rFonts w:hint="default" w:ascii="Times New Roman" w:hAnsi="Times New Roman" w:cs="Times New Roman"/>
          <w:highlight w:val="none"/>
          <w:lang w:val="en-US" w:eastAsia="zh-CN"/>
        </w:rPr>
      </w:pPr>
    </w:p>
    <w:p>
      <w:pPr>
        <w:pStyle w:val="2"/>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drawing>
          <wp:inline distT="0" distB="0" distL="114300" distR="114300">
            <wp:extent cx="5264150" cy="7444105"/>
            <wp:effectExtent l="0" t="0" r="6350" b="10795"/>
            <wp:docPr id="30" name="图片 30" descr="终审意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终审意见(1)"/>
                    <pic:cNvPicPr>
                      <a:picLocks noChangeAspect="1"/>
                    </pic:cNvPicPr>
                  </pic:nvPicPr>
                  <pic:blipFill>
                    <a:blip r:embed="rId22"/>
                    <a:stretch>
                      <a:fillRect/>
                    </a:stretch>
                  </pic:blipFill>
                  <pic:spPr>
                    <a:xfrm>
                      <a:off x="0" y="0"/>
                      <a:ext cx="5264150" cy="7444105"/>
                    </a:xfrm>
                    <a:prstGeom prst="rect">
                      <a:avLst/>
                    </a:prstGeom>
                  </pic:spPr>
                </pic:pic>
              </a:graphicData>
            </a:graphic>
          </wp:inline>
        </w:drawing>
      </w:r>
    </w:p>
    <w:p>
      <w:pPr>
        <w:pStyle w:val="2"/>
        <w:ind w:left="0" w:leftChars="0" w:firstLine="0" w:firstLineChars="0"/>
        <w:rPr>
          <w:rFonts w:hint="default"/>
          <w:highlight w:val="none"/>
          <w:lang w:val="en-US" w:eastAsia="zh-CN"/>
        </w:rPr>
      </w:pPr>
    </w:p>
    <w:sectPr>
      <w:footerReference r:id="rId11"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397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3975"/>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3975"/>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7/whE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B7/whEVAgAAFQQAAA4AAAAAAAAA&#10;AQAgAAAAHwEAAGRycy9lMm9Eb2MueG1sUEsFBgAAAAAGAAYAWQEAAKY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I</w:t>
                    </w:r>
                    <w:r>
                      <w:fldChar w:fldCharType="end"/>
                    </w:r>
                  </w:p>
                </w:txbxContent>
              </v:textbox>
            </v:shape>
          </w:pict>
        </mc:Fallback>
      </mc:AlternateContent>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3975"/>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8420" cy="139700"/>
              <wp:effectExtent l="0" t="0" r="0" b="0"/>
              <wp:wrapNone/>
              <wp:docPr id="6"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420" cy="139700"/>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Text Box 2" o:spid="_x0000_s1026" o:spt="202" type="#_x0000_t202" style="position:absolute;left:0pt;margin-top:0pt;height:11pt;width:4.6pt;mso-position-horizontal:center;mso-position-horizontal-relative:margin;mso-wrap-style:none;z-index:251659264;mso-width-relative:page;mso-height-relative:page;" filled="f" stroked="f" coordsize="21600,21600" o:gfxdata="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LW7l30AAAAAIBAAAPAAAAAAAAAAEA&#10;IAAAACIAAABkcnMvZG93bnJldi54bWxQSwECFAAUAAAACACHTuJANbys7d4BAACyAwAADgAAAAAA&#10;AAABACAAAAAfAQAAZHJzL2Uyb0RvYy54bWxQSwUGAAAAAAYABgBZAQAAbwU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3975"/>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8420" cy="139700"/>
              <wp:effectExtent l="0" t="0" r="0" b="0"/>
              <wp:wrapNone/>
              <wp:docPr id="37" name="Text Box 2"/>
              <wp:cNvGraphicFramePr/>
              <a:graphic xmlns:a="http://schemas.openxmlformats.org/drawingml/2006/main">
                <a:graphicData uri="http://schemas.microsoft.com/office/word/2010/wordprocessingShape">
                  <wps:wsp>
                    <wps:cNvSpPr txBox="1">
                      <a:spLocks noChangeArrowheads="1"/>
                    </wps:cNvSpPr>
                    <wps:spPr bwMode="auto">
                      <a:xfrm>
                        <a:off x="0" y="0"/>
                        <a:ext cx="58420" cy="139700"/>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Text Box 2" o:spid="_x0000_s1026" o:spt="202" type="#_x0000_t202" style="position:absolute;left:0pt;margin-top:0pt;height:11pt;width:4.6pt;mso-position-horizontal:center;mso-position-horizontal-relative:margin;mso-wrap-style:none;z-index:251659264;mso-width-relative:page;mso-height-relative:page;" filled="f" stroked="f" coordsize="21600,21600" o:gfxdata="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y1u5d9AAAAACAQAADwAAAAAAAAAB&#10;ACAAAAAiAAAAZHJzL2Rvd25yZXYueG1sUEsBAhQAFAAAAAgAh07iQGxw/DbfAQAAswMAAA4AAAAA&#10;AAAAAQAgAAAAHwEAAGRycy9lMm9Eb2MueG1sUEsFBgAAAAAGAAYAWQEAAHA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ind w:firstLine="360"/>
                          </w:pPr>
                          <w:r>
                            <w:fldChar w:fldCharType="begin"/>
                          </w:r>
                          <w:r>
                            <w:instrText xml:space="preserve"> PAGE  \* MERGEFORMAT </w:instrText>
                          </w:r>
                          <w:r>
                            <w:fldChar w:fldCharType="separate"/>
                          </w:r>
                          <w:r>
                            <w:t>61</w:t>
                          </w:r>
                          <w:r>
                            <w:fldChar w:fldCharType="end"/>
                          </w:r>
                        </w:p>
                      </w:txbxContent>
                    </wps:txbx>
                    <wps:bodyPr wrap="none" lIns="0" tIns="0" rIns="0" bIns="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zql5uc8AAAAFAQAADwAAAAAAAAAB&#10;ACAAAAAiAAAAZHJzL2Rvd25yZXYueG1sUEsBAhQAFAAAAAgAh07iQM9n4ESnAQAAPwMAAA4AAAAA&#10;AAAAAQAgAAAAHgEAAGRycy9lMm9Eb2MueG1sUEsFBgAAAAAGAAYAWQEAADcFAAAAAA==&#10;">
              <v:fill on="f" focussize="0,0"/>
              <v:stroke on="f"/>
              <v:imagedata o:title=""/>
              <o:lock v:ext="edit" aspectratio="f"/>
              <v:textbox inset="0mm,0mm,0mm,0mm" style="mso-fit-shape-to-text:t;">
                <w:txbxContent>
                  <w:p>
                    <w:pPr>
                      <w:pStyle w:val="14"/>
                      <w:ind w:firstLine="360"/>
                    </w:pPr>
                    <w:r>
                      <w:fldChar w:fldCharType="begin"/>
                    </w:r>
                    <w:r>
                      <w:instrText xml:space="preserve"> PAGE  \* MERGEFORMAT </w:instrText>
                    </w:r>
                    <w:r>
                      <w:fldChar w:fldCharType="separate"/>
                    </w:r>
                    <w:r>
                      <w:t>61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top w:val="none" w:color="auto" w:sz="0" w:space="0"/>
        <w:left w:val="none" w:color="auto" w:sz="0" w:space="0"/>
        <w:bottom w:val="none" w:color="auto" w:sz="0" w:space="1"/>
        <w:right w:val="none" w:color="auto" w:sz="0" w:space="0"/>
        <w:between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sz w:val="15"/>
        <w:szCs w:val="15"/>
        <w:highlight w:val="none"/>
      </w:rPr>
    </w:pPr>
    <w:r>
      <w:rPr>
        <w:rFonts w:hint="eastAsia"/>
        <w:sz w:val="15"/>
        <w:szCs w:val="15"/>
        <w:highlight w:val="none"/>
        <w:lang w:val="en-US" w:eastAsia="zh-CN"/>
      </w:rPr>
      <w:t>G219线岳普湖-英吉沙公路建设项目疏勒段施工便道土地复垦方案报告书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sz w:val="15"/>
        <w:szCs w:val="15"/>
        <w:highlight w:val="none"/>
      </w:rPr>
    </w:pPr>
    <w:r>
      <w:rPr>
        <w:rFonts w:hint="eastAsia"/>
        <w:sz w:val="15"/>
        <w:szCs w:val="15"/>
        <w:highlight w:val="none"/>
        <w:lang w:val="en-US" w:eastAsia="zh-CN"/>
      </w:rPr>
      <w:t>G219线岳普湖-英吉沙公路建设项目疏勒段施工便道土地复垦方案报告书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A9BF08"/>
    <w:multiLevelType w:val="singleLevel"/>
    <w:tmpl w:val="85A9BF08"/>
    <w:lvl w:ilvl="0" w:tentative="0">
      <w:start w:val="1"/>
      <w:numFmt w:val="decimal"/>
      <w:suff w:val="nothing"/>
      <w:lvlText w:val="（%1）"/>
      <w:lvlJc w:val="left"/>
    </w:lvl>
  </w:abstractNum>
  <w:abstractNum w:abstractNumId="1">
    <w:nsid w:val="4B5A53FD"/>
    <w:multiLevelType w:val="singleLevel"/>
    <w:tmpl w:val="4B5A53FD"/>
    <w:lvl w:ilvl="0" w:tentative="0">
      <w:start w:val="1"/>
      <w:numFmt w:val="decimal"/>
      <w:suff w:val="nothing"/>
      <w:lvlText w:val="（%1）"/>
      <w:lvlJc w:val="left"/>
    </w:lvl>
  </w:abstractNum>
  <w:abstractNum w:abstractNumId="2">
    <w:nsid w:val="5C5ED030"/>
    <w:multiLevelType w:val="singleLevel"/>
    <w:tmpl w:val="5C5ED030"/>
    <w:lvl w:ilvl="0" w:tentative="0">
      <w:start w:val="2"/>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0"/>
  <w:bordersDoNotSurroundFooter w:val="0"/>
  <w:documentProtection w:enforcement="0"/>
  <w:defaultTabStop w:val="420"/>
  <w:drawingGridHorizontalSpacing w:val="107"/>
  <w:drawingGridVerticalSpacing w:val="159"/>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Q1YzM2YmIwZGY3NGRkYmIxNWNiMDk0M2M4ZGU4ZTkifQ=="/>
  </w:docVars>
  <w:rsids>
    <w:rsidRoot w:val="00A207D9"/>
    <w:rsid w:val="00000A95"/>
    <w:rsid w:val="000176F4"/>
    <w:rsid w:val="0003185A"/>
    <w:rsid w:val="00054221"/>
    <w:rsid w:val="0006256F"/>
    <w:rsid w:val="000B1AE1"/>
    <w:rsid w:val="000C6EBF"/>
    <w:rsid w:val="001173B4"/>
    <w:rsid w:val="00127071"/>
    <w:rsid w:val="00132025"/>
    <w:rsid w:val="001357B3"/>
    <w:rsid w:val="0014143D"/>
    <w:rsid w:val="00143B95"/>
    <w:rsid w:val="00146097"/>
    <w:rsid w:val="00153FE1"/>
    <w:rsid w:val="001607C2"/>
    <w:rsid w:val="0017446E"/>
    <w:rsid w:val="001C36C1"/>
    <w:rsid w:val="001C6B0E"/>
    <w:rsid w:val="001F1392"/>
    <w:rsid w:val="00252F76"/>
    <w:rsid w:val="0029256A"/>
    <w:rsid w:val="00294EF8"/>
    <w:rsid w:val="002A2934"/>
    <w:rsid w:val="00304FCC"/>
    <w:rsid w:val="00310C3B"/>
    <w:rsid w:val="00334257"/>
    <w:rsid w:val="003417F9"/>
    <w:rsid w:val="00346FB1"/>
    <w:rsid w:val="0034772C"/>
    <w:rsid w:val="00382BB1"/>
    <w:rsid w:val="003A636F"/>
    <w:rsid w:val="003B279F"/>
    <w:rsid w:val="00406CEB"/>
    <w:rsid w:val="004158A6"/>
    <w:rsid w:val="0042198C"/>
    <w:rsid w:val="00456AC1"/>
    <w:rsid w:val="004872FA"/>
    <w:rsid w:val="00532D59"/>
    <w:rsid w:val="005539C9"/>
    <w:rsid w:val="00576697"/>
    <w:rsid w:val="00595CD4"/>
    <w:rsid w:val="005B3996"/>
    <w:rsid w:val="005C4AF3"/>
    <w:rsid w:val="005E1072"/>
    <w:rsid w:val="005E6AB5"/>
    <w:rsid w:val="005F481F"/>
    <w:rsid w:val="005F65CD"/>
    <w:rsid w:val="006471C5"/>
    <w:rsid w:val="0065334D"/>
    <w:rsid w:val="0068403F"/>
    <w:rsid w:val="0069625A"/>
    <w:rsid w:val="00733E26"/>
    <w:rsid w:val="007C3E3F"/>
    <w:rsid w:val="007F27CB"/>
    <w:rsid w:val="007F4552"/>
    <w:rsid w:val="008025D6"/>
    <w:rsid w:val="00805F27"/>
    <w:rsid w:val="00840D76"/>
    <w:rsid w:val="0085651D"/>
    <w:rsid w:val="00865428"/>
    <w:rsid w:val="00876D92"/>
    <w:rsid w:val="00881763"/>
    <w:rsid w:val="008A7145"/>
    <w:rsid w:val="008B5452"/>
    <w:rsid w:val="008C5445"/>
    <w:rsid w:val="009021EC"/>
    <w:rsid w:val="00917BED"/>
    <w:rsid w:val="00931526"/>
    <w:rsid w:val="00950CF9"/>
    <w:rsid w:val="0095542E"/>
    <w:rsid w:val="00963536"/>
    <w:rsid w:val="009E5ED2"/>
    <w:rsid w:val="009F1C83"/>
    <w:rsid w:val="00A120F1"/>
    <w:rsid w:val="00A140CA"/>
    <w:rsid w:val="00A207D9"/>
    <w:rsid w:val="00A22144"/>
    <w:rsid w:val="00A258BC"/>
    <w:rsid w:val="00A511D4"/>
    <w:rsid w:val="00A53BC7"/>
    <w:rsid w:val="00AD000F"/>
    <w:rsid w:val="00AF7A17"/>
    <w:rsid w:val="00B3720F"/>
    <w:rsid w:val="00B37487"/>
    <w:rsid w:val="00B529A4"/>
    <w:rsid w:val="00B64009"/>
    <w:rsid w:val="00B82473"/>
    <w:rsid w:val="00B96BD8"/>
    <w:rsid w:val="00BA0623"/>
    <w:rsid w:val="00BC72E2"/>
    <w:rsid w:val="00BD5820"/>
    <w:rsid w:val="00C20BE3"/>
    <w:rsid w:val="00C51F75"/>
    <w:rsid w:val="00C96630"/>
    <w:rsid w:val="00CA0A1D"/>
    <w:rsid w:val="00CC1551"/>
    <w:rsid w:val="00D20325"/>
    <w:rsid w:val="00D733FF"/>
    <w:rsid w:val="00DF0928"/>
    <w:rsid w:val="00DF37D1"/>
    <w:rsid w:val="00E0183F"/>
    <w:rsid w:val="00E83530"/>
    <w:rsid w:val="00EF146F"/>
    <w:rsid w:val="00EF7950"/>
    <w:rsid w:val="00F05E64"/>
    <w:rsid w:val="00F078AC"/>
    <w:rsid w:val="00FC56E3"/>
    <w:rsid w:val="00FF1FB4"/>
    <w:rsid w:val="01051DCD"/>
    <w:rsid w:val="011837C3"/>
    <w:rsid w:val="01952789"/>
    <w:rsid w:val="01CA3F1A"/>
    <w:rsid w:val="01F66AD7"/>
    <w:rsid w:val="02117D9A"/>
    <w:rsid w:val="02247ACE"/>
    <w:rsid w:val="023870D5"/>
    <w:rsid w:val="025832D3"/>
    <w:rsid w:val="026B3007"/>
    <w:rsid w:val="02AA5A89"/>
    <w:rsid w:val="02BF15A4"/>
    <w:rsid w:val="030D2310"/>
    <w:rsid w:val="03172234"/>
    <w:rsid w:val="036363D4"/>
    <w:rsid w:val="037D56E7"/>
    <w:rsid w:val="038965A0"/>
    <w:rsid w:val="03C76963"/>
    <w:rsid w:val="03C86237"/>
    <w:rsid w:val="03EC461B"/>
    <w:rsid w:val="04074FB1"/>
    <w:rsid w:val="0431570D"/>
    <w:rsid w:val="045F303F"/>
    <w:rsid w:val="04787C5D"/>
    <w:rsid w:val="047A5783"/>
    <w:rsid w:val="04B92804"/>
    <w:rsid w:val="04C44C50"/>
    <w:rsid w:val="04F419D9"/>
    <w:rsid w:val="04FF01F2"/>
    <w:rsid w:val="050F392A"/>
    <w:rsid w:val="0517702B"/>
    <w:rsid w:val="05300538"/>
    <w:rsid w:val="054A784B"/>
    <w:rsid w:val="0557286F"/>
    <w:rsid w:val="05917228"/>
    <w:rsid w:val="05E27A84"/>
    <w:rsid w:val="05EE46B8"/>
    <w:rsid w:val="05F94DCD"/>
    <w:rsid w:val="05FB471B"/>
    <w:rsid w:val="060043AE"/>
    <w:rsid w:val="063A1FAE"/>
    <w:rsid w:val="06654211"/>
    <w:rsid w:val="068E4310"/>
    <w:rsid w:val="06965E6A"/>
    <w:rsid w:val="06A50AB1"/>
    <w:rsid w:val="06AB60C8"/>
    <w:rsid w:val="06CE0D7E"/>
    <w:rsid w:val="06F04F14"/>
    <w:rsid w:val="070009BA"/>
    <w:rsid w:val="07247C28"/>
    <w:rsid w:val="076D5A73"/>
    <w:rsid w:val="078132CC"/>
    <w:rsid w:val="07893F2F"/>
    <w:rsid w:val="07921036"/>
    <w:rsid w:val="079E3E7E"/>
    <w:rsid w:val="07AB0349"/>
    <w:rsid w:val="08DC0644"/>
    <w:rsid w:val="092959CA"/>
    <w:rsid w:val="093D1475"/>
    <w:rsid w:val="0946032A"/>
    <w:rsid w:val="095011A8"/>
    <w:rsid w:val="09571168"/>
    <w:rsid w:val="09750C0F"/>
    <w:rsid w:val="098B0432"/>
    <w:rsid w:val="09F16BCF"/>
    <w:rsid w:val="0A3B7763"/>
    <w:rsid w:val="0ACC485F"/>
    <w:rsid w:val="0ADD6A6C"/>
    <w:rsid w:val="0AF449E6"/>
    <w:rsid w:val="0B6251C3"/>
    <w:rsid w:val="0BC1638D"/>
    <w:rsid w:val="0BFD658F"/>
    <w:rsid w:val="0C450D6C"/>
    <w:rsid w:val="0C4A0131"/>
    <w:rsid w:val="0C7534E1"/>
    <w:rsid w:val="0C8F4541"/>
    <w:rsid w:val="0CA904A4"/>
    <w:rsid w:val="0CEF17A5"/>
    <w:rsid w:val="0D1424ED"/>
    <w:rsid w:val="0D1B1ACD"/>
    <w:rsid w:val="0D360B6E"/>
    <w:rsid w:val="0D38267F"/>
    <w:rsid w:val="0D417786"/>
    <w:rsid w:val="0D4626B6"/>
    <w:rsid w:val="0D74412A"/>
    <w:rsid w:val="0D8B3047"/>
    <w:rsid w:val="0D8C6947"/>
    <w:rsid w:val="0D8E6743"/>
    <w:rsid w:val="0DA6000F"/>
    <w:rsid w:val="0DD6738C"/>
    <w:rsid w:val="0DE16873"/>
    <w:rsid w:val="0DE81AFF"/>
    <w:rsid w:val="0E082052"/>
    <w:rsid w:val="0E682AF0"/>
    <w:rsid w:val="0ED36852"/>
    <w:rsid w:val="0EEF6D6E"/>
    <w:rsid w:val="0F022F45"/>
    <w:rsid w:val="0F0B31C2"/>
    <w:rsid w:val="0F243BDD"/>
    <w:rsid w:val="0FA423C0"/>
    <w:rsid w:val="0FED6BE4"/>
    <w:rsid w:val="10166E6C"/>
    <w:rsid w:val="104F40C9"/>
    <w:rsid w:val="10833C11"/>
    <w:rsid w:val="10D601E5"/>
    <w:rsid w:val="10F1501F"/>
    <w:rsid w:val="110F7B9B"/>
    <w:rsid w:val="111D3296"/>
    <w:rsid w:val="112A0531"/>
    <w:rsid w:val="112A6DD2"/>
    <w:rsid w:val="117F087D"/>
    <w:rsid w:val="118E2732"/>
    <w:rsid w:val="12047D5C"/>
    <w:rsid w:val="12280F14"/>
    <w:rsid w:val="122E096D"/>
    <w:rsid w:val="122E5DFF"/>
    <w:rsid w:val="125A6547"/>
    <w:rsid w:val="1283614B"/>
    <w:rsid w:val="128F4AEF"/>
    <w:rsid w:val="12F069E1"/>
    <w:rsid w:val="12F11306"/>
    <w:rsid w:val="130C6140"/>
    <w:rsid w:val="13196AAF"/>
    <w:rsid w:val="132F62D2"/>
    <w:rsid w:val="13330D37"/>
    <w:rsid w:val="1352629A"/>
    <w:rsid w:val="13595F84"/>
    <w:rsid w:val="139E50CF"/>
    <w:rsid w:val="13FA243C"/>
    <w:rsid w:val="140F6AF9"/>
    <w:rsid w:val="14125594"/>
    <w:rsid w:val="14777F31"/>
    <w:rsid w:val="14795A57"/>
    <w:rsid w:val="14AB7BDB"/>
    <w:rsid w:val="14AC26E1"/>
    <w:rsid w:val="14AD738E"/>
    <w:rsid w:val="14B7657F"/>
    <w:rsid w:val="14D8129F"/>
    <w:rsid w:val="14FC711E"/>
    <w:rsid w:val="14FE41AE"/>
    <w:rsid w:val="15035321"/>
    <w:rsid w:val="150D0EAB"/>
    <w:rsid w:val="153A04CB"/>
    <w:rsid w:val="15415E49"/>
    <w:rsid w:val="155B6F0B"/>
    <w:rsid w:val="155E4C4D"/>
    <w:rsid w:val="15FB06EE"/>
    <w:rsid w:val="15FD5E19"/>
    <w:rsid w:val="16021A7C"/>
    <w:rsid w:val="160706C8"/>
    <w:rsid w:val="161301FB"/>
    <w:rsid w:val="161E4F37"/>
    <w:rsid w:val="16217260"/>
    <w:rsid w:val="16565924"/>
    <w:rsid w:val="165919AF"/>
    <w:rsid w:val="16A420E1"/>
    <w:rsid w:val="16AF1C41"/>
    <w:rsid w:val="16D234AF"/>
    <w:rsid w:val="16ED6288"/>
    <w:rsid w:val="16F61EA5"/>
    <w:rsid w:val="17143815"/>
    <w:rsid w:val="17562080"/>
    <w:rsid w:val="17A4103D"/>
    <w:rsid w:val="17CA481C"/>
    <w:rsid w:val="17DF02C7"/>
    <w:rsid w:val="17F83137"/>
    <w:rsid w:val="180C0990"/>
    <w:rsid w:val="185540E5"/>
    <w:rsid w:val="185C2111"/>
    <w:rsid w:val="18BA4890"/>
    <w:rsid w:val="18BF5A03"/>
    <w:rsid w:val="18C7314A"/>
    <w:rsid w:val="18D86AC4"/>
    <w:rsid w:val="18E5190D"/>
    <w:rsid w:val="18F1781B"/>
    <w:rsid w:val="195919B3"/>
    <w:rsid w:val="196565AA"/>
    <w:rsid w:val="19B42A06"/>
    <w:rsid w:val="19B968F6"/>
    <w:rsid w:val="19C86B39"/>
    <w:rsid w:val="19E80F89"/>
    <w:rsid w:val="19F04DF3"/>
    <w:rsid w:val="1A085187"/>
    <w:rsid w:val="1A46462D"/>
    <w:rsid w:val="1A5F2300"/>
    <w:rsid w:val="1A8C6258"/>
    <w:rsid w:val="1AB86BAD"/>
    <w:rsid w:val="1ADE4866"/>
    <w:rsid w:val="1AE507D8"/>
    <w:rsid w:val="1B372B8A"/>
    <w:rsid w:val="1B85441B"/>
    <w:rsid w:val="1BA62EAA"/>
    <w:rsid w:val="1BBC26CD"/>
    <w:rsid w:val="1BC670A8"/>
    <w:rsid w:val="1C054074"/>
    <w:rsid w:val="1C254F39"/>
    <w:rsid w:val="1C415CB4"/>
    <w:rsid w:val="1C455A95"/>
    <w:rsid w:val="1D216C8C"/>
    <w:rsid w:val="1D6372A4"/>
    <w:rsid w:val="1D790876"/>
    <w:rsid w:val="1D9005DB"/>
    <w:rsid w:val="1D9C27B6"/>
    <w:rsid w:val="1DB146C7"/>
    <w:rsid w:val="1DBA2C3C"/>
    <w:rsid w:val="1E312EFF"/>
    <w:rsid w:val="1E42510C"/>
    <w:rsid w:val="1E4C1AE7"/>
    <w:rsid w:val="1E590003"/>
    <w:rsid w:val="1EA9413B"/>
    <w:rsid w:val="1EB41BCA"/>
    <w:rsid w:val="1EF7352D"/>
    <w:rsid w:val="1F0C0DF9"/>
    <w:rsid w:val="1F1A7E37"/>
    <w:rsid w:val="1F357092"/>
    <w:rsid w:val="1F8B6138"/>
    <w:rsid w:val="1FF031A1"/>
    <w:rsid w:val="1FF42436"/>
    <w:rsid w:val="1FFB58CE"/>
    <w:rsid w:val="206375BB"/>
    <w:rsid w:val="207E073E"/>
    <w:rsid w:val="20BF0C96"/>
    <w:rsid w:val="20E424AA"/>
    <w:rsid w:val="20E532E4"/>
    <w:rsid w:val="21101FC2"/>
    <w:rsid w:val="211B39F2"/>
    <w:rsid w:val="215869F4"/>
    <w:rsid w:val="21967C09"/>
    <w:rsid w:val="22356D36"/>
    <w:rsid w:val="224551CB"/>
    <w:rsid w:val="22460F43"/>
    <w:rsid w:val="225D3463"/>
    <w:rsid w:val="226C09A9"/>
    <w:rsid w:val="228D0920"/>
    <w:rsid w:val="22F8223D"/>
    <w:rsid w:val="23146F5C"/>
    <w:rsid w:val="23333275"/>
    <w:rsid w:val="234B2F0B"/>
    <w:rsid w:val="23CD5478"/>
    <w:rsid w:val="23D96D5B"/>
    <w:rsid w:val="23E7405F"/>
    <w:rsid w:val="23FA0237"/>
    <w:rsid w:val="240E783E"/>
    <w:rsid w:val="24390D5F"/>
    <w:rsid w:val="24D37974"/>
    <w:rsid w:val="24D8543F"/>
    <w:rsid w:val="24DD3FC2"/>
    <w:rsid w:val="24DE1906"/>
    <w:rsid w:val="24FA6740"/>
    <w:rsid w:val="25090731"/>
    <w:rsid w:val="25121721"/>
    <w:rsid w:val="25583467"/>
    <w:rsid w:val="25951FC5"/>
    <w:rsid w:val="259A3A7F"/>
    <w:rsid w:val="261C26E6"/>
    <w:rsid w:val="26267C93"/>
    <w:rsid w:val="265A6D6B"/>
    <w:rsid w:val="26906665"/>
    <w:rsid w:val="26BB1EFF"/>
    <w:rsid w:val="26C16DEA"/>
    <w:rsid w:val="26CA3EF0"/>
    <w:rsid w:val="26D7485F"/>
    <w:rsid w:val="26F465AD"/>
    <w:rsid w:val="27466D84"/>
    <w:rsid w:val="275026C2"/>
    <w:rsid w:val="27651E6B"/>
    <w:rsid w:val="278E1B18"/>
    <w:rsid w:val="27930786"/>
    <w:rsid w:val="27AE55C0"/>
    <w:rsid w:val="27B85095"/>
    <w:rsid w:val="27D36DD5"/>
    <w:rsid w:val="2818512F"/>
    <w:rsid w:val="281C077C"/>
    <w:rsid w:val="283C2BCC"/>
    <w:rsid w:val="284B72B3"/>
    <w:rsid w:val="28893937"/>
    <w:rsid w:val="28B27332"/>
    <w:rsid w:val="28DE3C83"/>
    <w:rsid w:val="28E52AEF"/>
    <w:rsid w:val="292279DC"/>
    <w:rsid w:val="296A19BB"/>
    <w:rsid w:val="296A5517"/>
    <w:rsid w:val="29B844D4"/>
    <w:rsid w:val="2A0F5B44"/>
    <w:rsid w:val="2A1D6A2D"/>
    <w:rsid w:val="2A6677E3"/>
    <w:rsid w:val="2AA42CAA"/>
    <w:rsid w:val="2AF61758"/>
    <w:rsid w:val="2B1B2F6C"/>
    <w:rsid w:val="2BB16B30"/>
    <w:rsid w:val="2BBF4A08"/>
    <w:rsid w:val="2BDF458B"/>
    <w:rsid w:val="2C0509EB"/>
    <w:rsid w:val="2C484235"/>
    <w:rsid w:val="2C8763E0"/>
    <w:rsid w:val="2C9F7BCD"/>
    <w:rsid w:val="2CAB5E37"/>
    <w:rsid w:val="2CB350D1"/>
    <w:rsid w:val="2D091BB6"/>
    <w:rsid w:val="2D295DE8"/>
    <w:rsid w:val="2D2F7431"/>
    <w:rsid w:val="2D404F0C"/>
    <w:rsid w:val="2D426ED6"/>
    <w:rsid w:val="2D6D75A9"/>
    <w:rsid w:val="2D79313D"/>
    <w:rsid w:val="2DB32A81"/>
    <w:rsid w:val="2DD81428"/>
    <w:rsid w:val="2E0777D8"/>
    <w:rsid w:val="2E147842"/>
    <w:rsid w:val="2E3B56D4"/>
    <w:rsid w:val="2E60513A"/>
    <w:rsid w:val="2E842423"/>
    <w:rsid w:val="2EA72D69"/>
    <w:rsid w:val="2EC15BD9"/>
    <w:rsid w:val="2ED4433F"/>
    <w:rsid w:val="2F0957D2"/>
    <w:rsid w:val="2F146650"/>
    <w:rsid w:val="2F31586B"/>
    <w:rsid w:val="2F4862FA"/>
    <w:rsid w:val="2FA8419F"/>
    <w:rsid w:val="2FCE4AC3"/>
    <w:rsid w:val="2FDE2196"/>
    <w:rsid w:val="3049730B"/>
    <w:rsid w:val="30586A11"/>
    <w:rsid w:val="305F1B4D"/>
    <w:rsid w:val="30711881"/>
    <w:rsid w:val="307551E0"/>
    <w:rsid w:val="307F014A"/>
    <w:rsid w:val="30A27C8C"/>
    <w:rsid w:val="30D07FA5"/>
    <w:rsid w:val="30F036B9"/>
    <w:rsid w:val="30FA7AC8"/>
    <w:rsid w:val="312863E3"/>
    <w:rsid w:val="31431521"/>
    <w:rsid w:val="3148007A"/>
    <w:rsid w:val="31B25CAD"/>
    <w:rsid w:val="3207424B"/>
    <w:rsid w:val="32270449"/>
    <w:rsid w:val="32316CD9"/>
    <w:rsid w:val="323B5CA2"/>
    <w:rsid w:val="32481AFE"/>
    <w:rsid w:val="32AC5809"/>
    <w:rsid w:val="32D81743"/>
    <w:rsid w:val="32E620B2"/>
    <w:rsid w:val="33284E37"/>
    <w:rsid w:val="333F5C66"/>
    <w:rsid w:val="33664FA1"/>
    <w:rsid w:val="336C3C69"/>
    <w:rsid w:val="33754ECD"/>
    <w:rsid w:val="33C543BD"/>
    <w:rsid w:val="33D15D12"/>
    <w:rsid w:val="33E60619"/>
    <w:rsid w:val="34134B5D"/>
    <w:rsid w:val="34390907"/>
    <w:rsid w:val="34433534"/>
    <w:rsid w:val="34546A3D"/>
    <w:rsid w:val="34572B3B"/>
    <w:rsid w:val="345B6AD0"/>
    <w:rsid w:val="34637732"/>
    <w:rsid w:val="348025C5"/>
    <w:rsid w:val="34B32395"/>
    <w:rsid w:val="34D10B40"/>
    <w:rsid w:val="35243576"/>
    <w:rsid w:val="35577297"/>
    <w:rsid w:val="355C48AD"/>
    <w:rsid w:val="35B75F88"/>
    <w:rsid w:val="36392E40"/>
    <w:rsid w:val="36446137"/>
    <w:rsid w:val="3649102E"/>
    <w:rsid w:val="366C4FC4"/>
    <w:rsid w:val="36A75FFC"/>
    <w:rsid w:val="36C73FA8"/>
    <w:rsid w:val="36E276A2"/>
    <w:rsid w:val="374171E5"/>
    <w:rsid w:val="375515B4"/>
    <w:rsid w:val="375717D0"/>
    <w:rsid w:val="37686DCC"/>
    <w:rsid w:val="377F16EA"/>
    <w:rsid w:val="37865CB7"/>
    <w:rsid w:val="38334FD2"/>
    <w:rsid w:val="388578AB"/>
    <w:rsid w:val="38933BC6"/>
    <w:rsid w:val="38B16CBE"/>
    <w:rsid w:val="38F26B43"/>
    <w:rsid w:val="39410653"/>
    <w:rsid w:val="397C6064"/>
    <w:rsid w:val="3A2F3894"/>
    <w:rsid w:val="3A9B514C"/>
    <w:rsid w:val="3AA840F1"/>
    <w:rsid w:val="3AC727C9"/>
    <w:rsid w:val="3ADC3D9A"/>
    <w:rsid w:val="3B4C0F20"/>
    <w:rsid w:val="3B6F4D89"/>
    <w:rsid w:val="3B8561E0"/>
    <w:rsid w:val="3BC86B50"/>
    <w:rsid w:val="3BDB547B"/>
    <w:rsid w:val="3BE46DB6"/>
    <w:rsid w:val="3C1732DC"/>
    <w:rsid w:val="3C362F39"/>
    <w:rsid w:val="3C616C4D"/>
    <w:rsid w:val="3C7F1311"/>
    <w:rsid w:val="3C8B00AE"/>
    <w:rsid w:val="3C9708C1"/>
    <w:rsid w:val="3CA134EE"/>
    <w:rsid w:val="3CC64D02"/>
    <w:rsid w:val="3D213354"/>
    <w:rsid w:val="3D255ECD"/>
    <w:rsid w:val="3D5D5666"/>
    <w:rsid w:val="3D673D08"/>
    <w:rsid w:val="3D7D3613"/>
    <w:rsid w:val="3D8310CF"/>
    <w:rsid w:val="3D895499"/>
    <w:rsid w:val="3D8B35ED"/>
    <w:rsid w:val="3D8E75CE"/>
    <w:rsid w:val="3D9371B9"/>
    <w:rsid w:val="3DAF5796"/>
    <w:rsid w:val="3DD110BE"/>
    <w:rsid w:val="3DEB20DE"/>
    <w:rsid w:val="3EA572C5"/>
    <w:rsid w:val="3EBA200B"/>
    <w:rsid w:val="3EDB4A95"/>
    <w:rsid w:val="3F381EE7"/>
    <w:rsid w:val="3F41451A"/>
    <w:rsid w:val="3F6525B0"/>
    <w:rsid w:val="3FAF1A7E"/>
    <w:rsid w:val="3FC75019"/>
    <w:rsid w:val="3FD0603E"/>
    <w:rsid w:val="3FD31C10"/>
    <w:rsid w:val="3FF90202"/>
    <w:rsid w:val="405C39B3"/>
    <w:rsid w:val="40694E89"/>
    <w:rsid w:val="406D38CB"/>
    <w:rsid w:val="40703903"/>
    <w:rsid w:val="40C8729B"/>
    <w:rsid w:val="40EE65D6"/>
    <w:rsid w:val="40F24318"/>
    <w:rsid w:val="41313092"/>
    <w:rsid w:val="413761CE"/>
    <w:rsid w:val="41377F7D"/>
    <w:rsid w:val="417E5BAB"/>
    <w:rsid w:val="41967173"/>
    <w:rsid w:val="41C9151C"/>
    <w:rsid w:val="41CF4659"/>
    <w:rsid w:val="41E73751"/>
    <w:rsid w:val="4242307D"/>
    <w:rsid w:val="429D02B3"/>
    <w:rsid w:val="42A72EE0"/>
    <w:rsid w:val="42ED123B"/>
    <w:rsid w:val="42FE0D52"/>
    <w:rsid w:val="433460AE"/>
    <w:rsid w:val="43A86F10"/>
    <w:rsid w:val="43AA712C"/>
    <w:rsid w:val="43DE0B83"/>
    <w:rsid w:val="43E91A02"/>
    <w:rsid w:val="44BD4C3D"/>
    <w:rsid w:val="44CE6E4A"/>
    <w:rsid w:val="45264590"/>
    <w:rsid w:val="452872B1"/>
    <w:rsid w:val="454F1D39"/>
    <w:rsid w:val="45633A36"/>
    <w:rsid w:val="45782BB7"/>
    <w:rsid w:val="457C0654"/>
    <w:rsid w:val="45806396"/>
    <w:rsid w:val="45C51FFB"/>
    <w:rsid w:val="45E561F9"/>
    <w:rsid w:val="45FE6519"/>
    <w:rsid w:val="46072075"/>
    <w:rsid w:val="468A6DA0"/>
    <w:rsid w:val="46A51F8B"/>
    <w:rsid w:val="46A55988"/>
    <w:rsid w:val="47060B1D"/>
    <w:rsid w:val="472B2331"/>
    <w:rsid w:val="47937B86"/>
    <w:rsid w:val="47953C4F"/>
    <w:rsid w:val="479B5E7F"/>
    <w:rsid w:val="47A5180C"/>
    <w:rsid w:val="47BE31A6"/>
    <w:rsid w:val="48272115"/>
    <w:rsid w:val="48531B40"/>
    <w:rsid w:val="485458B8"/>
    <w:rsid w:val="48587156"/>
    <w:rsid w:val="48592D5B"/>
    <w:rsid w:val="485D476D"/>
    <w:rsid w:val="48733F90"/>
    <w:rsid w:val="487F1AF2"/>
    <w:rsid w:val="48B819A3"/>
    <w:rsid w:val="48C32C2F"/>
    <w:rsid w:val="4924528A"/>
    <w:rsid w:val="49583186"/>
    <w:rsid w:val="49762D1D"/>
    <w:rsid w:val="497C0C22"/>
    <w:rsid w:val="498E4EBE"/>
    <w:rsid w:val="49FA3056"/>
    <w:rsid w:val="4A09623D"/>
    <w:rsid w:val="4A0A4480"/>
    <w:rsid w:val="4A767D68"/>
    <w:rsid w:val="4AB32D6A"/>
    <w:rsid w:val="4AEE3DA2"/>
    <w:rsid w:val="4AFA62A3"/>
    <w:rsid w:val="4B137195"/>
    <w:rsid w:val="4B180DBD"/>
    <w:rsid w:val="4B465C30"/>
    <w:rsid w:val="4B517E8D"/>
    <w:rsid w:val="4B84281D"/>
    <w:rsid w:val="4BA07A81"/>
    <w:rsid w:val="4BD765E4"/>
    <w:rsid w:val="4C235CCD"/>
    <w:rsid w:val="4C611414"/>
    <w:rsid w:val="4C614903"/>
    <w:rsid w:val="4C6836E0"/>
    <w:rsid w:val="4C6E4274"/>
    <w:rsid w:val="4C910E89"/>
    <w:rsid w:val="4CF03E01"/>
    <w:rsid w:val="4D227D33"/>
    <w:rsid w:val="4D4C4DB0"/>
    <w:rsid w:val="4D6C7200"/>
    <w:rsid w:val="4D9A5B1B"/>
    <w:rsid w:val="4DC4528E"/>
    <w:rsid w:val="4DCE1C69"/>
    <w:rsid w:val="4E4551C7"/>
    <w:rsid w:val="4E607E28"/>
    <w:rsid w:val="4E922C96"/>
    <w:rsid w:val="4E965F62"/>
    <w:rsid w:val="4E9764FE"/>
    <w:rsid w:val="4EB96475"/>
    <w:rsid w:val="4F28609E"/>
    <w:rsid w:val="4F5A7C58"/>
    <w:rsid w:val="4F8847C5"/>
    <w:rsid w:val="4FA17635"/>
    <w:rsid w:val="4FAC7D88"/>
    <w:rsid w:val="4FB85557"/>
    <w:rsid w:val="4FC13833"/>
    <w:rsid w:val="4FC43323"/>
    <w:rsid w:val="4FCE41A2"/>
    <w:rsid w:val="50041972"/>
    <w:rsid w:val="501A2F43"/>
    <w:rsid w:val="503264DF"/>
    <w:rsid w:val="50485D02"/>
    <w:rsid w:val="50763F4F"/>
    <w:rsid w:val="508230AB"/>
    <w:rsid w:val="5086682B"/>
    <w:rsid w:val="50937B6E"/>
    <w:rsid w:val="509A417D"/>
    <w:rsid w:val="50AC44E3"/>
    <w:rsid w:val="50CF1F80"/>
    <w:rsid w:val="50E200E1"/>
    <w:rsid w:val="5115511C"/>
    <w:rsid w:val="51A927D1"/>
    <w:rsid w:val="51D51B60"/>
    <w:rsid w:val="51F53C68"/>
    <w:rsid w:val="52157E66"/>
    <w:rsid w:val="53CC27A6"/>
    <w:rsid w:val="53D53D51"/>
    <w:rsid w:val="54023537"/>
    <w:rsid w:val="540C3848"/>
    <w:rsid w:val="540E30AB"/>
    <w:rsid w:val="5422686A"/>
    <w:rsid w:val="544A6A6D"/>
    <w:rsid w:val="545421EB"/>
    <w:rsid w:val="547F5A6B"/>
    <w:rsid w:val="54A715B9"/>
    <w:rsid w:val="54B766D9"/>
    <w:rsid w:val="556709A1"/>
    <w:rsid w:val="556F3D31"/>
    <w:rsid w:val="55991294"/>
    <w:rsid w:val="55C53951"/>
    <w:rsid w:val="55F67FAE"/>
    <w:rsid w:val="56130B60"/>
    <w:rsid w:val="564231F4"/>
    <w:rsid w:val="566E5D97"/>
    <w:rsid w:val="567D7EB1"/>
    <w:rsid w:val="567F61F6"/>
    <w:rsid w:val="567F7FA4"/>
    <w:rsid w:val="56925F29"/>
    <w:rsid w:val="56B13FD8"/>
    <w:rsid w:val="56CF5B15"/>
    <w:rsid w:val="56D24578"/>
    <w:rsid w:val="56D36A74"/>
    <w:rsid w:val="56F52014"/>
    <w:rsid w:val="578308FC"/>
    <w:rsid w:val="578A4715"/>
    <w:rsid w:val="57D20EA2"/>
    <w:rsid w:val="57E04A72"/>
    <w:rsid w:val="57ED3218"/>
    <w:rsid w:val="58044C05"/>
    <w:rsid w:val="582232DD"/>
    <w:rsid w:val="582A3F3F"/>
    <w:rsid w:val="587B479B"/>
    <w:rsid w:val="58E16CF4"/>
    <w:rsid w:val="58F826A8"/>
    <w:rsid w:val="58FA6008"/>
    <w:rsid w:val="58FF7E1B"/>
    <w:rsid w:val="590649AC"/>
    <w:rsid w:val="596E3C2B"/>
    <w:rsid w:val="597B2CA5"/>
    <w:rsid w:val="5981135B"/>
    <w:rsid w:val="5988079D"/>
    <w:rsid w:val="599C2C1B"/>
    <w:rsid w:val="59A80BE3"/>
    <w:rsid w:val="59CA2BBD"/>
    <w:rsid w:val="59CF22BB"/>
    <w:rsid w:val="59FA62BF"/>
    <w:rsid w:val="5A4A261D"/>
    <w:rsid w:val="5A577137"/>
    <w:rsid w:val="5A616BCE"/>
    <w:rsid w:val="5AC16DDD"/>
    <w:rsid w:val="5AC24903"/>
    <w:rsid w:val="5AEB5C08"/>
    <w:rsid w:val="5AEC372E"/>
    <w:rsid w:val="5B164443"/>
    <w:rsid w:val="5B6C2BA5"/>
    <w:rsid w:val="5B993B5A"/>
    <w:rsid w:val="5BC87CF7"/>
    <w:rsid w:val="5BFB00CD"/>
    <w:rsid w:val="5C190553"/>
    <w:rsid w:val="5C254B03"/>
    <w:rsid w:val="5C566086"/>
    <w:rsid w:val="5C9643DA"/>
    <w:rsid w:val="5C9F6CAA"/>
    <w:rsid w:val="5CF05758"/>
    <w:rsid w:val="5CF07506"/>
    <w:rsid w:val="5D135A41"/>
    <w:rsid w:val="5D146AAA"/>
    <w:rsid w:val="5D2378F8"/>
    <w:rsid w:val="5D9500AD"/>
    <w:rsid w:val="5DFD2648"/>
    <w:rsid w:val="5E0F1C0D"/>
    <w:rsid w:val="5E2733FB"/>
    <w:rsid w:val="5E671A49"/>
    <w:rsid w:val="5EB56C59"/>
    <w:rsid w:val="5F0C25F1"/>
    <w:rsid w:val="5F3C4C84"/>
    <w:rsid w:val="5F4955F3"/>
    <w:rsid w:val="5F6758BD"/>
    <w:rsid w:val="5FA840C8"/>
    <w:rsid w:val="5FDC1FC3"/>
    <w:rsid w:val="5FEC0DF1"/>
    <w:rsid w:val="60220D07"/>
    <w:rsid w:val="606D36ED"/>
    <w:rsid w:val="60B1674D"/>
    <w:rsid w:val="60BD1DF5"/>
    <w:rsid w:val="60C70EC5"/>
    <w:rsid w:val="610E43FE"/>
    <w:rsid w:val="61424EA8"/>
    <w:rsid w:val="614B11AE"/>
    <w:rsid w:val="617A7CE6"/>
    <w:rsid w:val="617E1291"/>
    <w:rsid w:val="618A6B68"/>
    <w:rsid w:val="618B0EE5"/>
    <w:rsid w:val="61926DDD"/>
    <w:rsid w:val="619A2136"/>
    <w:rsid w:val="61AF3E33"/>
    <w:rsid w:val="61D218D0"/>
    <w:rsid w:val="61EB288B"/>
    <w:rsid w:val="61EC5050"/>
    <w:rsid w:val="620D2908"/>
    <w:rsid w:val="627961EF"/>
    <w:rsid w:val="62A6394D"/>
    <w:rsid w:val="62BA30FA"/>
    <w:rsid w:val="62E01DCA"/>
    <w:rsid w:val="631B5F60"/>
    <w:rsid w:val="632443AD"/>
    <w:rsid w:val="634B193A"/>
    <w:rsid w:val="636C365E"/>
    <w:rsid w:val="638F0369"/>
    <w:rsid w:val="63AE5B81"/>
    <w:rsid w:val="63B45020"/>
    <w:rsid w:val="63B951D7"/>
    <w:rsid w:val="63D841AE"/>
    <w:rsid w:val="63DA0F0F"/>
    <w:rsid w:val="63E92F01"/>
    <w:rsid w:val="641461CF"/>
    <w:rsid w:val="64175CC0"/>
    <w:rsid w:val="642D103F"/>
    <w:rsid w:val="645E569D"/>
    <w:rsid w:val="648C1F69"/>
    <w:rsid w:val="64966BE4"/>
    <w:rsid w:val="64E21732"/>
    <w:rsid w:val="65183A9D"/>
    <w:rsid w:val="65314B5F"/>
    <w:rsid w:val="65427C5F"/>
    <w:rsid w:val="65476131"/>
    <w:rsid w:val="65493C57"/>
    <w:rsid w:val="656C5B97"/>
    <w:rsid w:val="657F2CAD"/>
    <w:rsid w:val="65F71905"/>
    <w:rsid w:val="65F83F8D"/>
    <w:rsid w:val="660F30F2"/>
    <w:rsid w:val="66495ED8"/>
    <w:rsid w:val="66501015"/>
    <w:rsid w:val="666016FE"/>
    <w:rsid w:val="66886A01"/>
    <w:rsid w:val="66DB4D83"/>
    <w:rsid w:val="66F347C2"/>
    <w:rsid w:val="672C7CD4"/>
    <w:rsid w:val="675C1FE9"/>
    <w:rsid w:val="677156E7"/>
    <w:rsid w:val="67E97973"/>
    <w:rsid w:val="67EE4F89"/>
    <w:rsid w:val="681A18DB"/>
    <w:rsid w:val="68752FB5"/>
    <w:rsid w:val="689844B7"/>
    <w:rsid w:val="68DD4552"/>
    <w:rsid w:val="68E5638C"/>
    <w:rsid w:val="69216C99"/>
    <w:rsid w:val="69280027"/>
    <w:rsid w:val="69531548"/>
    <w:rsid w:val="697A2F79"/>
    <w:rsid w:val="69B144C0"/>
    <w:rsid w:val="69B31FE7"/>
    <w:rsid w:val="69D65CD5"/>
    <w:rsid w:val="69DA51E6"/>
    <w:rsid w:val="69E77EE2"/>
    <w:rsid w:val="69F35012"/>
    <w:rsid w:val="69FA7C16"/>
    <w:rsid w:val="6A1D7E94"/>
    <w:rsid w:val="6A8A4CC6"/>
    <w:rsid w:val="6A8E65B0"/>
    <w:rsid w:val="6A927E4E"/>
    <w:rsid w:val="6A9B33D8"/>
    <w:rsid w:val="6AC100E9"/>
    <w:rsid w:val="6AFC79BD"/>
    <w:rsid w:val="6AFE7836"/>
    <w:rsid w:val="6B2313EE"/>
    <w:rsid w:val="6B362ECF"/>
    <w:rsid w:val="6B855C05"/>
    <w:rsid w:val="6BA540FB"/>
    <w:rsid w:val="6BB84639"/>
    <w:rsid w:val="6BB87D88"/>
    <w:rsid w:val="6BD9385B"/>
    <w:rsid w:val="6BFB43A6"/>
    <w:rsid w:val="6C046B2A"/>
    <w:rsid w:val="6C5A4D98"/>
    <w:rsid w:val="6C9E7C6F"/>
    <w:rsid w:val="6CA51767"/>
    <w:rsid w:val="6D0B3EE8"/>
    <w:rsid w:val="6D641A7A"/>
    <w:rsid w:val="6D7221B9"/>
    <w:rsid w:val="6DBC51E2"/>
    <w:rsid w:val="6DCC7B1B"/>
    <w:rsid w:val="6DEF1A94"/>
    <w:rsid w:val="6E001573"/>
    <w:rsid w:val="6E4E0530"/>
    <w:rsid w:val="6E62222D"/>
    <w:rsid w:val="6E7855AD"/>
    <w:rsid w:val="6E82467D"/>
    <w:rsid w:val="6EE64C0C"/>
    <w:rsid w:val="6EEB5D7F"/>
    <w:rsid w:val="6F0508B3"/>
    <w:rsid w:val="6F50730C"/>
    <w:rsid w:val="6F916D46"/>
    <w:rsid w:val="6F96218E"/>
    <w:rsid w:val="6FA56875"/>
    <w:rsid w:val="6FD5724C"/>
    <w:rsid w:val="6FD60FB9"/>
    <w:rsid w:val="70147557"/>
    <w:rsid w:val="702E23C7"/>
    <w:rsid w:val="705362D1"/>
    <w:rsid w:val="707E089F"/>
    <w:rsid w:val="70B75749"/>
    <w:rsid w:val="71017ADB"/>
    <w:rsid w:val="7145088E"/>
    <w:rsid w:val="715441B2"/>
    <w:rsid w:val="718F3339"/>
    <w:rsid w:val="71A010A2"/>
    <w:rsid w:val="71A744E0"/>
    <w:rsid w:val="71B52674"/>
    <w:rsid w:val="722241AD"/>
    <w:rsid w:val="72520E64"/>
    <w:rsid w:val="72571086"/>
    <w:rsid w:val="72695938"/>
    <w:rsid w:val="726E11A1"/>
    <w:rsid w:val="72DC25AE"/>
    <w:rsid w:val="72F35B4A"/>
    <w:rsid w:val="72F86CBC"/>
    <w:rsid w:val="73263829"/>
    <w:rsid w:val="73334198"/>
    <w:rsid w:val="733D0B73"/>
    <w:rsid w:val="73552361"/>
    <w:rsid w:val="7363682B"/>
    <w:rsid w:val="737722D7"/>
    <w:rsid w:val="737C78ED"/>
    <w:rsid w:val="73CC4259"/>
    <w:rsid w:val="73E13BF4"/>
    <w:rsid w:val="74714F78"/>
    <w:rsid w:val="74844CAB"/>
    <w:rsid w:val="74BA0B36"/>
    <w:rsid w:val="74DA0D6F"/>
    <w:rsid w:val="74E120FE"/>
    <w:rsid w:val="74E90268"/>
    <w:rsid w:val="754F45BF"/>
    <w:rsid w:val="755B4642"/>
    <w:rsid w:val="75792336"/>
    <w:rsid w:val="757F5323"/>
    <w:rsid w:val="75956504"/>
    <w:rsid w:val="75B26155"/>
    <w:rsid w:val="75BD7F3E"/>
    <w:rsid w:val="767E1BCE"/>
    <w:rsid w:val="76A827A7"/>
    <w:rsid w:val="76CB7A84"/>
    <w:rsid w:val="771D707E"/>
    <w:rsid w:val="776B146F"/>
    <w:rsid w:val="777A2396"/>
    <w:rsid w:val="77B701AC"/>
    <w:rsid w:val="77DD39C5"/>
    <w:rsid w:val="781400F4"/>
    <w:rsid w:val="788D434B"/>
    <w:rsid w:val="78DA1E9D"/>
    <w:rsid w:val="79004B1D"/>
    <w:rsid w:val="792F7024"/>
    <w:rsid w:val="794C1B10"/>
    <w:rsid w:val="7956298E"/>
    <w:rsid w:val="79733540"/>
    <w:rsid w:val="79747443"/>
    <w:rsid w:val="79823784"/>
    <w:rsid w:val="79AA0C09"/>
    <w:rsid w:val="79FF6A97"/>
    <w:rsid w:val="7A0D010D"/>
    <w:rsid w:val="7A1F7224"/>
    <w:rsid w:val="7A4078C7"/>
    <w:rsid w:val="7A41363F"/>
    <w:rsid w:val="7A9419C0"/>
    <w:rsid w:val="7AB45BBF"/>
    <w:rsid w:val="7ACA7190"/>
    <w:rsid w:val="7AD37095"/>
    <w:rsid w:val="7AEE7323"/>
    <w:rsid w:val="7AF4245F"/>
    <w:rsid w:val="7B1448AF"/>
    <w:rsid w:val="7B273B5C"/>
    <w:rsid w:val="7BBD3757"/>
    <w:rsid w:val="7C460A98"/>
    <w:rsid w:val="7C645B4E"/>
    <w:rsid w:val="7CB41EA6"/>
    <w:rsid w:val="7CC540B3"/>
    <w:rsid w:val="7CCF0A8E"/>
    <w:rsid w:val="7D52346D"/>
    <w:rsid w:val="7D692C90"/>
    <w:rsid w:val="7D845D1C"/>
    <w:rsid w:val="7D886580"/>
    <w:rsid w:val="7DF50161"/>
    <w:rsid w:val="7E0B3D48"/>
    <w:rsid w:val="7E1621A7"/>
    <w:rsid w:val="7E2807AB"/>
    <w:rsid w:val="7E5D7ED9"/>
    <w:rsid w:val="7E642D42"/>
    <w:rsid w:val="7E834226"/>
    <w:rsid w:val="7E991353"/>
    <w:rsid w:val="7ED61786"/>
    <w:rsid w:val="7F842003"/>
    <w:rsid w:val="7FC00B62"/>
    <w:rsid w:val="7FF371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1"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7"/>
    <w:qFormat/>
    <w:uiPriority w:val="9"/>
    <w:pPr>
      <w:keepNext/>
      <w:keepLines/>
      <w:spacing w:line="360" w:lineRule="auto"/>
      <w:jc w:val="left"/>
      <w:outlineLvl w:val="0"/>
    </w:pPr>
    <w:rPr>
      <w:rFonts w:ascii="Times New Roman" w:hAnsi="Times New Roman" w:eastAsia="黑体"/>
      <w:bCs/>
      <w:kern w:val="44"/>
      <w:sz w:val="28"/>
      <w:szCs w:val="44"/>
    </w:rPr>
  </w:style>
  <w:style w:type="paragraph" w:styleId="4">
    <w:name w:val="heading 2"/>
    <w:basedOn w:val="1"/>
    <w:next w:val="1"/>
    <w:link w:val="28"/>
    <w:unhideWhenUsed/>
    <w:qFormat/>
    <w:uiPriority w:val="9"/>
    <w:pPr>
      <w:keepNext/>
      <w:keepLines/>
      <w:spacing w:before="260" w:after="260" w:line="416" w:lineRule="auto"/>
      <w:outlineLvl w:val="1"/>
    </w:pPr>
    <w:rPr>
      <w:rFonts w:ascii="Times New Roman" w:hAnsi="Times New Roman" w:eastAsia="黑体" w:cstheme="majorBidi"/>
      <w:bCs/>
      <w:sz w:val="28"/>
      <w:szCs w:val="32"/>
    </w:rPr>
  </w:style>
  <w:style w:type="paragraph" w:styleId="5">
    <w:name w:val="heading 3"/>
    <w:basedOn w:val="1"/>
    <w:next w:val="1"/>
    <w:link w:val="29"/>
    <w:unhideWhenUsed/>
    <w:qFormat/>
    <w:uiPriority w:val="9"/>
    <w:pPr>
      <w:keepNext/>
      <w:keepLines/>
      <w:spacing w:before="260" w:after="260" w:line="416" w:lineRule="auto"/>
      <w:outlineLvl w:val="2"/>
    </w:pPr>
    <w:rPr>
      <w:rFonts w:ascii="Times New Roman" w:hAnsi="Times New Roman" w:eastAsia="黑体"/>
      <w:bCs/>
      <w:sz w:val="24"/>
      <w:szCs w:val="32"/>
    </w:rPr>
  </w:style>
  <w:style w:type="paragraph" w:styleId="6">
    <w:name w:val="heading 4"/>
    <w:basedOn w:val="1"/>
    <w:next w:val="1"/>
    <w:unhideWhenUsed/>
    <w:qFormat/>
    <w:uiPriority w:val="9"/>
    <w:pPr>
      <w:ind w:firstLine="480"/>
      <w:outlineLvl w:val="3"/>
    </w:pPr>
    <w:rPr>
      <w:rFonts w:ascii="黑体" w:hAnsi="黑体"/>
      <w:szCs w:val="24"/>
      <w:lang w:eastAsia="zh-CN"/>
    </w:rPr>
  </w:style>
  <w:style w:type="paragraph" w:styleId="7">
    <w:name w:val="heading 5"/>
    <w:basedOn w:val="1"/>
    <w:next w:val="1"/>
    <w:qFormat/>
    <w:uiPriority w:val="1"/>
    <w:pPr>
      <w:ind w:left="896" w:hanging="636"/>
      <w:outlineLvl w:val="5"/>
    </w:pPr>
    <w:rPr>
      <w:rFonts w:ascii="黑体" w:hAnsi="黑体" w:eastAsia="黑体" w:cs="黑体"/>
      <w:sz w:val="28"/>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unhideWhenUsed/>
    <w:qFormat/>
    <w:uiPriority w:val="0"/>
    <w:pPr>
      <w:autoSpaceDE w:val="0"/>
      <w:autoSpaceDN w:val="0"/>
      <w:spacing w:before="135" w:line="240" w:lineRule="auto"/>
      <w:ind w:left="142"/>
    </w:pPr>
    <w:rPr>
      <w:rFonts w:ascii="宋体" w:cs="宋体"/>
      <w:szCs w:val="24"/>
      <w:lang w:eastAsia="zh-CN"/>
    </w:rPr>
  </w:style>
  <w:style w:type="paragraph" w:styleId="8">
    <w:name w:val="Normal Indent"/>
    <w:basedOn w:val="1"/>
    <w:unhideWhenUsed/>
    <w:qFormat/>
    <w:uiPriority w:val="0"/>
    <w:pPr>
      <w:ind w:firstLine="420" w:firstLineChars="200"/>
    </w:pPr>
    <w:rPr>
      <w:rFonts w:ascii="Times New Roman" w:hAnsi="Times New Roman" w:eastAsia="宋体" w:cs="Times New Roman"/>
      <w:szCs w:val="24"/>
    </w:rPr>
  </w:style>
  <w:style w:type="paragraph" w:styleId="9">
    <w:name w:val="Document Map"/>
    <w:basedOn w:val="1"/>
    <w:link w:val="32"/>
    <w:unhideWhenUsed/>
    <w:qFormat/>
    <w:uiPriority w:val="99"/>
    <w:rPr>
      <w:rFonts w:ascii="宋体" w:eastAsia="宋体"/>
      <w:sz w:val="18"/>
      <w:szCs w:val="18"/>
    </w:rPr>
  </w:style>
  <w:style w:type="paragraph" w:styleId="10">
    <w:name w:val="annotation text"/>
    <w:basedOn w:val="1"/>
    <w:link w:val="36"/>
    <w:semiHidden/>
    <w:unhideWhenUsed/>
    <w:qFormat/>
    <w:uiPriority w:val="99"/>
    <w:pPr>
      <w:jc w:val="left"/>
    </w:pPr>
  </w:style>
  <w:style w:type="paragraph" w:styleId="11">
    <w:name w:val="Body Text Indent"/>
    <w:basedOn w:val="1"/>
    <w:qFormat/>
    <w:uiPriority w:val="99"/>
    <w:pPr>
      <w:autoSpaceDE w:val="0"/>
      <w:autoSpaceDN w:val="0"/>
      <w:adjustRightInd w:val="0"/>
      <w:spacing w:line="524" w:lineRule="atLeast"/>
      <w:ind w:firstLine="540"/>
      <w:jc w:val="left"/>
    </w:pPr>
    <w:rPr>
      <w:rFonts w:hint="eastAsia" w:ascii="宋体"/>
      <w:color w:val="000000"/>
      <w:kern w:val="0"/>
      <w:sz w:val="30"/>
    </w:rPr>
  </w:style>
  <w:style w:type="paragraph" w:styleId="12">
    <w:name w:val="toc 3"/>
    <w:basedOn w:val="1"/>
    <w:next w:val="1"/>
    <w:semiHidden/>
    <w:unhideWhenUsed/>
    <w:qFormat/>
    <w:uiPriority w:val="39"/>
    <w:pPr>
      <w:widowControl/>
      <w:spacing w:after="100" w:line="276" w:lineRule="auto"/>
      <w:ind w:left="440"/>
      <w:jc w:val="left"/>
    </w:pPr>
    <w:rPr>
      <w:kern w:val="0"/>
      <w:sz w:val="22"/>
    </w:rPr>
  </w:style>
  <w:style w:type="paragraph" w:styleId="13">
    <w:name w:val="Balloon Text"/>
    <w:basedOn w:val="1"/>
    <w:link w:val="34"/>
    <w:unhideWhenUsed/>
    <w:qFormat/>
    <w:uiPriority w:val="99"/>
    <w:rPr>
      <w:sz w:val="18"/>
      <w:szCs w:val="18"/>
    </w:rPr>
  </w:style>
  <w:style w:type="paragraph" w:styleId="14">
    <w:name w:val="footer"/>
    <w:basedOn w:val="1"/>
    <w:link w:val="31"/>
    <w:unhideWhenUsed/>
    <w:qFormat/>
    <w:uiPriority w:val="99"/>
    <w:pPr>
      <w:tabs>
        <w:tab w:val="center" w:pos="4153"/>
        <w:tab w:val="right" w:pos="8306"/>
      </w:tabs>
      <w:snapToGrid w:val="0"/>
      <w:jc w:val="left"/>
    </w:pPr>
    <w:rPr>
      <w:sz w:val="18"/>
      <w:szCs w:val="18"/>
    </w:rPr>
  </w:style>
  <w:style w:type="paragraph" w:styleId="15">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pPr>
      <w:widowControl/>
      <w:tabs>
        <w:tab w:val="right" w:leader="dot" w:pos="8296"/>
      </w:tabs>
      <w:spacing w:after="100" w:line="276" w:lineRule="auto"/>
      <w:jc w:val="center"/>
    </w:pPr>
    <w:rPr>
      <w:kern w:val="0"/>
      <w:sz w:val="22"/>
    </w:rPr>
  </w:style>
  <w:style w:type="paragraph" w:styleId="17">
    <w:name w:val="toc 2"/>
    <w:basedOn w:val="1"/>
    <w:next w:val="1"/>
    <w:unhideWhenUsed/>
    <w:qFormat/>
    <w:uiPriority w:val="39"/>
    <w:pPr>
      <w:widowControl/>
      <w:spacing w:after="100" w:line="276" w:lineRule="auto"/>
      <w:ind w:left="220"/>
      <w:jc w:val="left"/>
    </w:pPr>
    <w:rPr>
      <w:kern w:val="0"/>
      <w:sz w:val="22"/>
    </w:rPr>
  </w:style>
  <w:style w:type="paragraph" w:styleId="18">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paragraph" w:styleId="19">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styleId="20">
    <w:name w:val="annotation subject"/>
    <w:basedOn w:val="10"/>
    <w:next w:val="10"/>
    <w:link w:val="37"/>
    <w:semiHidden/>
    <w:unhideWhenUsed/>
    <w:qFormat/>
    <w:uiPriority w:val="99"/>
    <w:rPr>
      <w:b/>
      <w:bCs/>
    </w:rPr>
  </w:style>
  <w:style w:type="paragraph" w:styleId="21">
    <w:name w:val="Body Text First Indent 2"/>
    <w:basedOn w:val="11"/>
    <w:qFormat/>
    <w:uiPriority w:val="99"/>
    <w:pPr>
      <w:spacing w:line="240" w:lineRule="auto"/>
      <w:ind w:firstLine="420"/>
      <w:jc w:val="left"/>
    </w:pPr>
    <w:rPr>
      <w:rFonts w:ascii="Times New Roman" w:hAnsi="Times New Roman" w:eastAsia="宋体"/>
      <w:szCs w:val="30"/>
    </w:rPr>
  </w:style>
  <w:style w:type="table" w:styleId="23">
    <w:name w:val="Table Grid"/>
    <w:basedOn w:val="2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5">
    <w:name w:val="Hyperlink"/>
    <w:basedOn w:val="24"/>
    <w:unhideWhenUsed/>
    <w:qFormat/>
    <w:uiPriority w:val="99"/>
    <w:rPr>
      <w:color w:val="0000FF" w:themeColor="hyperlink"/>
      <w:u w:val="single"/>
      <w14:textFill>
        <w14:solidFill>
          <w14:schemeClr w14:val="hlink"/>
        </w14:solidFill>
      </w14:textFill>
    </w:rPr>
  </w:style>
  <w:style w:type="character" w:styleId="26">
    <w:name w:val="annotation reference"/>
    <w:basedOn w:val="24"/>
    <w:semiHidden/>
    <w:unhideWhenUsed/>
    <w:qFormat/>
    <w:uiPriority w:val="99"/>
    <w:rPr>
      <w:sz w:val="21"/>
      <w:szCs w:val="21"/>
    </w:rPr>
  </w:style>
  <w:style w:type="character" w:customStyle="1" w:styleId="27">
    <w:name w:val="标题 1 Char"/>
    <w:basedOn w:val="24"/>
    <w:link w:val="3"/>
    <w:qFormat/>
    <w:uiPriority w:val="9"/>
    <w:rPr>
      <w:rFonts w:ascii="Times New Roman" w:hAnsi="Times New Roman" w:eastAsia="黑体"/>
      <w:bCs/>
      <w:kern w:val="44"/>
      <w:sz w:val="28"/>
      <w:szCs w:val="44"/>
    </w:rPr>
  </w:style>
  <w:style w:type="character" w:customStyle="1" w:styleId="28">
    <w:name w:val="标题 2 Char"/>
    <w:basedOn w:val="24"/>
    <w:link w:val="4"/>
    <w:qFormat/>
    <w:uiPriority w:val="9"/>
    <w:rPr>
      <w:rFonts w:ascii="Times New Roman" w:hAnsi="Times New Roman" w:eastAsia="黑体" w:cstheme="majorBidi"/>
      <w:bCs/>
      <w:kern w:val="2"/>
      <w:sz w:val="28"/>
      <w:szCs w:val="32"/>
    </w:rPr>
  </w:style>
  <w:style w:type="character" w:customStyle="1" w:styleId="29">
    <w:name w:val="标题 3 Char"/>
    <w:basedOn w:val="24"/>
    <w:link w:val="5"/>
    <w:qFormat/>
    <w:uiPriority w:val="9"/>
    <w:rPr>
      <w:rFonts w:ascii="Times New Roman" w:hAnsi="Times New Roman" w:eastAsia="黑体"/>
      <w:bCs/>
      <w:kern w:val="2"/>
      <w:sz w:val="24"/>
      <w:szCs w:val="32"/>
    </w:rPr>
  </w:style>
  <w:style w:type="character" w:customStyle="1" w:styleId="30">
    <w:name w:val="页眉 Char"/>
    <w:basedOn w:val="24"/>
    <w:link w:val="15"/>
    <w:qFormat/>
    <w:uiPriority w:val="99"/>
    <w:rPr>
      <w:sz w:val="18"/>
      <w:szCs w:val="18"/>
    </w:rPr>
  </w:style>
  <w:style w:type="character" w:customStyle="1" w:styleId="31">
    <w:name w:val="页脚 Char"/>
    <w:basedOn w:val="24"/>
    <w:link w:val="14"/>
    <w:qFormat/>
    <w:uiPriority w:val="99"/>
    <w:rPr>
      <w:sz w:val="18"/>
      <w:szCs w:val="18"/>
    </w:rPr>
  </w:style>
  <w:style w:type="character" w:customStyle="1" w:styleId="32">
    <w:name w:val="文档结构图 Char"/>
    <w:basedOn w:val="24"/>
    <w:link w:val="9"/>
    <w:semiHidden/>
    <w:qFormat/>
    <w:uiPriority w:val="99"/>
    <w:rPr>
      <w:rFonts w:ascii="宋体" w:eastAsia="宋体"/>
      <w:sz w:val="18"/>
      <w:szCs w:val="18"/>
    </w:rPr>
  </w:style>
  <w:style w:type="paragraph" w:customStyle="1" w:styleId="33">
    <w:name w:val="列出段落1"/>
    <w:basedOn w:val="1"/>
    <w:qFormat/>
    <w:uiPriority w:val="34"/>
    <w:pPr>
      <w:ind w:firstLine="420" w:firstLineChars="200"/>
    </w:pPr>
  </w:style>
  <w:style w:type="character" w:customStyle="1" w:styleId="34">
    <w:name w:val="批注框文本 Char"/>
    <w:basedOn w:val="24"/>
    <w:link w:val="13"/>
    <w:semiHidden/>
    <w:qFormat/>
    <w:uiPriority w:val="99"/>
    <w:rPr>
      <w:sz w:val="18"/>
      <w:szCs w:val="18"/>
    </w:rPr>
  </w:style>
  <w:style w:type="paragraph" w:customStyle="1" w:styleId="35">
    <w:name w:val="TOC Heading"/>
    <w:basedOn w:val="3"/>
    <w:next w:val="1"/>
    <w:unhideWhenUsed/>
    <w:qFormat/>
    <w:uiPriority w:val="39"/>
    <w:pPr>
      <w:widowControl/>
      <w:spacing w:before="480" w:line="276" w:lineRule="auto"/>
      <w:outlineLvl w:val="9"/>
    </w:pPr>
    <w:rPr>
      <w:rFonts w:asciiTheme="majorHAnsi" w:hAnsiTheme="majorHAnsi" w:eastAsiaTheme="majorEastAsia" w:cstheme="majorBidi"/>
      <w:b/>
      <w:color w:val="376092" w:themeColor="accent1" w:themeShade="BF"/>
      <w:kern w:val="0"/>
      <w:szCs w:val="28"/>
    </w:rPr>
  </w:style>
  <w:style w:type="character" w:customStyle="1" w:styleId="36">
    <w:name w:val="批注文字 Char"/>
    <w:basedOn w:val="24"/>
    <w:link w:val="10"/>
    <w:semiHidden/>
    <w:qFormat/>
    <w:uiPriority w:val="99"/>
    <w:rPr>
      <w:kern w:val="2"/>
      <w:sz w:val="21"/>
      <w:szCs w:val="22"/>
    </w:rPr>
  </w:style>
  <w:style w:type="character" w:customStyle="1" w:styleId="37">
    <w:name w:val="批注主题 Char"/>
    <w:basedOn w:val="36"/>
    <w:link w:val="20"/>
    <w:semiHidden/>
    <w:qFormat/>
    <w:uiPriority w:val="99"/>
    <w:rPr>
      <w:b/>
      <w:bCs/>
      <w:kern w:val="2"/>
      <w:sz w:val="21"/>
      <w:szCs w:val="22"/>
    </w:rPr>
  </w:style>
  <w:style w:type="character" w:customStyle="1" w:styleId="38">
    <w:name w:val="样式 四号"/>
    <w:qFormat/>
    <w:uiPriority w:val="0"/>
  </w:style>
  <w:style w:type="character" w:customStyle="1" w:styleId="39">
    <w:name w:val="样式 (西文) Times New Roman"/>
    <w:qFormat/>
    <w:uiPriority w:val="0"/>
    <w:rPr>
      <w:rFonts w:ascii="Times New Roman" w:hAnsi="Times New Roman" w:eastAsia="仿宋_GB2312"/>
      <w:sz w:val="24"/>
    </w:rPr>
  </w:style>
  <w:style w:type="paragraph" w:customStyle="1" w:styleId="40">
    <w:name w:val="表格内容"/>
    <w:basedOn w:val="1"/>
    <w:qFormat/>
    <w:uiPriority w:val="0"/>
    <w:pPr>
      <w:widowControl/>
      <w:spacing w:line="240" w:lineRule="auto"/>
      <w:jc w:val="center"/>
    </w:pPr>
    <w:rPr>
      <w:color w:val="000000"/>
      <w:sz w:val="21"/>
      <w:szCs w:val="21"/>
      <w:lang w:eastAsia="zh-CN"/>
    </w:rPr>
  </w:style>
  <w:style w:type="character" w:customStyle="1" w:styleId="41">
    <w:name w:val="font51"/>
    <w:basedOn w:val="24"/>
    <w:qFormat/>
    <w:uiPriority w:val="0"/>
    <w:rPr>
      <w:rFonts w:ascii="仿宋_GB2312" w:eastAsia="仿宋_GB2312" w:cs="仿宋_GB2312"/>
      <w:color w:val="000000"/>
      <w:sz w:val="20"/>
      <w:szCs w:val="20"/>
      <w:u w:val="none"/>
    </w:rPr>
  </w:style>
  <w:style w:type="character" w:customStyle="1" w:styleId="42">
    <w:name w:val="font01"/>
    <w:basedOn w:val="24"/>
    <w:qFormat/>
    <w:uiPriority w:val="0"/>
    <w:rPr>
      <w:rFonts w:hint="default" w:ascii="仿宋_GB2312" w:eastAsia="仿宋_GB2312" w:cs="仿宋_GB2312"/>
      <w:color w:val="000000"/>
      <w:sz w:val="18"/>
      <w:szCs w:val="18"/>
      <w:u w:val="none"/>
    </w:rPr>
  </w:style>
  <w:style w:type="paragraph" w:customStyle="1" w:styleId="43">
    <w:name w:val="图表标题"/>
    <w:basedOn w:val="1"/>
    <w:qFormat/>
    <w:uiPriority w:val="0"/>
    <w:pPr>
      <w:tabs>
        <w:tab w:val="left" w:pos="7560"/>
      </w:tabs>
      <w:spacing w:line="240" w:lineRule="auto"/>
      <w:jc w:val="center"/>
    </w:pPr>
    <w:rPr>
      <w:rFonts w:ascii="黑体" w:hAnsi="黑体" w:eastAsia="黑体" w:cs="黑体"/>
      <w:color w:val="000000"/>
      <w:sz w:val="21"/>
      <w:szCs w:val="24"/>
      <w:lang w:eastAsia="zh-CN"/>
    </w:rPr>
  </w:style>
  <w:style w:type="character" w:customStyle="1" w:styleId="44">
    <w:name w:val="font41"/>
    <w:basedOn w:val="24"/>
    <w:qFormat/>
    <w:uiPriority w:val="0"/>
    <w:rPr>
      <w:rFonts w:ascii="仿宋_GB2312" w:eastAsia="仿宋_GB2312" w:cs="仿宋_GB2312"/>
      <w:color w:val="000000"/>
      <w:sz w:val="20"/>
      <w:szCs w:val="20"/>
      <w:u w:val="none"/>
    </w:rPr>
  </w:style>
  <w:style w:type="character" w:customStyle="1" w:styleId="45">
    <w:name w:val="font21"/>
    <w:basedOn w:val="24"/>
    <w:qFormat/>
    <w:uiPriority w:val="0"/>
    <w:rPr>
      <w:rFonts w:hint="eastAsia" w:ascii="宋体" w:hAnsi="宋体" w:eastAsia="宋体" w:cs="宋体"/>
      <w:color w:val="000000"/>
      <w:sz w:val="20"/>
      <w:szCs w:val="20"/>
      <w:u w:val="none"/>
    </w:rPr>
  </w:style>
  <w:style w:type="character" w:customStyle="1" w:styleId="46">
    <w:name w:val="font61"/>
    <w:basedOn w:val="24"/>
    <w:qFormat/>
    <w:uiPriority w:val="0"/>
    <w:rPr>
      <w:rFonts w:hint="default" w:ascii="Times New Roman" w:hAnsi="Times New Roman" w:cs="Times New Roman"/>
      <w:color w:val="000000"/>
      <w:sz w:val="20"/>
      <w:szCs w:val="20"/>
      <w:u w:val="none"/>
      <w:vertAlign w:val="superscript"/>
    </w:rPr>
  </w:style>
  <w:style w:type="paragraph" w:customStyle="1" w:styleId="47">
    <w:name w:val="Char1"/>
    <w:basedOn w:val="1"/>
    <w:qFormat/>
    <w:uiPriority w:val="0"/>
    <w:pPr>
      <w:spacing w:line="360" w:lineRule="auto"/>
      <w:ind w:firstLine="200" w:firstLineChars="200"/>
    </w:pPr>
    <w:rPr>
      <w:rFonts w:ascii="宋体" w:hAnsi="宋体" w:eastAsia="宋体" w:cs="宋体"/>
      <w:sz w:val="24"/>
      <w:szCs w:val="24"/>
    </w:rPr>
  </w:style>
  <w:style w:type="character" w:customStyle="1" w:styleId="48">
    <w:name w:val="font91"/>
    <w:basedOn w:val="24"/>
    <w:qFormat/>
    <w:uiPriority w:val="0"/>
    <w:rPr>
      <w:rFonts w:hint="default" w:ascii="Times New Roman" w:hAnsi="Times New Roman" w:cs="Times New Roman"/>
      <w:color w:val="000000"/>
      <w:sz w:val="20"/>
      <w:szCs w:val="20"/>
      <w:u w:val="none"/>
      <w:vertAlign w:val="superscript"/>
    </w:rPr>
  </w:style>
  <w:style w:type="character" w:customStyle="1" w:styleId="49">
    <w:name w:val="font101"/>
    <w:basedOn w:val="24"/>
    <w:qFormat/>
    <w:uiPriority w:val="0"/>
    <w:rPr>
      <w:rFonts w:ascii="仿宋_GB2312" w:eastAsia="仿宋_GB2312" w:cs="仿宋_GB2312"/>
      <w:color w:val="000000"/>
      <w:sz w:val="20"/>
      <w:szCs w:val="20"/>
      <w:u w:val="none"/>
    </w:rPr>
  </w:style>
  <w:style w:type="character" w:customStyle="1" w:styleId="50">
    <w:name w:val="font13"/>
    <w:basedOn w:val="24"/>
    <w:qFormat/>
    <w:uiPriority w:val="0"/>
    <w:rPr>
      <w:rFonts w:hint="default" w:ascii="仿宋_GB2312" w:eastAsia="仿宋_GB2312" w:cs="仿宋_GB2312"/>
      <w:color w:val="000000"/>
      <w:sz w:val="18"/>
      <w:szCs w:val="18"/>
      <w:u w:val="none"/>
    </w:rPr>
  </w:style>
  <w:style w:type="character" w:customStyle="1" w:styleId="51">
    <w:name w:val="font111"/>
    <w:basedOn w:val="24"/>
    <w:qFormat/>
    <w:uiPriority w:val="0"/>
    <w:rPr>
      <w:rFonts w:hint="default" w:ascii="Times New Roman" w:hAnsi="Times New Roman" w:cs="Times New Roman"/>
      <w:color w:val="000000"/>
      <w:sz w:val="21"/>
      <w:szCs w:val="21"/>
      <w:u w:val="none"/>
      <w:vertAlign w:val="superscript"/>
    </w:rPr>
  </w:style>
  <w:style w:type="character" w:customStyle="1" w:styleId="52">
    <w:name w:val="font121"/>
    <w:basedOn w:val="24"/>
    <w:qFormat/>
    <w:uiPriority w:val="0"/>
    <w:rPr>
      <w:rFonts w:hint="eastAsia" w:ascii="宋体" w:hAnsi="宋体" w:eastAsia="宋体" w:cs="宋体"/>
      <w:color w:val="000000"/>
      <w:sz w:val="21"/>
      <w:szCs w:val="21"/>
      <w:u w:val="none"/>
    </w:rPr>
  </w:style>
  <w:style w:type="character" w:customStyle="1" w:styleId="53">
    <w:name w:val="font132"/>
    <w:basedOn w:val="24"/>
    <w:qFormat/>
    <w:uiPriority w:val="0"/>
    <w:rPr>
      <w:rFonts w:hint="default" w:ascii="Times New Roman" w:hAnsi="Times New Roman" w:cs="Times New Roman"/>
      <w:color w:val="000000"/>
      <w:sz w:val="21"/>
      <w:szCs w:val="21"/>
      <w:u w:val="none"/>
    </w:rPr>
  </w:style>
  <w:style w:type="character" w:customStyle="1" w:styleId="54">
    <w:name w:val="font112"/>
    <w:basedOn w:val="24"/>
    <w:qFormat/>
    <w:uiPriority w:val="0"/>
    <w:rPr>
      <w:rFonts w:ascii="仿宋_GB2312" w:eastAsia="仿宋_GB2312" w:cs="仿宋_GB2312"/>
      <w:color w:val="000000"/>
      <w:sz w:val="20"/>
      <w:szCs w:val="20"/>
      <w:u w:val="none"/>
    </w:rPr>
  </w:style>
  <w:style w:type="character" w:customStyle="1" w:styleId="55">
    <w:name w:val="font81"/>
    <w:basedOn w:val="24"/>
    <w:qFormat/>
    <w:uiPriority w:val="0"/>
    <w:rPr>
      <w:rFonts w:hint="default" w:ascii="仿宋_GB2312" w:eastAsia="仿宋_GB2312" w:cs="仿宋_GB2312"/>
      <w:color w:val="000000"/>
      <w:sz w:val="18"/>
      <w:szCs w:val="18"/>
      <w:u w:val="none"/>
    </w:rPr>
  </w:style>
  <w:style w:type="character" w:customStyle="1" w:styleId="56">
    <w:name w:val="font31"/>
    <w:basedOn w:val="24"/>
    <w:qFormat/>
    <w:uiPriority w:val="0"/>
    <w:rPr>
      <w:rFonts w:hint="default" w:ascii="Times New Roman" w:hAnsi="Times New Roman" w:cs="Times New Roman"/>
      <w:color w:val="000000"/>
      <w:sz w:val="20"/>
      <w:szCs w:val="20"/>
      <w:u w:val="none"/>
    </w:rPr>
  </w:style>
  <w:style w:type="character" w:customStyle="1" w:styleId="57">
    <w:name w:val="font71"/>
    <w:basedOn w:val="24"/>
    <w:qFormat/>
    <w:uiPriority w:val="0"/>
    <w:rPr>
      <w:rFonts w:hint="default" w:ascii="仿宋_GB2312" w:eastAsia="仿宋_GB2312" w:cs="仿宋_GB2312"/>
      <w:color w:val="000000"/>
      <w:sz w:val="18"/>
      <w:szCs w:val="18"/>
      <w:u w:val="none"/>
    </w:rPr>
  </w:style>
  <w:style w:type="character" w:customStyle="1" w:styleId="58">
    <w:name w:val="font11"/>
    <w:basedOn w:val="24"/>
    <w:qFormat/>
    <w:uiPriority w:val="0"/>
    <w:rPr>
      <w:rFonts w:hint="default" w:ascii="Times New Roman" w:hAnsi="Times New Roman" w:cs="Times New Roman"/>
      <w:color w:val="000000"/>
      <w:sz w:val="20"/>
      <w:szCs w:val="20"/>
      <w:u w:val="none"/>
      <w:vertAlign w:val="superscript"/>
    </w:rPr>
  </w:style>
  <w:style w:type="paragraph" w:customStyle="1" w:styleId="59">
    <w:name w:val="1表头"/>
    <w:basedOn w:val="60"/>
    <w:next w:val="60"/>
    <w:qFormat/>
    <w:uiPriority w:val="0"/>
    <w:pPr>
      <w:snapToGrid w:val="0"/>
      <w:ind w:firstLine="0" w:firstLineChars="0"/>
    </w:pPr>
    <w:rPr>
      <w:b/>
      <w:bCs/>
      <w:sz w:val="21"/>
    </w:rPr>
  </w:style>
  <w:style w:type="paragraph" w:customStyle="1" w:styleId="60">
    <w:name w:val="1.正文"/>
    <w:basedOn w:val="61"/>
    <w:next w:val="61"/>
    <w:qFormat/>
    <w:uiPriority w:val="0"/>
    <w:pPr>
      <w:spacing w:line="360" w:lineRule="auto"/>
      <w:jc w:val="both"/>
    </w:pPr>
    <w:rPr>
      <w:rFonts w:ascii="Times New Roman" w:eastAsia="仿宋_GB2312"/>
      <w:kern w:val="2"/>
      <w:sz w:val="24"/>
    </w:rPr>
  </w:style>
  <w:style w:type="paragraph" w:customStyle="1" w:styleId="61">
    <w:name w:val="0正文"/>
    <w:basedOn w:val="1"/>
    <w:qFormat/>
    <w:uiPriority w:val="0"/>
    <w:pPr>
      <w:adjustRightInd w:val="0"/>
      <w:spacing w:after="0" w:line="480" w:lineRule="exact"/>
      <w:ind w:firstLine="200" w:firstLineChars="200"/>
      <w:jc w:val="center"/>
      <w:textAlignment w:val="baseline"/>
    </w:pPr>
    <w:rPr>
      <w:rFonts w:ascii="宋体" w:hAnsi="Times New Roman"/>
      <w:sz w:val="28"/>
      <w:szCs w:val="24"/>
      <w:lang w:eastAsia="zh-CN"/>
    </w:rPr>
  </w:style>
  <w:style w:type="character" w:customStyle="1" w:styleId="62">
    <w:name w:val="font12"/>
    <w:basedOn w:val="24"/>
    <w:qFormat/>
    <w:uiPriority w:val="0"/>
    <w:rPr>
      <w:rFonts w:hint="default" w:ascii="仿宋_GB2312" w:eastAsia="仿宋_GB2312" w:cs="仿宋_GB2312"/>
      <w:color w:val="000000"/>
      <w:sz w:val="18"/>
      <w:szCs w:val="18"/>
      <w:u w:val="none"/>
    </w:rPr>
  </w:style>
  <w:style w:type="character" w:customStyle="1" w:styleId="63">
    <w:name w:val="font122"/>
    <w:basedOn w:val="24"/>
    <w:qFormat/>
    <w:uiPriority w:val="0"/>
    <w:rPr>
      <w:rFonts w:hint="eastAsia" w:ascii="宋体" w:hAnsi="宋体" w:eastAsia="宋体" w:cs="宋体"/>
      <w:color w:val="000000"/>
      <w:sz w:val="21"/>
      <w:szCs w:val="21"/>
      <w:u w:val="none"/>
    </w:rPr>
  </w:style>
  <w:style w:type="character" w:customStyle="1" w:styleId="64">
    <w:name w:val="font131"/>
    <w:basedOn w:val="24"/>
    <w:qFormat/>
    <w:uiPriority w:val="0"/>
    <w:rPr>
      <w:rFonts w:hint="default" w:ascii="Times New Roman" w:hAnsi="Times New Roman" w:cs="Times New Roman"/>
      <w:color w:val="000000"/>
      <w:sz w:val="21"/>
      <w:szCs w:val="21"/>
      <w:u w:val="none"/>
    </w:rPr>
  </w:style>
  <w:style w:type="character" w:customStyle="1" w:styleId="65">
    <w:name w:val="font151"/>
    <w:basedOn w:val="24"/>
    <w:qFormat/>
    <w:uiPriority w:val="0"/>
    <w:rPr>
      <w:rFonts w:hint="eastAsia" w:ascii="宋体" w:hAnsi="宋体" w:eastAsia="宋体" w:cs="宋体"/>
      <w:color w:val="000000"/>
      <w:sz w:val="20"/>
      <w:szCs w:val="20"/>
      <w:u w:val="none"/>
      <w:vertAlign w:val="superscript"/>
    </w:rPr>
  </w:style>
  <w:style w:type="character" w:customStyle="1" w:styleId="66">
    <w:name w:val="font22"/>
    <w:basedOn w:val="24"/>
    <w:qFormat/>
    <w:uiPriority w:val="0"/>
    <w:rPr>
      <w:rFonts w:hint="eastAsia" w:ascii="宋体" w:hAnsi="宋体" w:eastAsia="宋体" w:cs="宋体"/>
      <w:color w:val="000000"/>
      <w:sz w:val="16"/>
      <w:szCs w:val="16"/>
      <w:u w:val="none"/>
      <w:vertAlign w:val="superscript"/>
    </w:rPr>
  </w:style>
  <w:style w:type="character" w:customStyle="1" w:styleId="67">
    <w:name w:val="font191"/>
    <w:basedOn w:val="24"/>
    <w:qFormat/>
    <w:uiPriority w:val="0"/>
    <w:rPr>
      <w:rFonts w:hint="default" w:ascii="Times New Roman" w:hAnsi="Times New Roman" w:cs="Times New Roman"/>
      <w:color w:val="000000"/>
      <w:sz w:val="20"/>
      <w:szCs w:val="20"/>
      <w:u w:val="none"/>
    </w:rPr>
  </w:style>
  <w:style w:type="character" w:customStyle="1" w:styleId="68">
    <w:name w:val="font201"/>
    <w:basedOn w:val="24"/>
    <w:qFormat/>
    <w:uiPriority w:val="0"/>
    <w:rPr>
      <w:rFonts w:hint="eastAsia" w:ascii="仿宋" w:hAnsi="仿宋" w:eastAsia="仿宋" w:cs="仿宋"/>
      <w:b/>
      <w:bCs/>
      <w:color w:val="000000"/>
      <w:sz w:val="20"/>
      <w:szCs w:val="20"/>
      <w:u w:val="none"/>
    </w:rPr>
  </w:style>
  <w:style w:type="character" w:customStyle="1" w:styleId="69">
    <w:name w:val="font171"/>
    <w:basedOn w:val="24"/>
    <w:qFormat/>
    <w:uiPriority w:val="0"/>
    <w:rPr>
      <w:rFonts w:hint="eastAsia" w:ascii="宋体" w:hAnsi="宋体" w:eastAsia="宋体" w:cs="宋体"/>
      <w:color w:val="000000"/>
      <w:sz w:val="20"/>
      <w:szCs w:val="20"/>
      <w:u w:val="none"/>
    </w:rPr>
  </w:style>
  <w:style w:type="character" w:customStyle="1" w:styleId="70">
    <w:name w:val="font181"/>
    <w:basedOn w:val="24"/>
    <w:qFormat/>
    <w:uiPriority w:val="0"/>
    <w:rPr>
      <w:rFonts w:hint="eastAsia" w:ascii="仿宋" w:hAnsi="仿宋" w:eastAsia="仿宋" w:cs="仿宋"/>
      <w:color w:val="000000"/>
      <w:sz w:val="20"/>
      <w:szCs w:val="20"/>
      <w:u w:val="none"/>
    </w:rPr>
  </w:style>
  <w:style w:type="character" w:customStyle="1" w:styleId="71">
    <w:name w:val="font211"/>
    <w:basedOn w:val="24"/>
    <w:qFormat/>
    <w:uiPriority w:val="0"/>
    <w:rPr>
      <w:rFonts w:hint="default" w:ascii="仿宋_GB2312" w:eastAsia="仿宋_GB2312" w:cs="仿宋_GB2312"/>
      <w:color w:val="000000"/>
      <w:sz w:val="20"/>
      <w:szCs w:val="20"/>
      <w:u w:val="none"/>
    </w:rPr>
  </w:style>
  <w:style w:type="character" w:customStyle="1" w:styleId="72">
    <w:name w:val="font161"/>
    <w:basedOn w:val="24"/>
    <w:qFormat/>
    <w:uiPriority w:val="0"/>
    <w:rPr>
      <w:rFonts w:hint="eastAsia" w:ascii="宋体" w:hAnsi="宋体" w:eastAsia="宋体" w:cs="宋体"/>
      <w:color w:val="000000"/>
      <w:sz w:val="16"/>
      <w:szCs w:val="16"/>
      <w:u w:val="none"/>
    </w:rPr>
  </w:style>
  <w:style w:type="character" w:customStyle="1" w:styleId="73">
    <w:name w:val="font141"/>
    <w:basedOn w:val="24"/>
    <w:qFormat/>
    <w:uiPriority w:val="0"/>
    <w:rPr>
      <w:rFonts w:hint="eastAsia" w:ascii="宋体" w:hAnsi="宋体" w:eastAsia="宋体" w:cs="宋体"/>
      <w:color w:val="000000"/>
      <w:sz w:val="20"/>
      <w:szCs w:val="20"/>
      <w:u w:val="none"/>
      <w:vertAlign w:val="superscript"/>
    </w:rPr>
  </w:style>
  <w:style w:type="table" w:customStyle="1" w:styleId="74">
    <w:name w:val="Table Normal"/>
    <w:semiHidden/>
    <w:unhideWhenUsed/>
    <w:qFormat/>
    <w:uiPriority w:val="0"/>
    <w:tblPr>
      <w:tblLayout w:type="fixed"/>
      <w:tblCellMar>
        <w:top w:w="0" w:type="dxa"/>
        <w:left w:w="0" w:type="dxa"/>
        <w:bottom w:w="0" w:type="dxa"/>
        <w:right w:w="0" w:type="dxa"/>
      </w:tblCellMar>
    </w:tblPr>
  </w:style>
  <w:style w:type="paragraph" w:customStyle="1" w:styleId="75">
    <w:name w:val="Table Text"/>
    <w:basedOn w:val="1"/>
    <w:semiHidden/>
    <w:qFormat/>
    <w:uiPriority w:val="0"/>
    <w:rPr>
      <w:rFonts w:ascii="宋体" w:hAnsi="宋体" w:eastAsia="宋体" w:cs="宋体"/>
      <w:sz w:val="20"/>
      <w:szCs w:val="20"/>
      <w:lang w:val="en-US" w:eastAsia="en-US" w:bidi="ar-SA"/>
    </w:rPr>
  </w:style>
  <w:style w:type="paragraph" w:customStyle="1" w:styleId="76">
    <w:name w:val="图表单位"/>
    <w:basedOn w:val="1"/>
    <w:qFormat/>
    <w:uiPriority w:val="0"/>
    <w:pPr>
      <w:tabs>
        <w:tab w:val="left" w:pos="7560"/>
      </w:tabs>
      <w:spacing w:line="240" w:lineRule="auto"/>
      <w:jc w:val="right"/>
    </w:pPr>
    <w:rPr>
      <w:rFonts w:eastAsia="黑体" w:cs="黑体"/>
      <w:color w:val="000000"/>
      <w:sz w:val="21"/>
      <w:szCs w:val="21"/>
      <w:lang w:eastAsia="zh-CN"/>
    </w:rPr>
  </w:style>
  <w:style w:type="paragraph" w:styleId="77">
    <w:name w:val="List Paragraph"/>
    <w:basedOn w:val="1"/>
    <w:qFormat/>
    <w:uiPriority w:val="1"/>
    <w:pPr>
      <w:spacing w:line="240" w:lineRule="auto"/>
      <w:ind w:firstLine="420"/>
    </w:pPr>
    <w:rPr>
      <w:kern w:val="2"/>
      <w:sz w:val="21"/>
      <w:lang w:eastAsia="zh-CN"/>
    </w:rPr>
  </w:style>
  <w:style w:type="paragraph" w:customStyle="1" w:styleId="78">
    <w:name w:val="x正文"/>
    <w:qFormat/>
    <w:uiPriority w:val="0"/>
    <w:pPr>
      <w:widowControl w:val="0"/>
      <w:autoSpaceDE w:val="0"/>
      <w:autoSpaceDN w:val="0"/>
      <w:snapToGrid w:val="0"/>
      <w:spacing w:line="360" w:lineRule="auto"/>
      <w:ind w:firstLine="200" w:firstLineChars="200"/>
      <w:jc w:val="both"/>
      <w:textAlignment w:val="center"/>
    </w:pPr>
    <w:rPr>
      <w:rFonts w:ascii="Times New Roman" w:hAnsi="Times New Roman" w:eastAsia="仿宋_GB2312"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956A8E-9B7E-4F55-A517-5335E0341CA5}">
  <ds:schemaRefs/>
</ds:datastoreItem>
</file>

<file path=docProps/app.xml><?xml version="1.0" encoding="utf-8"?>
<Properties xmlns="http://schemas.openxmlformats.org/officeDocument/2006/extended-properties" xmlns:vt="http://schemas.openxmlformats.org/officeDocument/2006/docPropsVTypes">
  <Template>Normal.dotm</Template>
  <Pages>101</Pages>
  <Words>40467</Words>
  <Characters>46118</Characters>
  <Lines>90</Lines>
  <Paragraphs>25</Paragraphs>
  <TotalTime>2</TotalTime>
  <ScaleCrop>false</ScaleCrop>
  <LinksUpToDate>false</LinksUpToDate>
  <CharactersWithSpaces>61227</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2016-08-26T05:26:00Z</dcterms:created>
  <dc:creator>lxp</dc:creator>
  <cp:lastModifiedBy>Administrator</cp:lastModifiedBy>
  <dcterms:modified xsi:type="dcterms:W3CDTF">2024-04-22T10:27:01Z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6FF0E9BF1B1D453DBF3CAE6E39DAE121_13</vt:lpwstr>
  </property>
</Properties>
</file>