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imes New Roman" w:hAnsi="Times New Roman" w:eastAsia="黑体" w:cs="黑体"/>
          <w:color w:val="auto"/>
          <w:spacing w:val="0"/>
          <w:kern w:val="2"/>
          <w:sz w:val="44"/>
          <w:szCs w:val="44"/>
          <w:lang w:val="en-US" w:eastAsia="zh-CN"/>
        </w:rPr>
      </w:pPr>
      <w:bookmarkStart w:id="0" w:name="_GoBack"/>
      <w:r>
        <w:rPr>
          <w:rFonts w:hint="eastAsia" w:ascii="Times New Roman" w:hAnsi="Times New Roman" w:eastAsia="黑体" w:cs="黑体"/>
          <w:color w:val="auto"/>
          <w:spacing w:val="0"/>
          <w:kern w:val="2"/>
          <w:sz w:val="44"/>
          <w:szCs w:val="44"/>
          <w:lang w:val="en-US" w:eastAsia="zh-CN"/>
        </w:rPr>
        <w:t>喀什地区</w:t>
      </w:r>
      <w:r>
        <w:rPr>
          <w:rFonts w:hint="eastAsia" w:eastAsia="黑体" w:cs="黑体"/>
          <w:color w:val="auto"/>
          <w:spacing w:val="0"/>
          <w:kern w:val="2"/>
          <w:sz w:val="44"/>
          <w:szCs w:val="44"/>
          <w:lang w:val="en-US" w:eastAsia="zh-CN"/>
        </w:rPr>
        <w:t>戈壁沙漠</w:t>
      </w:r>
      <w:r>
        <w:rPr>
          <w:rFonts w:hint="eastAsia" w:ascii="Times New Roman" w:hAnsi="Times New Roman" w:eastAsia="黑体" w:cs="黑体"/>
          <w:color w:val="auto"/>
          <w:spacing w:val="0"/>
          <w:kern w:val="2"/>
          <w:sz w:val="44"/>
          <w:szCs w:val="44"/>
          <w:lang w:val="en-US" w:eastAsia="zh-CN"/>
        </w:rPr>
        <w:t>区域规模化肉牛场犊牛饲养管理规范</w:t>
      </w:r>
    </w:p>
    <w:bookmarkEnd w:id="0"/>
    <w:p>
      <w:pPr>
        <w:keepNext w:val="0"/>
        <w:keepLines w:val="0"/>
        <w:pageBreakBefore w:val="0"/>
        <w:widowControl w:val="0"/>
        <w:kinsoku/>
        <w:wordWrap/>
        <w:overflowPunct/>
        <w:topLinePunct w:val="0"/>
        <w:autoSpaceDE/>
        <w:autoSpaceDN/>
        <w:bidi w:val="0"/>
        <w:adjustRightInd/>
        <w:snapToGrid/>
        <w:spacing w:line="570" w:lineRule="exact"/>
        <w:ind w:firstLine="664"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1 范围</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本标准规定了</w:t>
      </w:r>
      <w:r>
        <w:rPr>
          <w:rFonts w:hint="eastAsia" w:eastAsia="宋体" w:cs="Times New Roman"/>
          <w:b w:val="0"/>
          <w:bCs w:val="0"/>
          <w:color w:val="auto"/>
          <w:spacing w:val="0"/>
          <w:kern w:val="0"/>
          <w:sz w:val="21"/>
          <w:szCs w:val="22"/>
          <w:lang w:val="en-US" w:eastAsia="zh-CN" w:bidi="ar-SA"/>
        </w:rPr>
        <w:t>喀什地区内戈壁沙漠</w:t>
      </w:r>
      <w:r>
        <w:rPr>
          <w:rFonts w:hint="eastAsia" w:ascii="Times New Roman" w:hAnsi="Times New Roman" w:eastAsia="宋体" w:cs="Times New Roman"/>
          <w:b w:val="0"/>
          <w:bCs w:val="0"/>
          <w:color w:val="auto"/>
          <w:spacing w:val="0"/>
          <w:kern w:val="0"/>
          <w:sz w:val="21"/>
          <w:szCs w:val="22"/>
          <w:lang w:val="en-US" w:eastAsia="zh-CN" w:bidi="ar-SA"/>
        </w:rPr>
        <w:t>区域规模化</w:t>
      </w:r>
      <w:r>
        <w:rPr>
          <w:rFonts w:hint="eastAsia" w:eastAsia="宋体" w:cs="Times New Roman"/>
          <w:b w:val="0"/>
          <w:bCs w:val="0"/>
          <w:color w:val="auto"/>
          <w:spacing w:val="0"/>
          <w:kern w:val="0"/>
          <w:sz w:val="21"/>
          <w:szCs w:val="22"/>
          <w:lang w:val="en-US" w:eastAsia="zh-CN" w:bidi="ar-SA"/>
        </w:rPr>
        <w:t>肉</w:t>
      </w:r>
      <w:r>
        <w:rPr>
          <w:rFonts w:hint="eastAsia" w:ascii="Times New Roman" w:hAnsi="Times New Roman" w:eastAsia="宋体" w:cs="Times New Roman"/>
          <w:b w:val="0"/>
          <w:bCs w:val="0"/>
          <w:color w:val="auto"/>
          <w:spacing w:val="0"/>
          <w:kern w:val="0"/>
          <w:sz w:val="21"/>
          <w:szCs w:val="22"/>
          <w:lang w:val="en-US" w:eastAsia="zh-CN" w:bidi="ar-SA"/>
        </w:rPr>
        <w:t>牛场犊牛饲养管理的环境控制、</w:t>
      </w:r>
      <w:r>
        <w:rPr>
          <w:rFonts w:hint="eastAsia" w:eastAsia="宋体" w:cs="Times New Roman"/>
          <w:b w:val="0"/>
          <w:bCs w:val="0"/>
          <w:color w:val="auto"/>
          <w:spacing w:val="0"/>
          <w:kern w:val="0"/>
          <w:sz w:val="21"/>
          <w:szCs w:val="22"/>
          <w:lang w:val="en-US" w:eastAsia="zh-CN" w:bidi="ar-SA"/>
        </w:rPr>
        <w:t>饲养管理</w:t>
      </w:r>
      <w:r>
        <w:rPr>
          <w:rFonts w:hint="eastAsia" w:ascii="Times New Roman" w:hAnsi="Times New Roman" w:eastAsia="宋体" w:cs="Times New Roman"/>
          <w:b w:val="0"/>
          <w:bCs w:val="0"/>
          <w:color w:val="auto"/>
          <w:spacing w:val="0"/>
          <w:kern w:val="0"/>
          <w:sz w:val="21"/>
          <w:szCs w:val="22"/>
          <w:lang w:val="en-US" w:eastAsia="zh-CN" w:bidi="ar-SA"/>
        </w:rPr>
        <w:t>、疫病防控</w:t>
      </w:r>
      <w:r>
        <w:rPr>
          <w:rFonts w:hint="eastAsia" w:eastAsia="宋体" w:cs="Times New Roman"/>
          <w:b w:val="0"/>
          <w:bCs w:val="0"/>
          <w:color w:val="auto"/>
          <w:spacing w:val="0"/>
          <w:kern w:val="0"/>
          <w:sz w:val="21"/>
          <w:szCs w:val="22"/>
          <w:lang w:val="en-US" w:eastAsia="zh-CN" w:bidi="ar-SA"/>
        </w:rPr>
        <w:t>、</w:t>
      </w:r>
      <w:r>
        <w:rPr>
          <w:rFonts w:hint="eastAsia" w:ascii="Times New Roman" w:hAnsi="Times New Roman" w:eastAsia="宋体" w:cs="Times New Roman"/>
          <w:b w:val="0"/>
          <w:bCs w:val="0"/>
          <w:color w:val="auto"/>
          <w:spacing w:val="0"/>
          <w:kern w:val="0"/>
          <w:sz w:val="21"/>
          <w:szCs w:val="22"/>
          <w:lang w:val="en-US" w:eastAsia="zh-CN" w:bidi="ar-SA"/>
        </w:rPr>
        <w:t>应急措施</w:t>
      </w:r>
      <w:r>
        <w:rPr>
          <w:rFonts w:hint="eastAsia" w:eastAsia="宋体" w:cs="Times New Roman"/>
          <w:b w:val="0"/>
          <w:bCs w:val="0"/>
          <w:color w:val="auto"/>
          <w:spacing w:val="0"/>
          <w:kern w:val="0"/>
          <w:sz w:val="21"/>
          <w:szCs w:val="22"/>
          <w:lang w:val="en-US" w:eastAsia="zh-CN" w:bidi="ar-SA"/>
        </w:rPr>
        <w:t>及档案管理</w:t>
      </w:r>
      <w:r>
        <w:rPr>
          <w:rFonts w:hint="eastAsia" w:ascii="Times New Roman" w:hAnsi="Times New Roman" w:eastAsia="宋体" w:cs="Times New Roman"/>
          <w:b w:val="0"/>
          <w:bCs w:val="0"/>
          <w:color w:val="auto"/>
          <w:spacing w:val="0"/>
          <w:kern w:val="0"/>
          <w:sz w:val="21"/>
          <w:szCs w:val="22"/>
          <w:lang w:val="en-US" w:eastAsia="zh-CN" w:bidi="ar-SA"/>
        </w:rPr>
        <w:t>等内容，本标准适用于</w:t>
      </w:r>
      <w:r>
        <w:rPr>
          <w:rFonts w:hint="eastAsia" w:eastAsia="宋体" w:cs="Times New Roman"/>
          <w:b w:val="0"/>
          <w:bCs w:val="0"/>
          <w:color w:val="auto"/>
          <w:spacing w:val="0"/>
          <w:kern w:val="0"/>
          <w:sz w:val="21"/>
          <w:szCs w:val="22"/>
          <w:lang w:val="en-US" w:eastAsia="zh-CN" w:bidi="ar-SA"/>
        </w:rPr>
        <w:t>麦盖提县、叶城县、喀什市、莎车县、疏勒县、英吉沙县、巴楚县等县（市）内</w:t>
      </w:r>
      <w:r>
        <w:rPr>
          <w:rFonts w:hint="eastAsia" w:ascii="Times New Roman" w:hAnsi="Times New Roman" w:eastAsia="宋体" w:cs="Times New Roman"/>
          <w:b w:val="0"/>
          <w:bCs w:val="0"/>
          <w:color w:val="auto"/>
          <w:spacing w:val="0"/>
          <w:kern w:val="0"/>
          <w:sz w:val="21"/>
          <w:szCs w:val="22"/>
          <w:lang w:val="en-US" w:eastAsia="zh-CN" w:bidi="ar-SA"/>
        </w:rPr>
        <w:t>戈壁沙漠区域规模化肉牛场犊牛的饲养管理，可为提高犊牛成活率和健康水平提供指导。</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2 规范性引用文件</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下列文件中的内容通过文中的规范性引用而构成本标准必不可少的条款。其中，注日期的引用文件，仅该日期对应的版本适用于本标准；不注日期的引用文件，其最新版本（包括所有的修改单）适用于本标准。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GB 18596-2001 畜禽养殖业污染物排放标准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NY/T 388-1999 畜禽场环境质量标准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NY/T 1167-2020 畜禽场环境卫生控制技术规范</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GB 5749-2022 生活饮用水卫生标准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GB/T 36195-2018 畜禽粪便无害化处理技术规范</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NY/T 34 奶牛饲养标准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GB/T 39915 动物饲养场防疫准则</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NY/T 815 肉牛饲养标准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《中华人民共和国动物防疫法》</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3 术语与定义</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3.1 </w:t>
      </w:r>
      <w:r>
        <w:rPr>
          <w:rFonts w:hint="eastAsia" w:eastAsia="宋体" w:cs="Times New Roman"/>
          <w:b w:val="0"/>
          <w:bCs w:val="0"/>
          <w:color w:val="auto"/>
          <w:spacing w:val="0"/>
          <w:kern w:val="0"/>
          <w:sz w:val="21"/>
          <w:szCs w:val="22"/>
          <w:lang w:val="en-US" w:eastAsia="zh-CN" w:bidi="ar-SA"/>
        </w:rPr>
        <w:t>戈壁沙漠</w:t>
      </w:r>
      <w:r>
        <w:rPr>
          <w:rFonts w:hint="eastAsia" w:ascii="Times New Roman" w:hAnsi="Times New Roman" w:eastAsia="宋体" w:cs="Times New Roman"/>
          <w:b w:val="0"/>
          <w:bCs w:val="0"/>
          <w:color w:val="auto"/>
          <w:spacing w:val="0"/>
          <w:kern w:val="0"/>
          <w:sz w:val="21"/>
          <w:szCs w:val="22"/>
          <w:lang w:val="en-US" w:eastAsia="zh-CN" w:bidi="ar-SA"/>
        </w:rPr>
        <w:t>区域：指年降水量低于250毫米、昼夜温差大、风沙频繁，通常为温带大陆性气候，冬季寒冷，夏季炎热的干旱或半干旱地区。</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3.2 犊牛：0-6月龄的牛只，包括新生犊牛（0-7日龄）、哺乳犊牛（8日龄至断奶）及断奶犊牛。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3.3 犊牛岛：专为犊牛设计的防风沙、可移动式独立饲养栏，配备保温及遮阳设施。</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3.4 沙漠适应性管理：针对高温、缺水、昼夜温差大等环境特点采取的针对性饲养措施。</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4 犊牛培育目标</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4.1 初生犊牛体重达标率≥90%。</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4.2 犊牛成活率≥85%。</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4.3 6月龄犊牛体重达到目标体重（根据品种确定），生长发育良好，体质健壮</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 选址及设施</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5.1 选址</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5.1.1 选择地势高、干燥、平坦，排水良好的区域，避开风口，同时具备一定的防风屏障，可利用自然地形或人工种植防风林带。</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5.1.2 距离居民区、交通主干道、其他养殖场等污染源至少1000米以上。</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5.1.3 具备充足且符合NY/T 388-1999标准的水源，优先选择地下水或经过净化处理的地表水，保证犊牛饮用水安全。</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5.1.4 电力供应稳定，便于犊牛饲养过程中设备的正常运行。</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5.2 设施</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5.2.1 犊牛舍：采用封闭式或半封闭式结构，墙体具有良好的隔热保温性能。舍内地面应防滑、易清洁，坡度为2% - 3%，便于排水。每头犊牛占有面积不少于2平方米。</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5.2.2 犊牛岛：在气候条件适宜时，可设置犊牛岛，每个犊牛岛为独立单元，配备采食槽、饮水槽和休息区，犊牛岛之间保持1.5 - 2米的间隔，减少疾病传播风险。</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5.2.3 通风与温控系统：安装机械通风设备，保证舍内空气新鲜，冬季可采用热风炉、地暖等方式进行保暖，犊牛舍温度保持在15℃ - 25℃，冬季舍内温度不低于5℃，夏季通过喷淋降温，保持相对湿度≤60%。</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5.2.4 清洁与消毒设施：配备高压清洗机、消毒喷雾器等设备，设置专门的污水和废弃物处理设施，符合GB 18596-2001标准。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 犊牛饲养管理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6.1 初生期管理（0-7日龄）</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6.1.1. 初乳管理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6.1.1.1 时间与量：出生后1小时内灌服初乳，初乳饲喂量为体重的5% - 6%，分2 - 3次饲喂，初乳温度保持在38℃ - 40℃，6小时内完成第二次补充。以后每天饲喂量为体重的8% - 10%，持续饲喂5 - 7天。南疆冬季需确保初乳解冻温度≤50℃（避免活性成分破坏）。</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6.1.1.2 质量检测：初乳IgG≥50g/L（Brix值≥22%），优先使用本地健康母牛初乳，避免使用头胎牛或乳房炎牛的初乳。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6.1.1.3 储存：未使用初乳需速冻（-20℃），建议配备备用电源应对南疆地区电力波动问题。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6.1.2 脐带与体表护理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6.1.2.1 脐带消毒使用7%碘酊，每日1次直至脱落，冬季注意消毒液防冻。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6.1.2.2 出生后迅速擦干体表黏液，冬季可采用火堆旁烤干（注意防火）或厚垫草保温，夏季避免高温高湿引发皮肤病。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6.1.3 环境控制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6.1.3.1 温度：犊牛舍冬季需配备双层垫草（底层锯末+上层麦秸），保温灯维持温度≥15℃；夏季通过遮阳网、通风设备控制温度≤30℃。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6.1.3.2 单栏设计：采用可移动犊牛岛，三面封闭防风沙，朝阳面开放，底部悬空防潮。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6.2 哺乳期管理（7日龄-断奶）</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6.2.1. 饲喂方案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6.2.1.1 全乳/代乳粉：冬季奶温38±1℃，夏季可降至25-30℃；代乳粉选择蛋白≥22%、脂肪≥15%，避免高温变质。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6.2.1.2 饮水：出生3天后提供清洁温水，冬季水温9-15℃，夏季可添加电解质（如0.5%小苏打）防脱水。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6.2.2 开食料与粗饲料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6.2.2.1 7-10日龄起提供本地优质开食料（粗蛋白≥18%，可添加棉籽粕等本地原料）；14日龄添加切短苜蓿干草（2-3cm），42日龄后引入青贮（≤30%日粮）。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 断奶过渡期管理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6.3.1 断奶标准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6.3.1.1 连续3天开食料采食量≥1kg/天，体重达出生2倍（约60-70kg）；南疆地区可延长过渡期至10-14天，减少应激。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 分群与运动</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6.3.2.1 分群管理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6.3.2.1.1 根据犊牛的日龄、体重和健康状况进行分群饲养，每头犊牛活动面积≥4 m²，弱犊单独护理。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6.3.2.1.2 不同群体之间保持一定的隔离距离，防止疾病交叉感染。</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6.3.2.1.3 犊牛出生后20～30天去角，6月龄之内进行副乳头处理。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6.3.2.2.3 运动管理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6.3.2.2.1 犊牛出生10 - 15天后，在天气良好的情况下，让其在运动场自由活动，每天运动时间不少于2小时。</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6.3.2.2.2 运动场应铺设干净的垫料，避免犊牛直接接触沙地，防止蹄部受伤和感染。</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 疾病防控</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7.1 日常卫生管理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7.1.1 每天清扫犊牛舍和运动场，及时清理粪便和杂物，保持环境清洁卫生。</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7.1.2 每周对犊牛舍、设备和用具进行1 - 2次喷雾消毒，可选用过氧乙酸、戊二醛等消毒剂。</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7.1.3 定期更换犊牛舍垫料，垫料应选用干净、干燥、柔软的材料，如稻草、锯末等。</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7.2 疫苗接种与免疫</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7.2.1 推荐免疫程序如下，可根据疫病流行情况及实际情况，适当调整疫苗接种程序。</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疫苗类型</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接种时间</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注射部位</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牛瘟</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20日龄</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肌肉或皮下</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牛病毒性腹泻</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21~28日龄</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肌肉或皮下</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牛瘟、肺疫、牛丹毒三联苗</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60日龄</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肌肉或皮下</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牛结节性皮肤病</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60~90日龄</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皮内注射</w:t>
            </w:r>
          </w:p>
        </w:tc>
        <w:tc>
          <w:tcPr>
            <w:tcW w:w="2131"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7.2.2 严格按照疫苗使用说明进行操作，确保接种剂量准确，接种途径正确。</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7.2.3 寄生虫防控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每月口服伊维菌素（5mg/kg）驱虫1次。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每季度检测粪便虫卵，密度≤100个/g时启动治疗。</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7.3 疾病监测与治疗</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7.3.1 饲养人员每天观察犊牛的精神状态、采食和饮水情况、粪便和尿液等，及时发现疾病症状。</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7.3.2 对患病犊牛应及时隔离治疗，治疗过程中严格遵守兽药使用规范，确保畜产品安全。</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8 档案管理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8.1 建立犊牛电子个体档案，记录犊牛的出生日期、性别、体重、系谱、免疫接种、疾病治疗等信息。</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8.2 对犊牛的饲料消耗、生长发育数据等进行定期记录和分析，为饲养管理提供参考依据。</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8.3 档案保存期限不少于3年。</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9. 应急管理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9.1 极端天气应对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沙尘暴期间关闭通风口，启用应急供水系统；高温日启动喷淋降温，提供电解质水。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9.2 物资储备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储备10天以上饲料、垫草及发电机等应急设备。</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10 废弃物处理</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牛场产生的粪便和污水应进行无害化处理，避免对沙漠环境造成污染。可采用堆肥、厌氧发酵等方法，将废弃物转化为有机肥料，用于沙漠植被恢复或周边农田施肥，病死犊牛按《病死畜禽无害化处理管理办法》执行，严禁随意丢弃。</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 xml:space="preserve">附录A（资料性附录）  </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eastAsia="宋体" w:cs="Times New Roman"/>
          <w:b w:val="0"/>
          <w:bCs w:val="0"/>
          <w:color w:val="auto"/>
          <w:spacing w:val="0"/>
          <w:kern w:val="0"/>
          <w:sz w:val="21"/>
          <w:szCs w:val="22"/>
          <w:lang w:val="en-US" w:eastAsia="zh-CN" w:bidi="ar-SA"/>
        </w:rPr>
        <w:t>戈壁沙漠</w:t>
      </w:r>
      <w:r>
        <w:rPr>
          <w:rFonts w:hint="eastAsia" w:ascii="Times New Roman" w:hAnsi="Times New Roman" w:eastAsia="宋体" w:cs="Times New Roman"/>
          <w:b w:val="0"/>
          <w:bCs w:val="0"/>
          <w:color w:val="auto"/>
          <w:spacing w:val="0"/>
          <w:kern w:val="0"/>
          <w:sz w:val="21"/>
          <w:szCs w:val="22"/>
          <w:lang w:val="en-US" w:eastAsia="zh-CN" w:bidi="ar-SA"/>
        </w:rPr>
        <w:t xml:space="preserve">区犊牛典型日粮配方示例：  </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942"/>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原料</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比例（%）</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营养指标</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玉米秸秆青贮</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40</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NDF 35%, ADF 22%</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青贮玉米</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30</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CP 8%, DM 30%</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豆粕、棉粕</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15</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CP 44%</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预混料</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5</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维生素+矿物质</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麸皮</w:t>
            </w:r>
          </w:p>
        </w:tc>
        <w:tc>
          <w:tcPr>
            <w:tcW w:w="2130"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10</w:t>
            </w:r>
          </w:p>
        </w:tc>
        <w:tc>
          <w:tcPr>
            <w:tcW w:w="2942" w:type="dxa"/>
          </w:tcPr>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r>
              <w:rPr>
                <w:rFonts w:hint="eastAsia" w:ascii="Times New Roman" w:hAnsi="Times New Roman" w:eastAsia="宋体" w:cs="Times New Roman"/>
                <w:b w:val="0"/>
                <w:bCs w:val="0"/>
                <w:color w:val="auto"/>
                <w:spacing w:val="0"/>
                <w:kern w:val="0"/>
                <w:sz w:val="21"/>
                <w:szCs w:val="22"/>
                <w:lang w:val="en-US" w:eastAsia="zh-CN" w:bidi="ar-SA"/>
              </w:rPr>
              <w:t>DE 3.2Mcal/kg</w:t>
            </w:r>
          </w:p>
        </w:tc>
        <w:tc>
          <w:tcPr>
            <w:tcW w:w="1320" w:type="dxa"/>
          </w:tcPr>
          <w:p>
            <w:pPr>
              <w:keepNext w:val="0"/>
              <w:keepLines w:val="0"/>
              <w:pageBreakBefore w:val="0"/>
              <w:widowControl w:val="0"/>
              <w:kinsoku/>
              <w:wordWrap/>
              <w:overflowPunct/>
              <w:topLinePunct w:val="0"/>
              <w:autoSpaceDE/>
              <w:autoSpaceDN/>
              <w:bidi w:val="0"/>
              <w:adjustRightInd/>
              <w:snapToGrid/>
              <w:spacing w:line="570" w:lineRule="exact"/>
              <w:ind w:firstLine="420" w:firstLineChars="200"/>
              <w:jc w:val="center"/>
              <w:textAlignment w:val="auto"/>
              <w:rPr>
                <w:rFonts w:hint="eastAsia" w:ascii="Times New Roman" w:hAnsi="Times New Roman" w:eastAsia="宋体" w:cs="Times New Roman"/>
                <w:b w:val="0"/>
                <w:bCs w:val="0"/>
                <w:color w:val="auto"/>
                <w:spacing w:val="0"/>
                <w:kern w:val="0"/>
                <w:sz w:val="21"/>
                <w:szCs w:val="22"/>
                <w:lang w:val="en-US" w:eastAsia="zh-CN" w:bidi="ar-SA"/>
              </w:rPr>
            </w:pPr>
          </w:p>
        </w:tc>
      </w:tr>
    </w:tbl>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rPr>
          <w:rFonts w:hint="eastAsia" w:ascii="Times New Roman" w:hAnsi="Times New Roman" w:eastAsia="宋体" w:cs="Times New Roman"/>
          <w:b w:val="0"/>
          <w:bCs w:val="0"/>
          <w:color w:val="auto"/>
          <w:spacing w:val="0"/>
          <w:kern w:val="0"/>
          <w:sz w:val="21"/>
          <w:szCs w:val="22"/>
          <w:lang w:val="en-US" w:eastAsia="zh-CN" w:bidi="ar-SA"/>
        </w:rPr>
      </w:pPr>
    </w:p>
    <w:p>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Times New Roman" w:hAnsi="Times New Roman" w:eastAsia="宋体" w:cs="Times New Roman"/>
          <w:b w:val="0"/>
          <w:bCs w:val="0"/>
          <w:color w:val="auto"/>
          <w:spacing w:val="0"/>
          <w:kern w:val="0"/>
          <w:sz w:val="21"/>
          <w:szCs w:val="2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A7934"/>
    <w:rsid w:val="0ADC7B53"/>
    <w:rsid w:val="0D120816"/>
    <w:rsid w:val="0E9D3DBD"/>
    <w:rsid w:val="1158161E"/>
    <w:rsid w:val="17521041"/>
    <w:rsid w:val="18227C55"/>
    <w:rsid w:val="1990666B"/>
    <w:rsid w:val="1CEB16E8"/>
    <w:rsid w:val="22C3178F"/>
    <w:rsid w:val="2D1A5DD1"/>
    <w:rsid w:val="2EC102CF"/>
    <w:rsid w:val="33DB33D9"/>
    <w:rsid w:val="358901CF"/>
    <w:rsid w:val="35FE75F8"/>
    <w:rsid w:val="3A7A2719"/>
    <w:rsid w:val="3AC34738"/>
    <w:rsid w:val="3E1022D3"/>
    <w:rsid w:val="42334BE8"/>
    <w:rsid w:val="48396CD0"/>
    <w:rsid w:val="4E1D5691"/>
    <w:rsid w:val="4F55515D"/>
    <w:rsid w:val="5BDB5AFE"/>
    <w:rsid w:val="5BDC37A3"/>
    <w:rsid w:val="5CBC5AAE"/>
    <w:rsid w:val="622A5268"/>
    <w:rsid w:val="63793090"/>
    <w:rsid w:val="642108EC"/>
    <w:rsid w:val="64CA6BD3"/>
    <w:rsid w:val="68FE11FC"/>
    <w:rsid w:val="693B68F8"/>
    <w:rsid w:val="6EC13D78"/>
    <w:rsid w:val="6EFF7AB8"/>
    <w:rsid w:val="6FE16053"/>
    <w:rsid w:val="71561488"/>
    <w:rsid w:val="73C92407"/>
    <w:rsid w:val="757C71AC"/>
    <w:rsid w:val="7625483F"/>
    <w:rsid w:val="7DDFD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heme="minorBidi"/>
      <w:spacing w:val="6"/>
      <w:kern w:val="2"/>
      <w:sz w:val="32"/>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段"/>
    <w:qFormat/>
    <w:uiPriority w:val="1"/>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2783</Words>
  <Characters>3286</Characters>
  <Lines>0</Lines>
  <Paragraphs>0</Paragraphs>
  <TotalTime>12</TotalTime>
  <ScaleCrop>false</ScaleCrop>
  <LinksUpToDate>false</LinksUpToDate>
  <CharactersWithSpaces>3468</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2023-04-27T17:16:00Z</dcterms:created>
  <dc:creator>lenovo</dc:creator>
  <cp:lastModifiedBy>user</cp:lastModifiedBy>
  <dcterms:modified xsi:type="dcterms:W3CDTF">2025-05-28T12:34:43Z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46EBB242F2A449EEA175B18C93E695D6_12</vt:lpwstr>
  </property>
  <property fmtid="{D5CDD505-2E9C-101B-9397-08002B2CF9AE}" pid="4" name="KSOTemplateDocerSaveRecord">
    <vt:lpwstr>eyJoZGlkIjoiZTRmZDgxNGVhMzM0MDkyZWU3NzFjYTM5NmU3ZjE5MmUifQ==</vt:lpwstr>
  </property>
</Properties>
</file>