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360" w:firstLineChars="100"/>
        <w:jc w:val="center"/>
        <w:textAlignment w:val="auto"/>
        <w:rPr>
          <w:rFonts w:hint="eastAsia" w:ascii="黑体" w:hAnsi="黑体" w:eastAsia="黑体" w:cs="黑体"/>
          <w:b w:val="0"/>
          <w:bCs w:val="0"/>
          <w:sz w:val="36"/>
          <w:szCs w:val="36"/>
          <w:lang w:val="en-US" w:eastAsia="zh-CN"/>
        </w:rPr>
      </w:pPr>
      <w:bookmarkStart w:id="0" w:name="_GoBack"/>
      <w:r>
        <w:rPr>
          <w:rFonts w:hint="eastAsia" w:ascii="黑体" w:hAnsi="黑体" w:eastAsia="黑体" w:cs="黑体"/>
          <w:b w:val="0"/>
          <w:bCs w:val="0"/>
          <w:sz w:val="36"/>
          <w:szCs w:val="36"/>
          <w:lang w:val="en-US" w:eastAsia="zh-CN"/>
        </w:rPr>
        <w:t>关于印发《喀什地区</w:t>
      </w:r>
      <w:r>
        <w:rPr>
          <w:rFonts w:hint="eastAsia" w:ascii="黑体" w:hAnsi="黑体" w:eastAsia="黑体" w:cs="黑体"/>
          <w:b w:val="0"/>
          <w:bCs w:val="0"/>
          <w:sz w:val="36"/>
          <w:szCs w:val="36"/>
        </w:rPr>
        <w:t>职工基本医疗保险门诊共济保障</w:t>
      </w:r>
      <w:r>
        <w:rPr>
          <w:rFonts w:hint="eastAsia" w:ascii="黑体" w:hAnsi="黑体" w:eastAsia="黑体" w:cs="黑体"/>
          <w:b w:val="0"/>
          <w:bCs w:val="0"/>
          <w:sz w:val="36"/>
          <w:szCs w:val="36"/>
          <w:lang w:val="en-US" w:eastAsia="zh-CN"/>
        </w:rPr>
        <w:t>实施细则（试行）》的通知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各县、市人民政府，地直各有关单位：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《喀什地区职工基本医疗保险门诊共济保障实施细则（试行）》已经行政公署2022年第十次常务会议同意，现印发给你们，请抓好贯彻落实。</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6" w:firstLineChars="1502"/>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喀什地区行政公署办公室</w:t>
      </w:r>
    </w:p>
    <w:p>
      <w:pPr>
        <w:keepNext w:val="0"/>
        <w:keepLines w:val="0"/>
        <w:pageBreakBefore w:val="0"/>
        <w:widowControl w:val="0"/>
        <w:kinsoku/>
        <w:wordWrap/>
        <w:overflowPunct/>
        <w:topLinePunct w:val="0"/>
        <w:autoSpaceDE/>
        <w:autoSpaceDN/>
        <w:bidi w:val="0"/>
        <w:adjustRightInd/>
        <w:snapToGrid/>
        <w:spacing w:line="560" w:lineRule="exact"/>
        <w:ind w:firstLine="5126" w:firstLineChars="1602"/>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2022年7月18日</w:t>
      </w:r>
    </w:p>
    <w:p>
      <w:pPr>
        <w:keepNext w:val="0"/>
        <w:keepLines w:val="0"/>
        <w:pageBreakBefore w:val="0"/>
        <w:widowControl w:val="0"/>
        <w:kinsoku/>
        <w:wordWrap/>
        <w:overflowPunct/>
        <w:topLinePunct w:val="0"/>
        <w:autoSpaceDE/>
        <w:autoSpaceDN/>
        <w:bidi w:val="0"/>
        <w:adjustRightInd/>
        <w:snapToGrid/>
        <w:spacing w:line="560" w:lineRule="exact"/>
        <w:ind w:firstLine="360" w:firstLineChars="100"/>
        <w:jc w:val="both"/>
        <w:textAlignment w:val="auto"/>
        <w:rPr>
          <w:rFonts w:hint="eastAsia" w:ascii="黑体" w:hAnsi="黑体" w:eastAsia="黑体" w:cs="黑体"/>
          <w:b w:val="0"/>
          <w:bCs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60" w:firstLineChars="100"/>
        <w:jc w:val="both"/>
        <w:textAlignment w:val="auto"/>
        <w:rPr>
          <w:rFonts w:hint="eastAsia" w:ascii="黑体" w:hAnsi="黑体" w:eastAsia="黑体" w:cs="黑体"/>
          <w:b w:val="0"/>
          <w:bCs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60" w:firstLineChars="100"/>
        <w:jc w:val="both"/>
        <w:textAlignment w:val="auto"/>
        <w:rPr>
          <w:rFonts w:hint="eastAsia" w:ascii="黑体" w:hAnsi="黑体" w:eastAsia="黑体" w:cs="黑体"/>
          <w:b w:val="0"/>
          <w:bCs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60" w:firstLineChars="100"/>
        <w:jc w:val="both"/>
        <w:textAlignment w:val="auto"/>
        <w:rPr>
          <w:rFonts w:hint="eastAsia" w:ascii="黑体" w:hAnsi="黑体" w:eastAsia="黑体" w:cs="黑体"/>
          <w:b w:val="0"/>
          <w:bCs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60" w:firstLineChars="100"/>
        <w:jc w:val="both"/>
        <w:textAlignment w:val="auto"/>
        <w:rPr>
          <w:rFonts w:hint="eastAsia" w:ascii="黑体" w:hAnsi="黑体" w:eastAsia="黑体" w:cs="黑体"/>
          <w:b w:val="0"/>
          <w:bCs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60" w:firstLineChars="100"/>
        <w:jc w:val="both"/>
        <w:textAlignment w:val="auto"/>
        <w:rPr>
          <w:rFonts w:hint="eastAsia" w:ascii="黑体" w:hAnsi="黑体" w:eastAsia="黑体" w:cs="黑体"/>
          <w:b w:val="0"/>
          <w:bCs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60" w:firstLineChars="100"/>
        <w:jc w:val="both"/>
        <w:textAlignment w:val="auto"/>
        <w:rPr>
          <w:rFonts w:hint="eastAsia" w:ascii="黑体" w:hAnsi="黑体" w:eastAsia="黑体" w:cs="黑体"/>
          <w:b w:val="0"/>
          <w:bCs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60" w:firstLineChars="100"/>
        <w:jc w:val="both"/>
        <w:textAlignment w:val="auto"/>
        <w:rPr>
          <w:rFonts w:hint="eastAsia" w:ascii="黑体" w:hAnsi="黑体" w:eastAsia="黑体" w:cs="黑体"/>
          <w:b w:val="0"/>
          <w:bCs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60" w:firstLineChars="100"/>
        <w:jc w:val="both"/>
        <w:textAlignment w:val="auto"/>
        <w:rPr>
          <w:rFonts w:hint="eastAsia" w:ascii="黑体" w:hAnsi="黑体" w:eastAsia="黑体" w:cs="黑体"/>
          <w:b w:val="0"/>
          <w:bCs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60" w:firstLineChars="100"/>
        <w:jc w:val="both"/>
        <w:textAlignment w:val="auto"/>
        <w:rPr>
          <w:rFonts w:hint="eastAsia" w:ascii="黑体" w:hAnsi="黑体" w:eastAsia="黑体" w:cs="黑体"/>
          <w:b w:val="0"/>
          <w:bCs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60" w:firstLineChars="100"/>
        <w:jc w:val="both"/>
        <w:textAlignment w:val="auto"/>
        <w:rPr>
          <w:rFonts w:hint="eastAsia" w:ascii="黑体" w:hAnsi="黑体" w:eastAsia="黑体" w:cs="黑体"/>
          <w:b w:val="0"/>
          <w:bCs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60" w:firstLineChars="100"/>
        <w:jc w:val="both"/>
        <w:textAlignment w:val="auto"/>
        <w:rPr>
          <w:rFonts w:hint="eastAsia" w:ascii="黑体" w:hAnsi="黑体" w:eastAsia="黑体" w:cs="黑体"/>
          <w:b w:val="0"/>
          <w:bCs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60" w:firstLineChars="100"/>
        <w:jc w:val="both"/>
        <w:textAlignment w:val="auto"/>
        <w:rPr>
          <w:rFonts w:hint="eastAsia" w:ascii="黑体" w:hAnsi="黑体" w:eastAsia="黑体" w:cs="黑体"/>
          <w:b w:val="0"/>
          <w:bCs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60" w:firstLineChars="100"/>
        <w:jc w:val="both"/>
        <w:textAlignment w:val="auto"/>
        <w:rPr>
          <w:rFonts w:hint="eastAsia" w:ascii="黑体" w:hAnsi="黑体" w:eastAsia="黑体" w:cs="黑体"/>
          <w:b w:val="0"/>
          <w:bCs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60" w:firstLineChars="100"/>
        <w:jc w:val="both"/>
        <w:textAlignment w:val="auto"/>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喀什地区</w:t>
      </w:r>
      <w:r>
        <w:rPr>
          <w:rFonts w:hint="eastAsia" w:ascii="黑体" w:hAnsi="黑体" w:eastAsia="黑体" w:cs="黑体"/>
          <w:b w:val="0"/>
          <w:bCs w:val="0"/>
          <w:sz w:val="36"/>
          <w:szCs w:val="36"/>
        </w:rPr>
        <w:t>职工基本医疗保险门诊共济保障</w:t>
      </w:r>
      <w:r>
        <w:rPr>
          <w:rFonts w:hint="eastAsia" w:ascii="黑体" w:hAnsi="黑体" w:eastAsia="黑体" w:cs="黑体"/>
          <w:b w:val="0"/>
          <w:bCs w:val="0"/>
          <w:sz w:val="36"/>
          <w:szCs w:val="36"/>
          <w:lang w:val="en-US" w:eastAsia="zh-CN"/>
        </w:rPr>
        <w:t>实施细则</w:t>
      </w:r>
    </w:p>
    <w:p>
      <w:pPr>
        <w:keepNext w:val="0"/>
        <w:keepLines w:val="0"/>
        <w:pageBreakBefore w:val="0"/>
        <w:widowControl w:val="0"/>
        <w:kinsoku/>
        <w:wordWrap/>
        <w:overflowPunct/>
        <w:topLinePunct w:val="0"/>
        <w:autoSpaceDE/>
        <w:autoSpaceDN/>
        <w:bidi w:val="0"/>
        <w:adjustRightInd/>
        <w:snapToGrid/>
        <w:spacing w:line="560" w:lineRule="exact"/>
        <w:ind w:firstLine="3240" w:firstLineChars="900"/>
        <w:jc w:val="both"/>
        <w:textAlignment w:val="auto"/>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（试行）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lang w:eastAsia="zh-CN"/>
        </w:rPr>
      </w:pPr>
      <w:r>
        <w:rPr>
          <w:rFonts w:hint="eastAsia" w:ascii="仿宋" w:hAnsi="仿宋" w:eastAsia="仿宋" w:cs="仿宋"/>
          <w:sz w:val="32"/>
          <w:szCs w:val="32"/>
        </w:rPr>
        <w:t>为进一步健全互助共济、责任共担的职工基本医疗保险制度</w:t>
      </w:r>
      <w:r>
        <w:rPr>
          <w:rFonts w:hint="eastAsia" w:ascii="仿宋" w:hAnsi="仿宋" w:eastAsia="仿宋" w:cs="仿宋"/>
          <w:sz w:val="32"/>
          <w:szCs w:val="32"/>
          <w:lang w:eastAsia="zh-CN"/>
        </w:rPr>
        <w:t>（</w:t>
      </w:r>
      <w:r>
        <w:rPr>
          <w:rFonts w:hint="eastAsia" w:ascii="仿宋" w:hAnsi="仿宋" w:eastAsia="仿宋" w:cs="仿宋"/>
          <w:sz w:val="32"/>
          <w:szCs w:val="32"/>
        </w:rPr>
        <w:t>以下简称“职工医保”</w:t>
      </w:r>
      <w:r>
        <w:rPr>
          <w:rFonts w:hint="eastAsia" w:ascii="仿宋" w:hAnsi="仿宋" w:eastAsia="仿宋" w:cs="仿宋"/>
          <w:sz w:val="32"/>
          <w:szCs w:val="32"/>
          <w:lang w:eastAsia="zh-CN"/>
        </w:rPr>
        <w:t>），</w:t>
      </w:r>
      <w:r>
        <w:rPr>
          <w:rFonts w:hint="eastAsia" w:ascii="仿宋" w:hAnsi="仿宋" w:eastAsia="仿宋" w:cs="仿宋"/>
          <w:sz w:val="32"/>
          <w:szCs w:val="32"/>
        </w:rPr>
        <w:t>更好解决</w:t>
      </w:r>
      <w:r>
        <w:rPr>
          <w:rFonts w:hint="eastAsia" w:ascii="仿宋" w:hAnsi="仿宋" w:eastAsia="仿宋" w:cs="仿宋"/>
          <w:sz w:val="32"/>
          <w:szCs w:val="32"/>
          <w:lang w:eastAsia="zh-CN"/>
        </w:rPr>
        <w:t>喀什地区</w:t>
      </w:r>
      <w:r>
        <w:rPr>
          <w:rFonts w:hint="eastAsia" w:ascii="仿宋" w:hAnsi="仿宋" w:eastAsia="仿宋" w:cs="仿宋"/>
          <w:sz w:val="32"/>
          <w:szCs w:val="32"/>
        </w:rPr>
        <w:t>职工医保参保人员门诊保障问题</w:t>
      </w:r>
      <w:r>
        <w:rPr>
          <w:rFonts w:hint="eastAsia" w:ascii="仿宋" w:hAnsi="仿宋" w:eastAsia="仿宋" w:cs="仿宋"/>
          <w:sz w:val="32"/>
          <w:szCs w:val="32"/>
          <w:lang w:eastAsia="zh-CN"/>
        </w:rPr>
        <w:t>，</w:t>
      </w:r>
      <w:r>
        <w:rPr>
          <w:rFonts w:hint="eastAsia" w:ascii="仿宋" w:hAnsi="仿宋" w:eastAsia="仿宋" w:cs="仿宋"/>
          <w:sz w:val="32"/>
          <w:szCs w:val="32"/>
        </w:rPr>
        <w:t>切实减轻其医疗费用负担</w:t>
      </w:r>
      <w:r>
        <w:rPr>
          <w:rFonts w:hint="eastAsia" w:ascii="仿宋" w:hAnsi="仿宋" w:eastAsia="仿宋" w:cs="仿宋"/>
          <w:sz w:val="32"/>
          <w:szCs w:val="32"/>
          <w:lang w:eastAsia="zh-CN"/>
        </w:rPr>
        <w:t>，</w:t>
      </w:r>
      <w:r>
        <w:rPr>
          <w:rFonts w:hint="eastAsia" w:ascii="仿宋" w:hAnsi="仿宋" w:eastAsia="仿宋" w:cs="仿宋"/>
          <w:sz w:val="32"/>
          <w:szCs w:val="32"/>
        </w:rPr>
        <w:t>根据国务院办公厅《关于建立健全职工基本医疗保险门诊共济保障机制的指导意见》</w:t>
      </w:r>
      <w:r>
        <w:rPr>
          <w:rFonts w:hint="eastAsia" w:ascii="仿宋" w:hAnsi="仿宋" w:eastAsia="仿宋" w:cs="仿宋"/>
          <w:sz w:val="32"/>
          <w:szCs w:val="32"/>
          <w:lang w:eastAsia="zh-CN"/>
        </w:rPr>
        <w:t>（</w:t>
      </w:r>
      <w:r>
        <w:rPr>
          <w:rFonts w:hint="eastAsia" w:ascii="仿宋" w:hAnsi="仿宋" w:eastAsia="仿宋" w:cs="仿宋"/>
          <w:sz w:val="32"/>
          <w:szCs w:val="32"/>
        </w:rPr>
        <w:t>国办发</w:t>
      </w:r>
      <w:r>
        <w:rPr>
          <w:rFonts w:hint="eastAsia" w:ascii="仿宋" w:hAnsi="仿宋" w:eastAsia="仿宋" w:cs="仿宋"/>
          <w:sz w:val="32"/>
          <w:szCs w:val="32"/>
          <w:lang w:eastAsia="zh-CN"/>
        </w:rPr>
        <w:t>〔</w:t>
      </w:r>
      <w:r>
        <w:rPr>
          <w:rFonts w:hint="eastAsia" w:ascii="仿宋" w:hAnsi="仿宋" w:eastAsia="仿宋" w:cs="仿宋"/>
          <w:sz w:val="32"/>
          <w:szCs w:val="32"/>
        </w:rPr>
        <w:t>2021〕14号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自治区人民政府办公厅《关于印发新疆维吾尔自治区职工基本医疗保险门诊共济保障实施办法的通知》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新政</w:t>
      </w:r>
      <w:r>
        <w:rPr>
          <w:rFonts w:hint="eastAsia" w:ascii="仿宋" w:hAnsi="仿宋" w:eastAsia="仿宋" w:cs="仿宋"/>
          <w:sz w:val="32"/>
          <w:szCs w:val="32"/>
        </w:rPr>
        <w:t>办发</w:t>
      </w:r>
      <w:r>
        <w:rPr>
          <w:rFonts w:hint="eastAsia" w:ascii="仿宋" w:hAnsi="仿宋" w:eastAsia="仿宋" w:cs="仿宋"/>
          <w:sz w:val="32"/>
          <w:szCs w:val="32"/>
          <w:lang w:eastAsia="zh-CN"/>
        </w:rPr>
        <w:t>〔</w:t>
      </w:r>
      <w:r>
        <w:rPr>
          <w:rFonts w:hint="eastAsia" w:ascii="仿宋" w:hAnsi="仿宋" w:eastAsia="仿宋" w:cs="仿宋"/>
          <w:sz w:val="32"/>
          <w:szCs w:val="32"/>
        </w:rPr>
        <w:t>2021〕</w:t>
      </w:r>
      <w:r>
        <w:rPr>
          <w:rFonts w:hint="eastAsia" w:ascii="仿宋" w:hAnsi="仿宋" w:eastAsia="仿宋" w:cs="仿宋"/>
          <w:sz w:val="32"/>
          <w:szCs w:val="32"/>
          <w:lang w:val="en-US" w:eastAsia="zh-CN"/>
        </w:rPr>
        <w:t>115</w:t>
      </w:r>
      <w:r>
        <w:rPr>
          <w:rFonts w:hint="eastAsia" w:ascii="仿宋" w:hAnsi="仿宋" w:eastAsia="仿宋" w:cs="仿宋"/>
          <w:sz w:val="32"/>
          <w:szCs w:val="32"/>
        </w:rPr>
        <w:t>号</w:t>
      </w:r>
      <w:r>
        <w:rPr>
          <w:rFonts w:hint="eastAsia" w:ascii="仿宋" w:hAnsi="仿宋" w:eastAsia="仿宋" w:cs="仿宋"/>
          <w:sz w:val="32"/>
          <w:szCs w:val="32"/>
          <w:lang w:eastAsia="zh-CN"/>
        </w:rPr>
        <w:t>）和自治区医保局、财政厅、卫生健康委《关于印发〈新疆维吾尔自治区本级职工基本医疗保险门诊共济保障实施细则〉的通知》（</w:t>
      </w:r>
      <w:r>
        <w:rPr>
          <w:rFonts w:hint="eastAsia" w:ascii="仿宋" w:hAnsi="仿宋" w:eastAsia="仿宋" w:cs="仿宋"/>
          <w:sz w:val="32"/>
          <w:szCs w:val="32"/>
          <w:lang w:val="en-US" w:eastAsia="zh-CN"/>
        </w:rPr>
        <w:t>新医保</w:t>
      </w:r>
      <w:r>
        <w:rPr>
          <w:rFonts w:hint="eastAsia" w:ascii="仿宋" w:hAnsi="仿宋" w:eastAsia="仿宋" w:cs="仿宋"/>
          <w:sz w:val="32"/>
          <w:szCs w:val="32"/>
        </w:rPr>
        <w:t>发</w:t>
      </w:r>
      <w:r>
        <w:rPr>
          <w:rFonts w:hint="eastAsia" w:ascii="仿宋" w:hAnsi="仿宋" w:eastAsia="仿宋" w:cs="仿宋"/>
          <w:sz w:val="32"/>
          <w:szCs w:val="32"/>
          <w:lang w:eastAsia="zh-CN"/>
        </w:rPr>
        <w:t>〔</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14</w:t>
      </w:r>
      <w:r>
        <w:rPr>
          <w:rFonts w:hint="eastAsia" w:ascii="仿宋" w:hAnsi="仿宋" w:eastAsia="仿宋" w:cs="仿宋"/>
          <w:sz w:val="32"/>
          <w:szCs w:val="32"/>
        </w:rPr>
        <w:t>号</w:t>
      </w:r>
      <w:r>
        <w:rPr>
          <w:rFonts w:hint="eastAsia" w:ascii="仿宋" w:hAnsi="仿宋" w:eastAsia="仿宋" w:cs="仿宋"/>
          <w:sz w:val="32"/>
          <w:szCs w:val="32"/>
          <w:lang w:eastAsia="zh-CN"/>
        </w:rPr>
        <w:t>）精神，</w:t>
      </w:r>
      <w:r>
        <w:rPr>
          <w:rFonts w:hint="eastAsia" w:ascii="仿宋" w:hAnsi="仿宋" w:eastAsia="仿宋" w:cs="仿宋"/>
          <w:sz w:val="32"/>
          <w:szCs w:val="32"/>
          <w:lang w:val="en-US" w:eastAsia="zh-CN"/>
        </w:rPr>
        <w:t>结合喀什地区实际</w:t>
      </w:r>
      <w:r>
        <w:rPr>
          <w:rFonts w:hint="eastAsia" w:ascii="仿宋" w:hAnsi="仿宋" w:eastAsia="仿宋" w:cs="仿宋"/>
          <w:sz w:val="32"/>
          <w:szCs w:val="32"/>
          <w:lang w:eastAsia="zh-CN"/>
        </w:rPr>
        <w:t>制定本实施细</w:t>
      </w:r>
      <w:r>
        <w:rPr>
          <w:rFonts w:hint="eastAsia" w:ascii="仿宋" w:hAnsi="仿宋" w:eastAsia="仿宋" w:cs="仿宋"/>
          <w:sz w:val="32"/>
          <w:szCs w:val="32"/>
          <w:u w:val="none"/>
          <w:lang w:eastAsia="zh-CN"/>
        </w:rPr>
        <w:t>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w:t>
      </w:r>
      <w:r>
        <w:rPr>
          <w:rFonts w:hint="eastAsia" w:ascii="仿宋" w:hAnsi="仿宋" w:eastAsia="仿宋" w:cs="仿宋"/>
          <w:sz w:val="32"/>
          <w:szCs w:val="32"/>
          <w:lang w:eastAsia="zh-CN"/>
        </w:rPr>
        <w:t>细则适用于参加喀什地区职工医保参保人员（含退休、退职人员）以及灵活就业人员。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eastAsia="zh-CN"/>
        </w:rPr>
        <w:t>第</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lang w:eastAsia="zh-CN"/>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职工医保单位缴纳的基本医疗保险费全部计入统筹基金，不再计入个人账户。单位职工参保个人缴纳的基本医疗保险费全部计入个人账户。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u w:val="none"/>
          <w:lang w:val="en-US" w:eastAsia="zh-CN"/>
        </w:rPr>
        <w:t xml:space="preserve">第三条  </w:t>
      </w:r>
      <w:r>
        <w:rPr>
          <w:rFonts w:hint="eastAsia" w:ascii="仿宋" w:hAnsi="仿宋" w:eastAsia="仿宋" w:cs="仿宋"/>
          <w:sz w:val="32"/>
          <w:szCs w:val="32"/>
          <w:u w:val="none"/>
          <w:lang w:val="en-US" w:eastAsia="zh-CN"/>
        </w:rPr>
        <w:t>灵活就业人员自愿</w:t>
      </w:r>
      <w:r>
        <w:rPr>
          <w:rFonts w:hint="eastAsia" w:ascii="仿宋" w:hAnsi="仿宋" w:eastAsia="仿宋" w:cs="仿宋"/>
          <w:sz w:val="32"/>
          <w:szCs w:val="32"/>
          <w:lang w:val="en-US" w:eastAsia="zh-CN"/>
        </w:rPr>
        <w:t>按照单位缴费费率、个人缴费费率之和缴费的，按单位职工建立个人账户。灵活就业人员缴费基数按照自治区上年度全口径城镇单位就业人员平均工资的60%确定。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b/>
          <w:bCs/>
          <w:sz w:val="32"/>
          <w:szCs w:val="32"/>
          <w:u w:val="none"/>
          <w:lang w:val="en-US" w:eastAsia="zh-CN"/>
        </w:rPr>
        <w:t xml:space="preserve">第四条 </w:t>
      </w:r>
      <w:r>
        <w:rPr>
          <w:rFonts w:hint="eastAsia" w:ascii="仿宋" w:hAnsi="仿宋" w:eastAsia="仿宋" w:cs="仿宋"/>
          <w:sz w:val="32"/>
          <w:szCs w:val="32"/>
          <w:u w:val="none"/>
          <w:lang w:val="en-US" w:eastAsia="zh-CN"/>
        </w:rPr>
        <w:t xml:space="preserve"> 灵活就业人员按照单位缴费费率缴费的，纳入门诊共济保障，缴费期间不设个人账户。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第五条  </w:t>
      </w:r>
      <w:r>
        <w:rPr>
          <w:rFonts w:hint="eastAsia" w:ascii="仿宋" w:hAnsi="仿宋" w:eastAsia="仿宋" w:cs="仿宋"/>
          <w:sz w:val="32"/>
          <w:szCs w:val="32"/>
          <w:lang w:val="en-US" w:eastAsia="zh-CN"/>
        </w:rPr>
        <w:t>符合条件的退休人员个人账户由统筹基金按2022年自治区基本养老金水平的2%划入。划入额度暂定80元/月，待2022年自治区基本养老金水平数据发布后进行调整并补划差额。</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职工医保个人账户支付下列费用</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职工医保参保人员本人及其配偶、父母、子女在定点医疗机构就医发生的由个人负担的医疗费用</w:t>
      </w:r>
      <w:r>
        <w:rPr>
          <w:rFonts w:hint="eastAsia" w:ascii="仿宋" w:hAnsi="仿宋" w:eastAsia="仿宋" w:cs="仿宋"/>
          <w:sz w:val="32"/>
          <w:szCs w:val="32"/>
          <w:lang w:eastAsia="zh-CN"/>
        </w:rPr>
        <w:t>，</w:t>
      </w:r>
      <w:r>
        <w:rPr>
          <w:rFonts w:hint="eastAsia" w:ascii="仿宋" w:hAnsi="仿宋" w:eastAsia="仿宋" w:cs="仿宋"/>
          <w:sz w:val="32"/>
          <w:szCs w:val="32"/>
        </w:rPr>
        <w:t>以及在定点零售药店购买药品、医疗器械、医用耗材发生的由个人负担的费用</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二</w:t>
      </w:r>
      <w:r>
        <w:rPr>
          <w:rFonts w:hint="eastAsia" w:ascii="仿宋" w:hAnsi="仿宋" w:eastAsia="仿宋" w:cs="仿宋"/>
          <w:sz w:val="32"/>
          <w:szCs w:val="32"/>
          <w:lang w:eastAsia="zh-CN"/>
        </w:rPr>
        <w:t>）</w:t>
      </w:r>
      <w:r>
        <w:rPr>
          <w:rFonts w:hint="eastAsia" w:ascii="仿宋" w:hAnsi="仿宋" w:eastAsia="仿宋" w:cs="仿宋"/>
          <w:sz w:val="32"/>
          <w:szCs w:val="32"/>
        </w:rPr>
        <w:t>参保人员本人参加职工大额医疗费用补助、长期护理保险的费用</w:t>
      </w:r>
      <w:r>
        <w:rPr>
          <w:rFonts w:hint="eastAsia" w:ascii="仿宋" w:hAnsi="仿宋" w:eastAsia="仿宋" w:cs="仿宋"/>
          <w:sz w:val="32"/>
          <w:szCs w:val="32"/>
          <w:lang w:eastAsia="zh-CN"/>
        </w:rPr>
        <w:t>，</w:t>
      </w:r>
      <w:r>
        <w:rPr>
          <w:rFonts w:hint="eastAsia" w:ascii="仿宋" w:hAnsi="仿宋" w:eastAsia="仿宋" w:cs="仿宋"/>
          <w:sz w:val="32"/>
          <w:szCs w:val="32"/>
        </w:rPr>
        <w:t>参保人员配偶、父母、子女参加城乡居民基本医疗保险、长期护理保险的费用。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职工医保参保人员的个人账户资金</w:t>
      </w:r>
      <w:r>
        <w:rPr>
          <w:rFonts w:hint="eastAsia" w:ascii="仿宋" w:hAnsi="仿宋" w:eastAsia="仿宋" w:cs="仿宋"/>
          <w:sz w:val="32"/>
          <w:szCs w:val="32"/>
          <w:lang w:eastAsia="zh-CN"/>
        </w:rPr>
        <w:t>（包括历年结余资金）</w:t>
      </w:r>
      <w:r>
        <w:rPr>
          <w:rFonts w:hint="eastAsia" w:ascii="仿宋" w:hAnsi="仿宋" w:eastAsia="仿宋" w:cs="仿宋"/>
          <w:sz w:val="32"/>
          <w:szCs w:val="32"/>
        </w:rPr>
        <w:t>由参保人员按规定使用</w:t>
      </w:r>
      <w:r>
        <w:rPr>
          <w:rFonts w:hint="eastAsia" w:ascii="仿宋" w:hAnsi="仿宋" w:eastAsia="仿宋" w:cs="仿宋"/>
          <w:sz w:val="32"/>
          <w:szCs w:val="32"/>
          <w:lang w:eastAsia="zh-CN"/>
        </w:rPr>
        <w:t>，</w:t>
      </w:r>
      <w:r>
        <w:rPr>
          <w:rFonts w:hint="eastAsia" w:ascii="仿宋" w:hAnsi="仿宋" w:eastAsia="仿宋" w:cs="仿宋"/>
          <w:sz w:val="32"/>
          <w:szCs w:val="32"/>
        </w:rPr>
        <w:t>可以实行家庭成员共济。实行家庭成员共济的</w:t>
      </w:r>
      <w:r>
        <w:rPr>
          <w:rFonts w:hint="eastAsia" w:ascii="仿宋" w:hAnsi="仿宋" w:eastAsia="仿宋" w:cs="仿宋"/>
          <w:sz w:val="32"/>
          <w:szCs w:val="32"/>
          <w:lang w:eastAsia="zh-CN"/>
        </w:rPr>
        <w:t>，</w:t>
      </w:r>
      <w:r>
        <w:rPr>
          <w:rFonts w:hint="eastAsia" w:ascii="仿宋" w:hAnsi="仿宋" w:eastAsia="仿宋" w:cs="仿宋"/>
          <w:sz w:val="32"/>
          <w:szCs w:val="32"/>
        </w:rPr>
        <w:t>由参保人员本人</w:t>
      </w:r>
      <w:r>
        <w:rPr>
          <w:rFonts w:hint="eastAsia" w:ascii="仿宋" w:hAnsi="仿宋" w:eastAsia="仿宋" w:cs="仿宋"/>
          <w:sz w:val="32"/>
          <w:szCs w:val="32"/>
          <w:lang w:eastAsia="zh-CN"/>
        </w:rPr>
        <w:t>通过线上、线下渠道</w:t>
      </w:r>
      <w:r>
        <w:rPr>
          <w:rFonts w:hint="eastAsia" w:ascii="仿宋" w:hAnsi="仿宋" w:eastAsia="仿宋" w:cs="仿宋"/>
          <w:sz w:val="32"/>
          <w:szCs w:val="32"/>
        </w:rPr>
        <w:t>向医保经办机构办理增加人员</w:t>
      </w:r>
      <w:r>
        <w:rPr>
          <w:rFonts w:hint="eastAsia" w:ascii="仿宋" w:hAnsi="仿宋" w:eastAsia="仿宋" w:cs="仿宋"/>
          <w:sz w:val="32"/>
          <w:szCs w:val="32"/>
          <w:lang w:eastAsia="zh-CN"/>
        </w:rPr>
        <w:t>，</w:t>
      </w:r>
      <w:r>
        <w:rPr>
          <w:rFonts w:hint="eastAsia" w:ascii="仿宋" w:hAnsi="仿宋" w:eastAsia="仿宋" w:cs="仿宋"/>
          <w:sz w:val="32"/>
          <w:szCs w:val="32"/>
        </w:rPr>
        <w:t>并签署个人账户家庭成员共济承诺书、资金使用授权书</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条</w:t>
      </w:r>
      <w:r>
        <w:rPr>
          <w:rFonts w:hint="eastAsia" w:ascii="仿宋" w:hAnsi="仿宋" w:eastAsia="仿宋" w:cs="仿宋"/>
          <w:sz w:val="32"/>
          <w:szCs w:val="32"/>
          <w:lang w:val="en-US" w:eastAsia="zh-CN"/>
        </w:rPr>
        <w:t xml:space="preserve">  个人账户资金可以结转使用和继承，职工医保关系转移时个人账户资金随同转移，不具备转移条件的可一次性支付给本人。</w:t>
      </w:r>
      <w:r>
        <w:rPr>
          <w:rFonts w:hint="eastAsia" w:ascii="仿宋" w:hAnsi="仿宋" w:eastAsia="仿宋" w:cs="仿宋"/>
          <w:sz w:val="32"/>
          <w:szCs w:val="32"/>
        </w:rPr>
        <w:t>个人账户资金不得用于公共卫生费用、体育健身或养生保健消费等不属于基本医疗保险保障范围的支出。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职工医保门诊共济保障包括以下内容</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rPr>
        <w:t>普通门诊费用保障</w:t>
      </w:r>
      <w:r>
        <w:rPr>
          <w:rFonts w:hint="eastAsia" w:ascii="仿宋" w:hAnsi="仿宋" w:eastAsia="仿宋" w:cs="仿宋"/>
          <w:sz w:val="32"/>
          <w:szCs w:val="32"/>
          <w:lang w:eastAsia="zh-CN"/>
        </w:rPr>
        <w:t>（</w:t>
      </w:r>
      <w:r>
        <w:rPr>
          <w:rFonts w:hint="eastAsia" w:ascii="仿宋" w:hAnsi="仿宋" w:eastAsia="仿宋" w:cs="仿宋"/>
          <w:sz w:val="32"/>
          <w:szCs w:val="32"/>
        </w:rPr>
        <w:t>以下简称“普通门诊保障”</w:t>
      </w:r>
      <w:r>
        <w:rPr>
          <w:rFonts w:hint="eastAsia" w:ascii="仿宋" w:hAnsi="仿宋" w:eastAsia="仿宋" w:cs="仿宋"/>
          <w:sz w:val="32"/>
          <w:szCs w:val="32"/>
          <w:lang w:eastAsia="zh-CN"/>
        </w:rPr>
        <w:t>）</w:t>
      </w:r>
      <w:r>
        <w:rPr>
          <w:rFonts w:hint="eastAsia" w:ascii="仿宋" w:hAnsi="仿宋" w:eastAsia="仿宋" w:cs="仿宋"/>
          <w:sz w:val="32"/>
          <w:szCs w:val="32"/>
        </w:rPr>
        <w:t>。主要保障职工医保参保人员在定点医疗机构</w:t>
      </w:r>
      <w:r>
        <w:rPr>
          <w:rFonts w:hint="eastAsia" w:ascii="仿宋" w:hAnsi="仿宋" w:eastAsia="仿宋" w:cs="仿宋"/>
          <w:sz w:val="32"/>
          <w:szCs w:val="32"/>
          <w:lang w:eastAsia="zh-CN"/>
        </w:rPr>
        <w:t>门诊</w:t>
      </w:r>
      <w:r>
        <w:rPr>
          <w:rFonts w:hint="eastAsia" w:ascii="仿宋" w:hAnsi="仿宋" w:eastAsia="仿宋" w:cs="仿宋"/>
          <w:sz w:val="32"/>
          <w:szCs w:val="32"/>
        </w:rPr>
        <w:t>进行疾病诊断、疾病治疗所发生的政策范围</w:t>
      </w:r>
      <w:r>
        <w:rPr>
          <w:rFonts w:hint="eastAsia" w:ascii="仿宋" w:hAnsi="仿宋" w:eastAsia="仿宋" w:cs="仿宋"/>
          <w:sz w:val="32"/>
          <w:szCs w:val="32"/>
          <w:lang w:eastAsia="zh-CN"/>
        </w:rPr>
        <w:t>内</w:t>
      </w:r>
      <w:r>
        <w:rPr>
          <w:rFonts w:hint="eastAsia" w:ascii="仿宋" w:hAnsi="仿宋" w:eastAsia="仿宋" w:cs="仿宋"/>
          <w:sz w:val="32"/>
          <w:szCs w:val="32"/>
        </w:rPr>
        <w:t>的检查、治疗、购药等费用。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二</w:t>
      </w:r>
      <w:r>
        <w:rPr>
          <w:rFonts w:hint="eastAsia" w:ascii="仿宋" w:hAnsi="仿宋" w:eastAsia="仿宋" w:cs="仿宋"/>
          <w:sz w:val="32"/>
          <w:szCs w:val="32"/>
          <w:lang w:eastAsia="zh-CN"/>
        </w:rPr>
        <w:t>）</w:t>
      </w:r>
      <w:r>
        <w:rPr>
          <w:rFonts w:hint="eastAsia" w:ascii="仿宋" w:hAnsi="仿宋" w:eastAsia="仿宋" w:cs="仿宋"/>
          <w:sz w:val="32"/>
          <w:szCs w:val="32"/>
        </w:rPr>
        <w:t>门诊</w:t>
      </w:r>
      <w:r>
        <w:rPr>
          <w:rFonts w:hint="eastAsia" w:ascii="仿宋" w:hAnsi="仿宋" w:eastAsia="仿宋" w:cs="仿宋"/>
          <w:sz w:val="32"/>
          <w:szCs w:val="32"/>
          <w:lang w:val="en-US" w:eastAsia="zh-CN"/>
        </w:rPr>
        <w:t>特殊</w:t>
      </w:r>
      <w:r>
        <w:rPr>
          <w:rFonts w:hint="eastAsia" w:ascii="仿宋" w:hAnsi="仿宋" w:eastAsia="仿宋" w:cs="仿宋"/>
          <w:sz w:val="32"/>
          <w:szCs w:val="32"/>
        </w:rPr>
        <w:t>慢</w:t>
      </w:r>
      <w:r>
        <w:rPr>
          <w:rFonts w:hint="eastAsia" w:ascii="仿宋" w:hAnsi="仿宋" w:eastAsia="仿宋" w:cs="仿宋"/>
          <w:sz w:val="32"/>
          <w:szCs w:val="32"/>
          <w:lang w:val="en-US" w:eastAsia="zh-CN"/>
        </w:rPr>
        <w:t>性</w:t>
      </w:r>
      <w:r>
        <w:rPr>
          <w:rFonts w:hint="eastAsia" w:ascii="仿宋" w:hAnsi="仿宋" w:eastAsia="仿宋" w:cs="仿宋"/>
          <w:sz w:val="32"/>
          <w:szCs w:val="32"/>
        </w:rPr>
        <w:t>病</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以下简称“门诊慢特病”</w:t>
      </w:r>
      <w:r>
        <w:rPr>
          <w:rFonts w:hint="eastAsia" w:ascii="仿宋" w:hAnsi="仿宋" w:eastAsia="仿宋" w:cs="仿宋"/>
          <w:sz w:val="32"/>
          <w:szCs w:val="32"/>
          <w:lang w:eastAsia="zh-CN"/>
        </w:rPr>
        <w:t>）</w:t>
      </w:r>
      <w:r>
        <w:rPr>
          <w:rFonts w:hint="eastAsia" w:ascii="仿宋" w:hAnsi="仿宋" w:eastAsia="仿宋" w:cs="仿宋"/>
          <w:sz w:val="32"/>
          <w:szCs w:val="32"/>
        </w:rPr>
        <w:t>费用保障。主要保障实行门诊慢特病管理的职工医保参保人员在定点医药机构治疗、购药发生的政策范围内的检查、治疗、购药等费用。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三</w:t>
      </w:r>
      <w:r>
        <w:rPr>
          <w:rFonts w:hint="eastAsia" w:ascii="仿宋" w:hAnsi="仿宋" w:eastAsia="仿宋" w:cs="仿宋"/>
          <w:sz w:val="32"/>
          <w:szCs w:val="32"/>
          <w:lang w:eastAsia="zh-CN"/>
        </w:rPr>
        <w:t>）</w:t>
      </w:r>
      <w:r>
        <w:rPr>
          <w:rFonts w:hint="eastAsia" w:ascii="仿宋" w:hAnsi="仿宋" w:eastAsia="仿宋" w:cs="仿宋"/>
          <w:sz w:val="32"/>
          <w:szCs w:val="32"/>
        </w:rPr>
        <w:t>门诊特殊药品费用保障</w:t>
      </w:r>
      <w:r>
        <w:rPr>
          <w:rFonts w:hint="eastAsia" w:ascii="仿宋" w:hAnsi="仿宋" w:eastAsia="仿宋" w:cs="仿宋"/>
          <w:sz w:val="32"/>
          <w:szCs w:val="32"/>
          <w:lang w:eastAsia="zh-CN"/>
        </w:rPr>
        <w:t>（</w:t>
      </w:r>
      <w:r>
        <w:rPr>
          <w:rFonts w:hint="eastAsia" w:ascii="仿宋" w:hAnsi="仿宋" w:eastAsia="仿宋" w:cs="仿宋"/>
          <w:sz w:val="32"/>
          <w:szCs w:val="32"/>
        </w:rPr>
        <w:t>以下简称“特殊药品费用保障”</w:t>
      </w:r>
      <w:r>
        <w:rPr>
          <w:rFonts w:hint="eastAsia" w:ascii="仿宋" w:hAnsi="仿宋" w:eastAsia="仿宋" w:cs="仿宋"/>
          <w:sz w:val="32"/>
          <w:szCs w:val="32"/>
          <w:lang w:eastAsia="zh-CN"/>
        </w:rPr>
        <w:t>）</w:t>
      </w:r>
      <w:r>
        <w:rPr>
          <w:rFonts w:hint="eastAsia" w:ascii="仿宋" w:hAnsi="仿宋" w:eastAsia="仿宋" w:cs="仿宋"/>
          <w:sz w:val="32"/>
          <w:szCs w:val="32"/>
        </w:rPr>
        <w:t>。主要保障职工</w:t>
      </w:r>
      <w:r>
        <w:rPr>
          <w:rFonts w:hint="eastAsia" w:ascii="仿宋" w:hAnsi="仿宋" w:eastAsia="仿宋" w:cs="仿宋"/>
          <w:sz w:val="32"/>
          <w:szCs w:val="32"/>
          <w:lang w:eastAsia="zh-CN"/>
        </w:rPr>
        <w:t>医保</w:t>
      </w:r>
      <w:r>
        <w:rPr>
          <w:rFonts w:hint="eastAsia" w:ascii="仿宋" w:hAnsi="仿宋" w:eastAsia="仿宋" w:cs="仿宋"/>
          <w:sz w:val="32"/>
          <w:szCs w:val="32"/>
        </w:rPr>
        <w:t>参保人员使用基本医保目录内的特殊药品进行药物治疗</w:t>
      </w:r>
      <w:r>
        <w:rPr>
          <w:rFonts w:hint="eastAsia" w:ascii="仿宋" w:hAnsi="仿宋" w:eastAsia="仿宋" w:cs="仿宋"/>
          <w:sz w:val="32"/>
          <w:szCs w:val="32"/>
          <w:lang w:eastAsia="zh-CN"/>
        </w:rPr>
        <w:t>，</w:t>
      </w:r>
      <w:r>
        <w:rPr>
          <w:rFonts w:hint="eastAsia" w:ascii="仿宋" w:hAnsi="仿宋" w:eastAsia="仿宋" w:cs="仿宋"/>
          <w:sz w:val="32"/>
          <w:szCs w:val="32"/>
        </w:rPr>
        <w:t>实行“定患者、定医疗机构、定医师”管理</w:t>
      </w:r>
      <w:r>
        <w:rPr>
          <w:rFonts w:hint="eastAsia" w:ascii="仿宋" w:hAnsi="仿宋" w:eastAsia="仿宋" w:cs="仿宋"/>
          <w:sz w:val="32"/>
          <w:szCs w:val="32"/>
          <w:lang w:eastAsia="zh-CN"/>
        </w:rPr>
        <w:t>，</w:t>
      </w:r>
      <w:r>
        <w:rPr>
          <w:rFonts w:hint="eastAsia" w:ascii="仿宋" w:hAnsi="仿宋" w:eastAsia="仿宋" w:cs="仿宋"/>
          <w:sz w:val="32"/>
          <w:szCs w:val="32"/>
        </w:rPr>
        <w:t>在定点医疗机构门诊或定点零售药店购药发生的药品费用。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四</w:t>
      </w:r>
      <w:r>
        <w:rPr>
          <w:rFonts w:hint="eastAsia" w:ascii="仿宋" w:hAnsi="仿宋" w:eastAsia="仿宋" w:cs="仿宋"/>
          <w:sz w:val="32"/>
          <w:szCs w:val="32"/>
          <w:lang w:eastAsia="zh-CN"/>
        </w:rPr>
        <w:t>）</w:t>
      </w:r>
      <w:r>
        <w:rPr>
          <w:rFonts w:hint="eastAsia" w:ascii="仿宋" w:hAnsi="仿宋" w:eastAsia="仿宋" w:cs="仿宋"/>
          <w:sz w:val="32"/>
          <w:szCs w:val="32"/>
        </w:rPr>
        <w:t>门诊日间手术费用保障</w:t>
      </w:r>
      <w:r>
        <w:rPr>
          <w:rFonts w:hint="eastAsia" w:ascii="仿宋" w:hAnsi="仿宋" w:eastAsia="仿宋" w:cs="仿宋"/>
          <w:sz w:val="32"/>
          <w:szCs w:val="32"/>
          <w:lang w:eastAsia="zh-CN"/>
        </w:rPr>
        <w:t>（</w:t>
      </w:r>
      <w:r>
        <w:rPr>
          <w:rFonts w:hint="eastAsia" w:ascii="仿宋" w:hAnsi="仿宋" w:eastAsia="仿宋" w:cs="仿宋"/>
          <w:sz w:val="32"/>
          <w:szCs w:val="32"/>
        </w:rPr>
        <w:t>以下简称“日间手术”</w:t>
      </w:r>
      <w:r>
        <w:rPr>
          <w:rFonts w:hint="eastAsia" w:ascii="仿宋" w:hAnsi="仿宋" w:eastAsia="仿宋" w:cs="仿宋"/>
          <w:sz w:val="32"/>
          <w:szCs w:val="32"/>
          <w:lang w:eastAsia="zh-CN"/>
        </w:rPr>
        <w:t>）</w:t>
      </w:r>
      <w:r>
        <w:rPr>
          <w:rFonts w:hint="eastAsia" w:ascii="仿宋" w:hAnsi="仿宋" w:eastAsia="仿宋" w:cs="仿宋"/>
          <w:sz w:val="32"/>
          <w:szCs w:val="32"/>
        </w:rPr>
        <w:t>。主要保障职工医保参保人员在定点医疗机构通过日间手术进行治疗的</w:t>
      </w:r>
      <w:r>
        <w:rPr>
          <w:rFonts w:hint="eastAsia" w:ascii="仿宋" w:hAnsi="仿宋" w:eastAsia="仿宋" w:cs="仿宋"/>
          <w:sz w:val="32"/>
          <w:szCs w:val="32"/>
          <w:lang w:eastAsia="zh-CN"/>
        </w:rPr>
        <w:t>政策范围内的</w:t>
      </w:r>
      <w:r>
        <w:rPr>
          <w:rFonts w:hint="eastAsia" w:ascii="仿宋" w:hAnsi="仿宋" w:eastAsia="仿宋" w:cs="仿宋"/>
          <w:sz w:val="32"/>
          <w:szCs w:val="32"/>
        </w:rPr>
        <w:t>检查、治疗、购药等费用。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rPr>
        <w:t>第十条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职工医保参保人员在定点医疗机构普通门诊进行疾病诊断、治疗、购药等发生的政策范围内的医疗费用</w:t>
      </w:r>
      <w:r>
        <w:rPr>
          <w:rFonts w:hint="eastAsia" w:ascii="仿宋" w:hAnsi="仿宋" w:eastAsia="仿宋" w:cs="仿宋"/>
          <w:sz w:val="32"/>
          <w:szCs w:val="32"/>
          <w:lang w:eastAsia="zh-CN"/>
        </w:rPr>
        <w:t>，</w:t>
      </w:r>
      <w:r>
        <w:rPr>
          <w:rFonts w:hint="eastAsia" w:ascii="仿宋" w:hAnsi="仿宋" w:eastAsia="仿宋" w:cs="仿宋"/>
          <w:sz w:val="32"/>
          <w:szCs w:val="32"/>
        </w:rPr>
        <w:t>单次超过</w:t>
      </w:r>
      <w:r>
        <w:rPr>
          <w:rFonts w:hint="eastAsia" w:ascii="仿宋" w:hAnsi="仿宋" w:eastAsia="仿宋" w:cs="仿宋"/>
          <w:sz w:val="32"/>
          <w:szCs w:val="32"/>
          <w:lang w:val="en-US" w:eastAsia="zh-CN"/>
        </w:rPr>
        <w:t>起付线</w:t>
      </w:r>
      <w:r>
        <w:rPr>
          <w:rFonts w:hint="eastAsia" w:ascii="仿宋" w:hAnsi="仿宋" w:eastAsia="仿宋" w:cs="仿宋"/>
          <w:sz w:val="32"/>
          <w:szCs w:val="32"/>
        </w:rPr>
        <w:t>以上的部分</w:t>
      </w:r>
      <w:r>
        <w:rPr>
          <w:rFonts w:hint="eastAsia" w:ascii="仿宋" w:hAnsi="仿宋" w:eastAsia="仿宋" w:cs="仿宋"/>
          <w:sz w:val="32"/>
          <w:szCs w:val="32"/>
          <w:lang w:eastAsia="zh-CN"/>
        </w:rPr>
        <w:t>，</w:t>
      </w:r>
      <w:r>
        <w:rPr>
          <w:rFonts w:hint="eastAsia" w:ascii="仿宋" w:hAnsi="仿宋" w:eastAsia="仿宋" w:cs="仿宋"/>
          <w:sz w:val="32"/>
          <w:szCs w:val="32"/>
        </w:rPr>
        <w:t>在普通门诊年度限额内由统筹基金按比例给予支付。</w:t>
      </w:r>
      <w:r>
        <w:rPr>
          <w:rFonts w:hint="eastAsia" w:ascii="仿宋" w:hAnsi="仿宋" w:eastAsia="仿宋" w:cs="仿宋"/>
          <w:sz w:val="32"/>
          <w:szCs w:val="32"/>
          <w:lang w:val="en-US" w:eastAsia="zh-CN"/>
        </w:rPr>
        <w:t>参保人员一天内在同一医疗机构就医发生的门诊费用，按照一次门诊就医计算普通门诊起付线、统筹基金单次最高支付限额。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w:t>
      </w:r>
      <w:r>
        <w:rPr>
          <w:rFonts w:hint="eastAsia" w:ascii="仿宋" w:hAnsi="仿宋" w:eastAsia="仿宋" w:cs="仿宋"/>
          <w:sz w:val="32"/>
          <w:szCs w:val="32"/>
        </w:rPr>
        <w:t>普通门诊统筹基金</w:t>
      </w:r>
      <w:r>
        <w:rPr>
          <w:rFonts w:hint="eastAsia" w:ascii="仿宋" w:hAnsi="仿宋" w:eastAsia="仿宋" w:cs="仿宋"/>
          <w:sz w:val="32"/>
          <w:szCs w:val="32"/>
          <w:lang w:eastAsia="zh-CN"/>
        </w:rPr>
        <w:t>首</w:t>
      </w:r>
      <w:r>
        <w:rPr>
          <w:rFonts w:hint="eastAsia" w:ascii="仿宋" w:hAnsi="仿宋" w:eastAsia="仿宋" w:cs="仿宋"/>
          <w:sz w:val="32"/>
          <w:szCs w:val="32"/>
        </w:rPr>
        <w:t>次起付标准</w:t>
      </w:r>
      <w:r>
        <w:rPr>
          <w:rFonts w:hint="eastAsia" w:ascii="仿宋" w:hAnsi="仿宋" w:eastAsia="仿宋" w:cs="仿宋"/>
          <w:sz w:val="32"/>
          <w:szCs w:val="32"/>
          <w:lang w:val="en-US" w:eastAsia="zh-CN"/>
        </w:rPr>
        <w:t>为</w:t>
      </w:r>
      <w:r>
        <w:rPr>
          <w:rFonts w:hint="eastAsia" w:ascii="仿宋" w:hAnsi="仿宋" w:eastAsia="仿宋" w:cs="仿宋"/>
          <w:sz w:val="32"/>
          <w:szCs w:val="32"/>
        </w:rPr>
        <w:t>同级医疗机构首次住院起付线的10%</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即：一级、二级、三级医疗机构起付线分别为10元、20元、60元。</w:t>
      </w:r>
      <w:r>
        <w:rPr>
          <w:rFonts w:hint="eastAsia" w:ascii="仿宋" w:hAnsi="仿宋" w:eastAsia="仿宋" w:cs="仿宋"/>
          <w:sz w:val="32"/>
          <w:szCs w:val="32"/>
          <w:lang w:eastAsia="zh-CN"/>
        </w:rPr>
        <w:t>从第二次起降低至首次住院起付线的</w:t>
      </w:r>
      <w:r>
        <w:rPr>
          <w:rFonts w:hint="eastAsia" w:ascii="仿宋" w:hAnsi="仿宋" w:eastAsia="仿宋" w:cs="仿宋"/>
          <w:sz w:val="32"/>
          <w:szCs w:val="32"/>
          <w:lang w:val="en-US" w:eastAsia="zh-CN"/>
        </w:rPr>
        <w:t>5%。即：从第二次及以后在一级、二级、三级医疗机构起付线分别为5元、10元、30元。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（二）</w:t>
      </w:r>
      <w:r>
        <w:rPr>
          <w:rFonts w:hint="eastAsia" w:ascii="仿宋" w:hAnsi="仿宋" w:eastAsia="仿宋" w:cs="仿宋"/>
          <w:sz w:val="32"/>
          <w:szCs w:val="32"/>
        </w:rPr>
        <w:t>普通门诊</w:t>
      </w:r>
      <w:r>
        <w:rPr>
          <w:rFonts w:hint="eastAsia" w:ascii="仿宋" w:hAnsi="仿宋" w:eastAsia="仿宋" w:cs="仿宋"/>
          <w:sz w:val="32"/>
          <w:szCs w:val="32"/>
          <w:lang w:eastAsia="zh-CN"/>
        </w:rPr>
        <w:t>保障</w:t>
      </w:r>
      <w:r>
        <w:rPr>
          <w:rFonts w:hint="eastAsia" w:ascii="仿宋" w:hAnsi="仿宋" w:eastAsia="仿宋" w:cs="仿宋"/>
          <w:sz w:val="32"/>
          <w:szCs w:val="32"/>
        </w:rPr>
        <w:t>在</w:t>
      </w:r>
      <w:r>
        <w:rPr>
          <w:rFonts w:hint="eastAsia" w:ascii="仿宋" w:hAnsi="仿宋" w:eastAsia="仿宋" w:cs="仿宋"/>
          <w:sz w:val="32"/>
          <w:szCs w:val="32"/>
          <w:lang w:val="en-US" w:eastAsia="zh-CN"/>
        </w:rPr>
        <w:t>一级、二级、三</w:t>
      </w:r>
      <w:r>
        <w:rPr>
          <w:rFonts w:hint="eastAsia" w:ascii="仿宋" w:hAnsi="仿宋" w:eastAsia="仿宋" w:cs="仿宋"/>
          <w:sz w:val="32"/>
          <w:szCs w:val="32"/>
        </w:rPr>
        <w:t>级医疗机构的统筹基金支付比例分别为75%、65%、55%</w:t>
      </w:r>
      <w:r>
        <w:rPr>
          <w:rFonts w:hint="eastAsia" w:ascii="仿宋" w:hAnsi="仿宋" w:eastAsia="仿宋" w:cs="仿宋"/>
          <w:sz w:val="32"/>
          <w:szCs w:val="32"/>
          <w:lang w:eastAsia="zh-CN"/>
        </w:rPr>
        <w:t>，</w:t>
      </w:r>
      <w:r>
        <w:rPr>
          <w:rFonts w:hint="eastAsia" w:ascii="仿宋" w:hAnsi="仿宋" w:eastAsia="仿宋" w:cs="仿宋"/>
          <w:sz w:val="32"/>
          <w:szCs w:val="32"/>
        </w:rPr>
        <w:t>退休人员</w:t>
      </w:r>
      <w:r>
        <w:rPr>
          <w:rFonts w:hint="eastAsia" w:ascii="仿宋" w:hAnsi="仿宋" w:eastAsia="仿宋" w:cs="仿宋"/>
          <w:sz w:val="32"/>
          <w:szCs w:val="32"/>
          <w:lang w:val="en-US" w:eastAsia="zh-CN"/>
        </w:rPr>
        <w:t>支付比例分别再提高</w:t>
      </w:r>
      <w:r>
        <w:rPr>
          <w:rFonts w:hint="eastAsia" w:ascii="仿宋" w:hAnsi="仿宋" w:eastAsia="仿宋" w:cs="仿宋"/>
          <w:sz w:val="32"/>
          <w:szCs w:val="32"/>
        </w:rPr>
        <w:t>5个百分点。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普通门诊年度统筹基金</w:t>
      </w:r>
      <w:r>
        <w:rPr>
          <w:rFonts w:hint="eastAsia" w:ascii="仿宋" w:hAnsi="仿宋" w:eastAsia="仿宋" w:cs="仿宋"/>
          <w:sz w:val="32"/>
          <w:szCs w:val="32"/>
        </w:rPr>
        <w:t>最高支付限额</w:t>
      </w:r>
      <w:r>
        <w:rPr>
          <w:rFonts w:hint="eastAsia" w:ascii="仿宋" w:hAnsi="仿宋" w:eastAsia="仿宋" w:cs="仿宋"/>
          <w:sz w:val="32"/>
          <w:szCs w:val="32"/>
          <w:lang w:val="en-US" w:eastAsia="zh-CN"/>
        </w:rPr>
        <w:t>为</w:t>
      </w:r>
      <w:r>
        <w:rPr>
          <w:rFonts w:hint="eastAsia" w:ascii="仿宋" w:hAnsi="仿宋" w:eastAsia="仿宋" w:cs="仿宋"/>
          <w:sz w:val="32"/>
          <w:szCs w:val="32"/>
        </w:rPr>
        <w:t>3000元。</w:t>
      </w:r>
      <w:r>
        <w:rPr>
          <w:rFonts w:hint="eastAsia" w:ascii="仿宋" w:hAnsi="仿宋" w:eastAsia="仿宋" w:cs="仿宋"/>
          <w:sz w:val="32"/>
          <w:szCs w:val="32"/>
          <w:lang w:val="en-US" w:eastAsia="zh-CN"/>
        </w:rPr>
        <w:t>单次最高支付限额为同级医疗机构首次住院起付线标准。即：一级、二级、三级医疗机构普通门诊单次最高支付限额分别为100元、200元、600元。未定级医疗机构参照一级医疗机构执行。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将定点医疗机构开展的日间手术纳入门诊共济保障支付范围</w:t>
      </w:r>
      <w:r>
        <w:rPr>
          <w:rFonts w:hint="eastAsia" w:ascii="仿宋" w:hAnsi="仿宋" w:eastAsia="仿宋" w:cs="仿宋"/>
          <w:sz w:val="32"/>
          <w:szCs w:val="32"/>
          <w:lang w:eastAsia="zh-CN"/>
        </w:rPr>
        <w:t>，</w:t>
      </w:r>
      <w:r>
        <w:rPr>
          <w:rFonts w:hint="eastAsia" w:ascii="仿宋" w:hAnsi="仿宋" w:eastAsia="仿宋" w:cs="仿宋"/>
          <w:sz w:val="32"/>
          <w:szCs w:val="32"/>
        </w:rPr>
        <w:t>参保人员在定点医疗机构接受日间手术治疗的</w:t>
      </w:r>
      <w:r>
        <w:rPr>
          <w:rFonts w:hint="eastAsia" w:ascii="仿宋" w:hAnsi="仿宋" w:eastAsia="仿宋" w:cs="仿宋"/>
          <w:sz w:val="32"/>
          <w:szCs w:val="32"/>
          <w:lang w:eastAsia="zh-CN"/>
        </w:rPr>
        <w:t>，</w:t>
      </w:r>
      <w:r>
        <w:rPr>
          <w:rFonts w:hint="eastAsia" w:ascii="仿宋" w:hAnsi="仿宋" w:eastAsia="仿宋" w:cs="仿宋"/>
          <w:sz w:val="32"/>
          <w:szCs w:val="32"/>
        </w:rPr>
        <w:t>统筹基金支付执行普通门诊</w:t>
      </w:r>
      <w:r>
        <w:rPr>
          <w:rFonts w:hint="eastAsia" w:ascii="仿宋" w:hAnsi="仿宋" w:eastAsia="仿宋" w:cs="仿宋"/>
          <w:sz w:val="32"/>
          <w:szCs w:val="32"/>
          <w:lang w:eastAsia="zh-CN"/>
        </w:rPr>
        <w:t>起付线和住院支付比例。日间手术医疗费用纳入职工医保统筹基金最高支付限额管理。</w:t>
      </w:r>
      <w:r>
        <w:rPr>
          <w:rFonts w:hint="eastAsia" w:ascii="仿宋" w:hAnsi="仿宋" w:eastAsia="仿宋" w:cs="仿宋"/>
          <w:sz w:val="32"/>
          <w:szCs w:val="32"/>
          <w:lang w:val="en-US" w:eastAsia="zh-CN"/>
        </w:rPr>
        <w:t>日间手术的管理办法待自治区出台相关规定后执行。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条</w:t>
      </w:r>
      <w:r>
        <w:rPr>
          <w:rFonts w:hint="eastAsia" w:ascii="仿宋" w:hAnsi="仿宋" w:eastAsia="仿宋" w:cs="仿宋"/>
          <w:sz w:val="32"/>
          <w:szCs w:val="32"/>
          <w:lang w:val="en-US" w:eastAsia="zh-CN"/>
        </w:rPr>
        <w:t xml:space="preserve">  高血压、糖尿病、恶性肿瘤、门诊放化疗、肾病综合症、器官移植抗排异治疗等门诊特殊慢性病支付比例和定额标准按照原相关文件规定执行。结合职工医保门诊共济保障改革完善门诊慢特病管理办法，逐步由病种保障向费用保障过渡，提高待遇保障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职工医保参保人员经诊断需要门诊使用特殊药品且符合药品限定疾病范围的</w:t>
      </w:r>
      <w:r>
        <w:rPr>
          <w:rFonts w:hint="eastAsia" w:ascii="仿宋" w:hAnsi="仿宋" w:eastAsia="仿宋" w:cs="仿宋"/>
          <w:sz w:val="32"/>
          <w:szCs w:val="32"/>
          <w:lang w:eastAsia="zh-CN"/>
        </w:rPr>
        <w:t>，</w:t>
      </w:r>
      <w:r>
        <w:rPr>
          <w:rFonts w:hint="eastAsia" w:ascii="仿宋" w:hAnsi="仿宋" w:eastAsia="仿宋" w:cs="仿宋"/>
          <w:sz w:val="32"/>
          <w:szCs w:val="32"/>
        </w:rPr>
        <w:t>按照特殊药品“三定”“双通道”管理</w:t>
      </w:r>
      <w:r>
        <w:rPr>
          <w:rFonts w:hint="eastAsia" w:ascii="仿宋" w:hAnsi="仿宋" w:eastAsia="仿宋" w:cs="仿宋"/>
          <w:sz w:val="32"/>
          <w:szCs w:val="32"/>
          <w:lang w:eastAsia="zh-CN"/>
        </w:rPr>
        <w:t>，</w:t>
      </w:r>
      <w:r>
        <w:rPr>
          <w:rFonts w:hint="eastAsia" w:ascii="仿宋" w:hAnsi="仿宋" w:eastAsia="仿宋" w:cs="仿宋"/>
          <w:sz w:val="32"/>
          <w:szCs w:val="32"/>
        </w:rPr>
        <w:t>对患者用药全过程监督</w:t>
      </w:r>
      <w:r>
        <w:rPr>
          <w:rFonts w:hint="eastAsia" w:ascii="仿宋" w:hAnsi="仿宋" w:eastAsia="仿宋" w:cs="仿宋"/>
          <w:sz w:val="32"/>
          <w:szCs w:val="32"/>
          <w:lang w:eastAsia="zh-CN"/>
        </w:rPr>
        <w:t>，</w:t>
      </w:r>
      <w:r>
        <w:rPr>
          <w:rFonts w:hint="eastAsia" w:ascii="仿宋" w:hAnsi="仿宋" w:eastAsia="仿宋" w:cs="仿宋"/>
          <w:sz w:val="32"/>
          <w:szCs w:val="32"/>
        </w:rPr>
        <w:t>执行特殊药品报销政策。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门诊慢特病</w:t>
      </w:r>
      <w:r>
        <w:rPr>
          <w:rFonts w:hint="eastAsia" w:ascii="仿宋" w:hAnsi="仿宋" w:eastAsia="仿宋" w:cs="仿宋"/>
          <w:sz w:val="32"/>
          <w:szCs w:val="32"/>
          <w:lang w:val="en-US" w:eastAsia="zh-CN"/>
        </w:rPr>
        <w:t>限额</w:t>
      </w:r>
      <w:r>
        <w:rPr>
          <w:rFonts w:hint="eastAsia" w:ascii="仿宋" w:hAnsi="仿宋" w:eastAsia="仿宋" w:cs="仿宋"/>
          <w:sz w:val="32"/>
          <w:szCs w:val="32"/>
        </w:rPr>
        <w:t>、门诊特殊药品保障限额、日间手术限额共用职工医保统筹基金年度支付限额。超出职工医保年度</w:t>
      </w:r>
      <w:r>
        <w:rPr>
          <w:rFonts w:hint="eastAsia" w:ascii="仿宋" w:hAnsi="仿宋" w:eastAsia="仿宋" w:cs="仿宋"/>
          <w:sz w:val="32"/>
          <w:szCs w:val="32"/>
          <w:lang w:eastAsia="zh-CN"/>
        </w:rPr>
        <w:t>支付</w:t>
      </w:r>
      <w:r>
        <w:rPr>
          <w:rFonts w:hint="eastAsia" w:ascii="仿宋" w:hAnsi="仿宋" w:eastAsia="仿宋" w:cs="仿宋"/>
          <w:sz w:val="32"/>
          <w:szCs w:val="32"/>
        </w:rPr>
        <w:t>限额的</w:t>
      </w:r>
      <w:r>
        <w:rPr>
          <w:rFonts w:hint="eastAsia" w:ascii="仿宋" w:hAnsi="仿宋" w:eastAsia="仿宋" w:cs="仿宋"/>
          <w:sz w:val="32"/>
          <w:szCs w:val="32"/>
          <w:lang w:eastAsia="zh-CN"/>
        </w:rPr>
        <w:t>，</w:t>
      </w:r>
      <w:r>
        <w:rPr>
          <w:rFonts w:hint="eastAsia" w:ascii="仿宋" w:hAnsi="仿宋" w:eastAsia="仿宋" w:cs="仿宋"/>
          <w:sz w:val="32"/>
          <w:szCs w:val="32"/>
        </w:rPr>
        <w:t>纳入职工大额医疗费用补助。</w:t>
      </w:r>
      <w:r>
        <w:rPr>
          <w:rFonts w:hint="eastAsia" w:ascii="仿宋" w:hAnsi="仿宋" w:eastAsia="仿宋" w:cs="仿宋"/>
          <w:sz w:val="32"/>
          <w:szCs w:val="32"/>
          <w:lang w:eastAsia="zh-CN"/>
        </w:rPr>
        <w:t>政策范围内个人自负的费用纳入职工大病保险。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参保人员已办理门诊慢特病的</w:t>
      </w:r>
      <w:r>
        <w:rPr>
          <w:rFonts w:hint="eastAsia" w:ascii="仿宋" w:hAnsi="仿宋" w:eastAsia="仿宋" w:cs="仿宋"/>
          <w:sz w:val="32"/>
          <w:szCs w:val="32"/>
          <w:lang w:eastAsia="zh-CN"/>
        </w:rPr>
        <w:t>，</w:t>
      </w:r>
      <w:r>
        <w:rPr>
          <w:rFonts w:hint="eastAsia" w:ascii="仿宋" w:hAnsi="仿宋" w:eastAsia="仿宋" w:cs="仿宋"/>
          <w:sz w:val="32"/>
          <w:szCs w:val="32"/>
        </w:rPr>
        <w:t>优先按门诊慢特病政策予以保障</w:t>
      </w:r>
      <w:r>
        <w:rPr>
          <w:rFonts w:hint="eastAsia" w:ascii="仿宋" w:hAnsi="仿宋" w:eastAsia="仿宋" w:cs="仿宋"/>
          <w:sz w:val="32"/>
          <w:szCs w:val="32"/>
          <w:lang w:eastAsia="zh-CN"/>
        </w:rPr>
        <w:t>，</w:t>
      </w:r>
      <w:r>
        <w:rPr>
          <w:rFonts w:hint="eastAsia" w:ascii="仿宋" w:hAnsi="仿宋" w:eastAsia="仿宋" w:cs="仿宋"/>
          <w:sz w:val="32"/>
          <w:szCs w:val="32"/>
        </w:rPr>
        <w:t>超出门诊慢特病限额发生的门诊医疗费用</w:t>
      </w:r>
      <w:r>
        <w:rPr>
          <w:rFonts w:hint="eastAsia" w:ascii="仿宋" w:hAnsi="仿宋" w:eastAsia="仿宋" w:cs="仿宋"/>
          <w:sz w:val="32"/>
          <w:szCs w:val="32"/>
          <w:lang w:eastAsia="zh-CN"/>
        </w:rPr>
        <w:t>，</w:t>
      </w:r>
      <w:r>
        <w:rPr>
          <w:rFonts w:hint="eastAsia" w:ascii="仿宋" w:hAnsi="仿宋" w:eastAsia="仿宋" w:cs="仿宋"/>
          <w:sz w:val="32"/>
          <w:szCs w:val="32"/>
        </w:rPr>
        <w:t>按普通门诊保障政策予以保障。参保人员住院期间不重复享受普通门诊保障待遇。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第十六条  </w:t>
      </w:r>
      <w:r>
        <w:rPr>
          <w:rFonts w:hint="eastAsia" w:ascii="仿宋" w:hAnsi="仿宋" w:eastAsia="仿宋" w:cs="仿宋"/>
          <w:sz w:val="32"/>
          <w:szCs w:val="32"/>
          <w:lang w:val="en-US" w:eastAsia="zh-CN"/>
        </w:rPr>
        <w:t>医保经办机构应严格执行医保基金预算管理制度，将职工医保统筹基金支付参保人员门诊医药费用情况纳入年度总额预算范围。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第十七条  </w:t>
      </w:r>
      <w:r>
        <w:rPr>
          <w:rFonts w:hint="eastAsia" w:ascii="仿宋" w:hAnsi="仿宋" w:eastAsia="仿宋" w:cs="仿宋"/>
          <w:sz w:val="32"/>
          <w:szCs w:val="32"/>
          <w:lang w:val="en-US" w:eastAsia="zh-CN"/>
        </w:rPr>
        <w:t>医保经办机构负责建立统一规范的普通门诊保障经办业务流程和费用结算办法，强化基础管理和经办机构内控制度，提高经办服务水平。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第十八条  </w:t>
      </w:r>
      <w:r>
        <w:rPr>
          <w:rFonts w:hint="eastAsia" w:ascii="仿宋" w:hAnsi="仿宋" w:eastAsia="仿宋" w:cs="仿宋"/>
          <w:sz w:val="32"/>
          <w:szCs w:val="32"/>
          <w:lang w:val="en-US" w:eastAsia="zh-CN"/>
        </w:rPr>
        <w:t>门诊共济保障纳入医保服务协议管理。由医保经办机构与定点医药机构签订协议，健全医疗服务监控、分析和考核体系，强化协议管理，引导定点医疗机构规范提供诊疗服务。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第十九条  </w:t>
      </w:r>
      <w:r>
        <w:rPr>
          <w:rFonts w:hint="eastAsia" w:ascii="仿宋" w:hAnsi="仿宋" w:eastAsia="仿宋" w:cs="仿宋"/>
          <w:sz w:val="32"/>
          <w:szCs w:val="32"/>
          <w:lang w:val="en-US" w:eastAsia="zh-CN"/>
        </w:rPr>
        <w:t>完善与门诊共济保障相适应的付费机制。对基层医疗服务可按人头付费，积极探索将按人头付费与慢性病管理相结合；对日间手术及符合条件的门诊特殊病种，推行按病种或按疾病诊断相关分组付费；对不宜打包付费的门诊费用，可按项目付费。科学合理确定医保药品支付标准，引导医疗机构和患者主动使用疗效确切、价格合理的药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第二十条  </w:t>
      </w:r>
      <w:r>
        <w:rPr>
          <w:rFonts w:hint="eastAsia" w:ascii="仿宋" w:hAnsi="仿宋" w:eastAsia="仿宋" w:cs="仿宋"/>
          <w:sz w:val="32"/>
          <w:szCs w:val="32"/>
          <w:lang w:val="en-US" w:eastAsia="zh-CN"/>
        </w:rPr>
        <w:t>通过协同推动基层医疗服务体系建设、完善家庭医生签约服务、规范长期处方管理，引导参保人员在基层就医首诊。结合完善门诊慢特病管理措施，促进基层定点医疗机构规范诊疗及转诊等行为。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第二十一条  </w:t>
      </w:r>
      <w:r>
        <w:rPr>
          <w:rFonts w:hint="eastAsia" w:ascii="仿宋" w:hAnsi="仿宋" w:eastAsia="仿宋" w:cs="仿宋"/>
          <w:sz w:val="32"/>
          <w:szCs w:val="32"/>
          <w:lang w:val="en-US" w:eastAsia="zh-CN"/>
        </w:rPr>
        <w:t>推进门诊费用跨省异地就医直接结算。退休异地定居、长期驻外工作的参保人员进行异地就医备案后，在统筹地区外的异地定点医疗机构门诊就医发生的医疗费用实行联网结算、报销。就医时未能联网结算的，凭其医疗保障凭证、医疗费用发票等材料到参保地医保经办机构办理结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第二十二条  </w:t>
      </w:r>
      <w:r>
        <w:rPr>
          <w:rFonts w:hint="eastAsia" w:ascii="仿宋" w:hAnsi="仿宋" w:eastAsia="仿宋" w:cs="仿宋"/>
          <w:sz w:val="32"/>
          <w:szCs w:val="32"/>
          <w:lang w:val="en-US" w:eastAsia="zh-CN"/>
        </w:rPr>
        <w:t>探索将符合条件的“互联网+”门诊医疗服务纳入门诊共济保障范围，“互联网+”门诊医疗服务的支付比例、单次起付标准、单次支付限额与互联网医院依托的实体医疗机构一致。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第二十三条</w:t>
      </w:r>
      <w:r>
        <w:rPr>
          <w:rFonts w:hint="eastAsia" w:ascii="仿宋" w:hAnsi="仿宋" w:eastAsia="仿宋" w:cs="仿宋"/>
          <w:sz w:val="32"/>
          <w:szCs w:val="32"/>
          <w:lang w:val="en-US" w:eastAsia="zh-CN"/>
        </w:rPr>
        <w:t xml:space="preserve">  参保人员在定点医疗机构门诊所需用药无法满足时，参保人员可以持处方在定点零售药店配药。普通门诊外配处方在定点零售药店购药的，支付比例按二级医疗机构普通门诊的报销比例执行。普通门诊外配处方医保支付管理办法待自治区出台相关规定后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第二十四条  </w:t>
      </w:r>
      <w:r>
        <w:rPr>
          <w:rFonts w:hint="eastAsia" w:ascii="仿宋" w:hAnsi="仿宋" w:eastAsia="仿宋" w:cs="仿宋"/>
          <w:sz w:val="32"/>
          <w:szCs w:val="32"/>
          <w:lang w:val="en-US" w:eastAsia="zh-CN"/>
        </w:rPr>
        <w:t>参保人员急诊、抢救医疗费用报销不受定点医药机构管理、异地就医备案等限制。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第二十五条  </w:t>
      </w:r>
      <w:r>
        <w:rPr>
          <w:rFonts w:hint="eastAsia" w:ascii="仿宋" w:hAnsi="仿宋" w:eastAsia="仿宋" w:cs="仿宋"/>
          <w:sz w:val="32"/>
          <w:szCs w:val="32"/>
          <w:lang w:val="en-US" w:eastAsia="zh-CN"/>
        </w:rPr>
        <w:t>健全完善个人账户使用管理办法，建立对个人账户全流程动态管理机制，加强对个人账户使用、结算等环节的审核、统计。就医地医保部门负责异地门诊就医、个人账户使用等的监督管理。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第二十六条  </w:t>
      </w:r>
      <w:r>
        <w:rPr>
          <w:rFonts w:hint="eastAsia" w:ascii="仿宋" w:hAnsi="仿宋" w:eastAsia="仿宋" w:cs="仿宋"/>
          <w:sz w:val="32"/>
          <w:szCs w:val="32"/>
          <w:lang w:val="en-US" w:eastAsia="zh-CN"/>
        </w:rPr>
        <w:t>强化对医疗行为和医疗费用的监管，综合运用智能监控、现场检查、第三方监管、社会监督等办法，严肃查处“挂床”住院、诱导住院、诱导开药检查等违法违规行为。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第二十七条  </w:t>
      </w:r>
      <w:r>
        <w:rPr>
          <w:rFonts w:hint="eastAsia" w:ascii="仿宋" w:hAnsi="仿宋" w:eastAsia="仿宋" w:cs="仿宋"/>
          <w:sz w:val="32"/>
          <w:szCs w:val="32"/>
          <w:lang w:val="en-US" w:eastAsia="zh-CN"/>
        </w:rPr>
        <w:t>建立医保基金安全防控机制，严厉打击各类欺诈骗保行为，确保基金安全高效、合理使用。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第二十八条  </w:t>
      </w:r>
      <w:r>
        <w:rPr>
          <w:rFonts w:hint="eastAsia" w:ascii="仿宋" w:hAnsi="仿宋" w:eastAsia="仿宋" w:cs="仿宋"/>
          <w:sz w:val="32"/>
          <w:szCs w:val="32"/>
          <w:lang w:val="en-US" w:eastAsia="zh-CN"/>
        </w:rPr>
        <w:t>公务员医疗补助计入职工医保个人账户办法执行原规定。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第二十九条   </w:t>
      </w:r>
      <w:r>
        <w:rPr>
          <w:rFonts w:hint="eastAsia" w:ascii="仿宋" w:hAnsi="仿宋" w:eastAsia="仿宋" w:cs="仿宋"/>
          <w:sz w:val="32"/>
          <w:szCs w:val="32"/>
          <w:lang w:val="en-US" w:eastAsia="zh-CN"/>
        </w:rPr>
        <w:t>参加职工医保的1-6级伤残军人建立个人账户，其在定点医疗机构门诊就医发生的符合“三个目录”的医疗费用，经职工医保门诊共济保障后，剩余部分由优抚对象医疗补助金支付。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 xml:space="preserve">第三十条  </w:t>
      </w:r>
      <w:r>
        <w:rPr>
          <w:rFonts w:hint="eastAsia" w:ascii="仿宋" w:hAnsi="仿宋" w:eastAsia="仿宋" w:cs="仿宋"/>
          <w:sz w:val="32"/>
          <w:szCs w:val="32"/>
          <w:highlight w:val="none"/>
          <w:lang w:val="en-US" w:eastAsia="zh-CN"/>
        </w:rPr>
        <w:t>本实施细则由制定机关负责解释。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 xml:space="preserve">第三十一条  </w:t>
      </w:r>
      <w:r>
        <w:rPr>
          <w:rFonts w:hint="eastAsia" w:ascii="仿宋" w:hAnsi="仿宋" w:eastAsia="仿宋" w:cs="仿宋"/>
          <w:sz w:val="32"/>
          <w:szCs w:val="32"/>
          <w:highlight w:val="none"/>
          <w:lang w:val="en-US" w:eastAsia="zh-CN"/>
        </w:rPr>
        <w:t>本实施细则自公布之日起30日后施行。国家、自治区出台新政策后，以国家、自治区新政策为准。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5NjlhMWE0ZjBmZjVmNmI1MDk0NDNmNjE4ODc0NzUifQ=="/>
  </w:docVars>
  <w:rsids>
    <w:rsidRoot w:val="00000000"/>
    <w:rsid w:val="042F3DB6"/>
    <w:rsid w:val="07CDA52D"/>
    <w:rsid w:val="09236C47"/>
    <w:rsid w:val="0E79291E"/>
    <w:rsid w:val="10AB32ED"/>
    <w:rsid w:val="1E782AF4"/>
    <w:rsid w:val="1F1E1D94"/>
    <w:rsid w:val="23B8A688"/>
    <w:rsid w:val="2EBD707C"/>
    <w:rsid w:val="34731B6E"/>
    <w:rsid w:val="35B790D8"/>
    <w:rsid w:val="3A067679"/>
    <w:rsid w:val="3BBF82A2"/>
    <w:rsid w:val="3F8C4B01"/>
    <w:rsid w:val="3FDBE707"/>
    <w:rsid w:val="4FFBC8E7"/>
    <w:rsid w:val="5DDB6408"/>
    <w:rsid w:val="5E1E20E4"/>
    <w:rsid w:val="5EDD0D46"/>
    <w:rsid w:val="5FFE27B6"/>
    <w:rsid w:val="5FFFA723"/>
    <w:rsid w:val="6FDBAFE5"/>
    <w:rsid w:val="6FE75446"/>
    <w:rsid w:val="77572A90"/>
    <w:rsid w:val="77AEC172"/>
    <w:rsid w:val="77B7CDF9"/>
    <w:rsid w:val="77BF2AEF"/>
    <w:rsid w:val="78FFF8DF"/>
    <w:rsid w:val="795E7B93"/>
    <w:rsid w:val="7ADFC171"/>
    <w:rsid w:val="7BFDA1D5"/>
    <w:rsid w:val="7D5B98A8"/>
    <w:rsid w:val="7D5F5944"/>
    <w:rsid w:val="7F5D55AD"/>
    <w:rsid w:val="7FEB08C1"/>
    <w:rsid w:val="7FF7607C"/>
    <w:rsid w:val="7FFB1ECB"/>
    <w:rsid w:val="9FFFE869"/>
    <w:rsid w:val="AEBD7F92"/>
    <w:rsid w:val="AFFF1512"/>
    <w:rsid w:val="B67F9B5B"/>
    <w:rsid w:val="BA7B23C6"/>
    <w:rsid w:val="BF97403F"/>
    <w:rsid w:val="C7BEBDF5"/>
    <w:rsid w:val="CD9D9328"/>
    <w:rsid w:val="D9FBC202"/>
    <w:rsid w:val="EFFC9315"/>
    <w:rsid w:val="F77EBF4A"/>
    <w:rsid w:val="F7CCFFBC"/>
    <w:rsid w:val="F7ED8E6E"/>
    <w:rsid w:val="F7FFB6FD"/>
    <w:rsid w:val="F987F54A"/>
    <w:rsid w:val="FB5A339D"/>
    <w:rsid w:val="FB774446"/>
    <w:rsid w:val="FDDE6963"/>
    <w:rsid w:val="FDF5A74C"/>
    <w:rsid w:val="FDF7A1F9"/>
    <w:rsid w:val="FDFB4D4F"/>
    <w:rsid w:val="FE734873"/>
    <w:rsid w:val="FF0FA947"/>
    <w:rsid w:val="FFF78BFB"/>
    <w:rsid w:val="FFF88C24"/>
    <w:rsid w:val="FFFB3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spacing w:before="240" w:after="60"/>
      <w:outlineLvl w:val="2"/>
    </w:pPr>
    <w:rPr>
      <w:rFonts w:ascii="Times New Roman" w:hAnsi="Times New Roman" w:eastAsia="Times New Roman" w:cs="Times New Roman"/>
      <w:b/>
      <w:bCs/>
      <w:sz w:val="28"/>
      <w:szCs w:val="28"/>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3609</Words>
  <Characters>3665</Characters>
  <Lines>0</Lines>
  <Paragraphs>0</Paragraphs>
  <TotalTime>2</TotalTime>
  <ScaleCrop>false</ScaleCrop>
  <LinksUpToDate>false</LinksUpToDate>
  <CharactersWithSpaces>3730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2022-01-18T18:29:00Z</dcterms:created>
  <dc:creator>Lenovo</dc:creator>
  <cp:lastModifiedBy>Administrator</cp:lastModifiedBy>
  <cp:lastPrinted>2022-05-31T18:57:00Z</cp:lastPrinted>
  <dcterms:modified xsi:type="dcterms:W3CDTF">2022-07-19T11:18:28Z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91A2A81168034A7EB5A6C0A535950677</vt:lpwstr>
  </property>
</Properties>
</file>