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spacing w:line="570" w:lineRule="exact"/>
        <w:ind w:firstLine="0" w:firstLineChars="0"/>
        <w:jc w:val="center"/>
        <w:rPr>
          <w:rFonts w:hint="default" w:ascii="Times New Roman" w:hAnsi="Times New Roman" w:eastAsia="方正小标宋_GBK" w:cs="Times New Roman"/>
          <w:spacing w:val="6"/>
          <w:sz w:val="40"/>
          <w:szCs w:val="40"/>
          <w:highlight w:val="none"/>
        </w:rPr>
      </w:pPr>
      <w:r>
        <w:rPr>
          <w:rFonts w:hint="default" w:ascii="Times New Roman" w:hAnsi="Times New Roman" w:eastAsia="方正小标宋_GBK" w:cs="Times New Roman"/>
          <w:spacing w:val="6"/>
          <w:sz w:val="40"/>
          <w:szCs w:val="40"/>
          <w:highlight w:val="none"/>
        </w:rPr>
        <w:t>关于2022年度喀什地区及本级财政决算</w:t>
      </w:r>
    </w:p>
    <w:p>
      <w:pPr>
        <w:keepNext/>
        <w:spacing w:line="570" w:lineRule="exact"/>
        <w:ind w:firstLine="0" w:firstLineChars="0"/>
        <w:jc w:val="center"/>
        <w:rPr>
          <w:rFonts w:hint="default" w:ascii="Times New Roman" w:hAnsi="Times New Roman" w:eastAsia="方正小标宋简体" w:cs="Times New Roman"/>
          <w:spacing w:val="6"/>
          <w:sz w:val="40"/>
          <w:szCs w:val="40"/>
          <w:highlight w:val="none"/>
        </w:rPr>
      </w:pPr>
      <w:r>
        <w:rPr>
          <w:rFonts w:hint="default" w:ascii="Times New Roman" w:hAnsi="Times New Roman" w:eastAsia="方正小标宋_GBK" w:cs="Times New Roman"/>
          <w:spacing w:val="6"/>
          <w:sz w:val="40"/>
          <w:szCs w:val="40"/>
          <w:highlight w:val="none"/>
        </w:rPr>
        <w:t>（草案）的报告</w:t>
      </w:r>
    </w:p>
    <w:p>
      <w:pPr>
        <w:keepNext/>
        <w:spacing w:line="570" w:lineRule="exact"/>
        <w:ind w:firstLine="664" w:firstLineChars="200"/>
        <w:jc w:val="both"/>
        <w:rPr>
          <w:rFonts w:hint="default" w:ascii="Times New Roman" w:hAnsi="Times New Roman" w:eastAsia="方正仿宋_GBK" w:cs="Times New Roman"/>
          <w:spacing w:val="6"/>
          <w:sz w:val="32"/>
          <w:szCs w:val="32"/>
          <w:highlight w:val="none"/>
        </w:rPr>
      </w:pPr>
    </w:p>
    <w:p>
      <w:pPr>
        <w:keepNext/>
        <w:spacing w:line="570" w:lineRule="exact"/>
        <w:ind w:firstLine="0" w:firstLineChars="0"/>
        <w:jc w:val="center"/>
        <w:rPr>
          <w:rFonts w:hint="default" w:ascii="Times New Roman" w:hAnsi="Times New Roman" w:eastAsia="方正楷体_GBK" w:cs="Times New Roman"/>
          <w:b/>
          <w:spacing w:val="6"/>
          <w:sz w:val="32"/>
          <w:szCs w:val="32"/>
          <w:highlight w:val="none"/>
        </w:rPr>
      </w:pPr>
      <w:r>
        <w:rPr>
          <w:rFonts w:hint="default" w:ascii="Times New Roman" w:hAnsi="Times New Roman" w:eastAsia="方正楷体_GBK" w:cs="Times New Roman"/>
          <w:b/>
          <w:spacing w:val="6"/>
          <w:sz w:val="32"/>
          <w:szCs w:val="32"/>
          <w:highlight w:val="none"/>
        </w:rPr>
        <w:t>——2023年</w:t>
      </w:r>
      <w:r>
        <w:rPr>
          <w:rFonts w:hint="default" w:ascii="Times New Roman" w:hAnsi="Times New Roman" w:eastAsia="方正楷体_GBK" w:cs="Times New Roman"/>
          <w:b/>
          <w:spacing w:val="6"/>
          <w:sz w:val="32"/>
          <w:szCs w:val="32"/>
          <w:highlight w:val="none"/>
          <w:lang w:val="en-US" w:eastAsia="zh-CN"/>
        </w:rPr>
        <w:t>10</w:t>
      </w:r>
      <w:r>
        <w:rPr>
          <w:rFonts w:hint="default" w:ascii="Times New Roman" w:hAnsi="Times New Roman" w:eastAsia="方正楷体_GBK" w:cs="Times New Roman"/>
          <w:b/>
          <w:spacing w:val="6"/>
          <w:sz w:val="32"/>
          <w:szCs w:val="32"/>
          <w:highlight w:val="none"/>
        </w:rPr>
        <w:t>月</w:t>
      </w:r>
      <w:r>
        <w:rPr>
          <w:rFonts w:hint="default" w:ascii="Times New Roman" w:hAnsi="Times New Roman" w:eastAsia="方正楷体_GBK" w:cs="Times New Roman"/>
          <w:b/>
          <w:spacing w:val="6"/>
          <w:sz w:val="32"/>
          <w:szCs w:val="32"/>
          <w:highlight w:val="none"/>
          <w:lang w:val="en-US" w:eastAsia="zh-CN"/>
        </w:rPr>
        <w:t>25</w:t>
      </w:r>
      <w:r>
        <w:rPr>
          <w:rFonts w:hint="default" w:ascii="Times New Roman" w:hAnsi="Times New Roman" w:eastAsia="方正楷体_GBK" w:cs="Times New Roman"/>
          <w:b/>
          <w:spacing w:val="6"/>
          <w:sz w:val="32"/>
          <w:szCs w:val="32"/>
          <w:highlight w:val="none"/>
        </w:rPr>
        <w:t>日在新疆维吾尔自治区第十</w:t>
      </w:r>
      <w:r>
        <w:rPr>
          <w:rFonts w:hint="default" w:ascii="Times New Roman" w:hAnsi="Times New Roman" w:eastAsia="方正楷体_GBK" w:cs="Times New Roman"/>
          <w:b/>
          <w:spacing w:val="6"/>
          <w:sz w:val="32"/>
          <w:szCs w:val="32"/>
          <w:highlight w:val="none"/>
          <w:lang w:eastAsia="zh-CN"/>
        </w:rPr>
        <w:t>四</w:t>
      </w:r>
      <w:r>
        <w:rPr>
          <w:rFonts w:hint="default" w:ascii="Times New Roman" w:hAnsi="Times New Roman" w:eastAsia="方正楷体_GBK" w:cs="Times New Roman"/>
          <w:b/>
          <w:spacing w:val="6"/>
          <w:sz w:val="32"/>
          <w:szCs w:val="32"/>
          <w:highlight w:val="none"/>
        </w:rPr>
        <w:t>届人大</w:t>
      </w:r>
    </w:p>
    <w:p>
      <w:pPr>
        <w:keepNext/>
        <w:spacing w:line="570" w:lineRule="exact"/>
        <w:ind w:firstLine="0" w:firstLineChars="0"/>
        <w:jc w:val="center"/>
        <w:rPr>
          <w:rFonts w:hint="default" w:ascii="Times New Roman" w:hAnsi="Times New Roman" w:eastAsia="方正楷体_GBK" w:cs="Times New Roman"/>
          <w:b/>
          <w:spacing w:val="6"/>
          <w:sz w:val="32"/>
          <w:szCs w:val="32"/>
          <w:highlight w:val="none"/>
        </w:rPr>
      </w:pPr>
      <w:r>
        <w:rPr>
          <w:rFonts w:hint="default" w:ascii="Times New Roman" w:hAnsi="Times New Roman" w:eastAsia="方正楷体_GBK" w:cs="Times New Roman"/>
          <w:b/>
          <w:spacing w:val="6"/>
          <w:sz w:val="32"/>
          <w:szCs w:val="32"/>
          <w:highlight w:val="none"/>
        </w:rPr>
        <w:t>常委会喀什地区工作委员会第</w:t>
      </w:r>
      <w:r>
        <w:rPr>
          <w:rFonts w:hint="default" w:ascii="Times New Roman" w:hAnsi="Times New Roman" w:eastAsia="方正楷体_GBK" w:cs="Times New Roman"/>
          <w:b/>
          <w:spacing w:val="6"/>
          <w:sz w:val="32"/>
          <w:szCs w:val="32"/>
          <w:highlight w:val="none"/>
          <w:lang w:eastAsia="zh-CN"/>
        </w:rPr>
        <w:t>三次</w:t>
      </w:r>
      <w:r>
        <w:rPr>
          <w:rFonts w:hint="default" w:ascii="Times New Roman" w:hAnsi="Times New Roman" w:eastAsia="方正楷体_GBK" w:cs="Times New Roman"/>
          <w:b/>
          <w:spacing w:val="6"/>
          <w:sz w:val="32"/>
          <w:szCs w:val="32"/>
          <w:highlight w:val="none"/>
        </w:rPr>
        <w:t>会议上</w:t>
      </w:r>
    </w:p>
    <w:p>
      <w:pPr>
        <w:keepNext/>
        <w:spacing w:line="570" w:lineRule="exact"/>
        <w:ind w:firstLine="664" w:firstLineChars="200"/>
        <w:jc w:val="center"/>
        <w:rPr>
          <w:rFonts w:hint="default" w:ascii="Times New Roman" w:hAnsi="Times New Roman" w:eastAsia="方正楷体_GBK" w:cs="Times New Roman"/>
          <w:spacing w:val="6"/>
          <w:sz w:val="32"/>
          <w:szCs w:val="32"/>
          <w:highlight w:val="none"/>
        </w:rPr>
      </w:pPr>
    </w:p>
    <w:p>
      <w:pPr>
        <w:keepNext/>
        <w:spacing w:line="570" w:lineRule="exact"/>
        <w:ind w:firstLine="0" w:firstLineChars="0"/>
        <w:jc w:val="center"/>
        <w:rPr>
          <w:rFonts w:hint="default" w:ascii="Times New Roman" w:hAnsi="Times New Roman" w:eastAsia="方正楷体_GBK" w:cs="Times New Roman"/>
          <w:spacing w:val="6"/>
          <w:sz w:val="32"/>
          <w:szCs w:val="32"/>
          <w:highlight w:val="none"/>
          <w:lang w:val="en-US" w:eastAsia="zh-CN"/>
        </w:rPr>
      </w:pPr>
      <w:r>
        <w:rPr>
          <w:rFonts w:hint="default" w:ascii="Times New Roman" w:hAnsi="Times New Roman" w:eastAsia="方正楷体_GBK" w:cs="Times New Roman"/>
          <w:spacing w:val="6"/>
          <w:sz w:val="32"/>
          <w:szCs w:val="32"/>
          <w:highlight w:val="none"/>
        </w:rPr>
        <w:t xml:space="preserve">地区财政局党组书记、副局长  </w:t>
      </w:r>
      <w:r>
        <w:rPr>
          <w:rFonts w:hint="default" w:ascii="Times New Roman" w:hAnsi="Times New Roman" w:eastAsia="方正楷体_GBK" w:cs="Times New Roman"/>
          <w:spacing w:val="6"/>
          <w:sz w:val="32"/>
          <w:szCs w:val="32"/>
          <w:highlight w:val="none"/>
          <w:lang w:eastAsia="zh-CN"/>
        </w:rPr>
        <w:t>吐鲁洪·托合提</w:t>
      </w:r>
    </w:p>
    <w:p>
      <w:pPr>
        <w:keepNext/>
        <w:spacing w:line="570" w:lineRule="exact"/>
        <w:ind w:firstLine="664" w:firstLineChars="200"/>
        <w:jc w:val="both"/>
        <w:rPr>
          <w:rFonts w:hint="default" w:ascii="Times New Roman" w:hAnsi="Times New Roman" w:eastAsia="方正仿宋_GBK" w:cs="Times New Roman"/>
          <w:spacing w:val="6"/>
          <w:sz w:val="32"/>
          <w:szCs w:val="32"/>
          <w:highlight w:val="none"/>
        </w:rPr>
      </w:pPr>
    </w:p>
    <w:p>
      <w:pPr>
        <w:keepNext/>
        <w:pageBreakBefore w:val="0"/>
        <w:kinsoku/>
        <w:wordWrap/>
        <w:overflowPunct/>
        <w:topLinePunct w:val="0"/>
        <w:bidi w:val="0"/>
        <w:adjustRightInd/>
        <w:spacing w:line="568" w:lineRule="exact"/>
        <w:ind w:firstLine="0" w:firstLineChars="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spacing w:val="6"/>
          <w:sz w:val="32"/>
          <w:szCs w:val="32"/>
          <w:highlight w:val="none"/>
        </w:rPr>
        <w:t>主任、各位副主任、各位委员：</w:t>
      </w:r>
    </w:p>
    <w:p>
      <w:pPr>
        <w:keepNext/>
        <w:pageBreakBefore w:val="0"/>
        <w:kinsoku/>
        <w:wordWrap/>
        <w:overflowPunct/>
        <w:topLinePunct w:val="0"/>
        <w:bidi w:val="0"/>
        <w:adjustRightInd/>
        <w:spacing w:line="568" w:lineRule="exact"/>
        <w:ind w:firstLine="664"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spacing w:val="6"/>
          <w:sz w:val="32"/>
          <w:szCs w:val="32"/>
          <w:highlight w:val="none"/>
        </w:rPr>
        <w:t>根据会议安排，受行署委托，我向会议报告喀什地区及本级2022年财政决算（草案）情况，请予审议。</w:t>
      </w:r>
    </w:p>
    <w:p>
      <w:pPr>
        <w:keepNext/>
        <w:pageBreakBefore w:val="0"/>
        <w:kinsoku/>
        <w:wordWrap/>
        <w:overflowPunct/>
        <w:topLinePunct w:val="0"/>
        <w:bidi w:val="0"/>
        <w:adjustRightInd/>
        <w:spacing w:line="568" w:lineRule="exact"/>
        <w:ind w:firstLine="664" w:firstLineChars="200"/>
        <w:jc w:val="both"/>
        <w:rPr>
          <w:rFonts w:hint="default" w:ascii="Times New Roman" w:hAnsi="Times New Roman" w:eastAsia="方正黑体_GBK" w:cs="Times New Roman"/>
          <w:spacing w:val="6"/>
          <w:sz w:val="32"/>
          <w:szCs w:val="32"/>
          <w:highlight w:val="none"/>
        </w:rPr>
      </w:pPr>
      <w:r>
        <w:rPr>
          <w:rFonts w:hint="default" w:ascii="Times New Roman" w:hAnsi="Times New Roman" w:eastAsia="方正黑体_GBK" w:cs="Times New Roman"/>
          <w:spacing w:val="6"/>
          <w:sz w:val="32"/>
          <w:szCs w:val="32"/>
          <w:highlight w:val="none"/>
        </w:rPr>
        <w:t>一、2022年喀什地区财政预算执行情况</w:t>
      </w:r>
    </w:p>
    <w:p>
      <w:pPr>
        <w:keepNext/>
        <w:pageBreakBefore w:val="0"/>
        <w:kinsoku/>
        <w:wordWrap/>
        <w:overflowPunct/>
        <w:topLinePunct w:val="0"/>
        <w:bidi w:val="0"/>
        <w:adjustRightInd/>
        <w:spacing w:line="568" w:lineRule="exact"/>
        <w:ind w:firstLine="667" w:firstLineChars="200"/>
        <w:jc w:val="both"/>
        <w:rPr>
          <w:rFonts w:hint="default" w:ascii="Times New Roman" w:hAnsi="Times New Roman" w:eastAsia="方正楷体_GBK" w:cs="Times New Roman"/>
          <w:b/>
          <w:spacing w:val="6"/>
          <w:sz w:val="32"/>
          <w:szCs w:val="32"/>
          <w:highlight w:val="none"/>
        </w:rPr>
      </w:pPr>
      <w:r>
        <w:rPr>
          <w:rFonts w:hint="default" w:ascii="Times New Roman" w:hAnsi="Times New Roman" w:eastAsia="方正楷体_GBK" w:cs="Times New Roman"/>
          <w:b/>
          <w:spacing w:val="6"/>
          <w:sz w:val="32"/>
          <w:szCs w:val="32"/>
          <w:highlight w:val="none"/>
        </w:rPr>
        <w:t>（一）一般公共预算执行情况</w:t>
      </w:r>
    </w:p>
    <w:p>
      <w:pPr>
        <w:keepNext/>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b/>
          <w:spacing w:val="6"/>
          <w:sz w:val="32"/>
          <w:szCs w:val="32"/>
          <w:highlight w:val="none"/>
        </w:rPr>
      </w:pPr>
      <w:r>
        <w:rPr>
          <w:rFonts w:hint="default" w:ascii="Times New Roman" w:hAnsi="Times New Roman" w:eastAsia="方正仿宋_GBK" w:cs="Times New Roman"/>
          <w:b/>
          <w:spacing w:val="6"/>
          <w:sz w:val="32"/>
          <w:szCs w:val="32"/>
          <w:highlight w:val="none"/>
        </w:rPr>
        <w:t>1.全地区收支完成情况</w:t>
      </w:r>
    </w:p>
    <w:p>
      <w:pPr>
        <w:keepNext/>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spacing w:val="6"/>
          <w:sz w:val="32"/>
          <w:szCs w:val="32"/>
          <w:highlight w:val="none"/>
        </w:rPr>
        <w:t>收入情况：</w:t>
      </w:r>
      <w:r>
        <w:rPr>
          <w:rFonts w:hint="default" w:ascii="Times New Roman" w:hAnsi="Times New Roman" w:eastAsia="方正仿宋_GBK" w:cs="Times New Roman"/>
          <w:spacing w:val="6"/>
          <w:sz w:val="32"/>
          <w:szCs w:val="32"/>
          <w:highlight w:val="none"/>
        </w:rPr>
        <w:t>一般公共预算总收入791.66亿元，其中：一般公共预算收入74.47亿元，</w:t>
      </w:r>
      <w:r>
        <w:rPr>
          <w:rFonts w:hint="default" w:ascii="Times New Roman" w:hAnsi="Times New Roman" w:eastAsia="方正仿宋_GBK" w:cs="Times New Roman"/>
          <w:color w:val="000000"/>
          <w:spacing w:val="6"/>
          <w:sz w:val="32"/>
          <w:szCs w:val="32"/>
          <w:highlight w:val="none"/>
        </w:rPr>
        <w:t>按自然口径计算增长9.68%，扣除留抵退税因素后增长13.7%。</w:t>
      </w:r>
      <w:r>
        <w:rPr>
          <w:rFonts w:hint="default" w:ascii="Times New Roman" w:hAnsi="Times New Roman" w:eastAsia="方正仿宋_GBK" w:cs="Times New Roman"/>
          <w:spacing w:val="6"/>
          <w:sz w:val="32"/>
          <w:szCs w:val="32"/>
          <w:highlight w:val="none"/>
        </w:rPr>
        <w:t>（其中：</w:t>
      </w:r>
      <w:r>
        <w:rPr>
          <w:rFonts w:hint="default" w:ascii="Times New Roman" w:hAnsi="Times New Roman" w:eastAsia="方正仿宋_GBK" w:cs="Times New Roman"/>
          <w:color w:val="000000"/>
          <w:spacing w:val="6"/>
          <w:sz w:val="32"/>
          <w:szCs w:val="32"/>
          <w:highlight w:val="none"/>
        </w:rPr>
        <w:t>税收收入35.81亿元，按自然口径计算下降12.14%，扣除留抵退税因素后下降4.92%，主要是大规模增值税留抵退税政策的实施造成收入下降；非税收入38.66亿元，增长42.45%，主要是聚焦盘活闲置资产、耕地资源流转、资源保护与利用等重点领域，加大非税收入征缴，实现非税收入应缴尽缴、足额入库</w:t>
      </w:r>
      <w:r>
        <w:rPr>
          <w:rFonts w:hint="default" w:ascii="Times New Roman" w:hAnsi="Times New Roman" w:eastAsia="方正仿宋_GBK" w:cs="Times New Roman"/>
          <w:spacing w:val="6"/>
          <w:sz w:val="32"/>
          <w:szCs w:val="32"/>
          <w:highlight w:val="none"/>
        </w:rPr>
        <w:t>）。上级补助收入599.41亿元（其中：返还性收入3.74亿元，一般性转移支付收入549.23亿元，专项转移支付收入46.44亿元）。地方政府债务转贷收入35.5亿元。上年结余结转38.45亿元。动用预算稳定调节基金17.05亿元。调入资金26.78亿元。</w:t>
      </w:r>
    </w:p>
    <w:p>
      <w:pPr>
        <w:keepNext/>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b/>
          <w:spacing w:val="6"/>
          <w:sz w:val="32"/>
          <w:szCs w:val="32"/>
          <w:highlight w:val="none"/>
        </w:rPr>
      </w:pPr>
      <w:r>
        <w:rPr>
          <w:rFonts w:hint="default" w:ascii="Times New Roman" w:hAnsi="Times New Roman" w:eastAsia="方正仿宋_GBK" w:cs="Times New Roman"/>
          <w:b/>
          <w:spacing w:val="6"/>
          <w:sz w:val="32"/>
          <w:szCs w:val="32"/>
          <w:highlight w:val="none"/>
        </w:rPr>
        <w:t>支出情况：</w:t>
      </w:r>
      <w:r>
        <w:rPr>
          <w:rFonts w:hint="default" w:ascii="Times New Roman" w:hAnsi="Times New Roman" w:eastAsia="方正仿宋_GBK" w:cs="Times New Roman"/>
          <w:spacing w:val="6"/>
          <w:sz w:val="32"/>
          <w:szCs w:val="32"/>
          <w:highlight w:val="none"/>
        </w:rPr>
        <w:t>一般公共预算总支出761.06亿元，其中：一般公共预算支出727.96亿元，同比下降2.78%。上解支出6.75亿元。地方政府债务还本支出9.76亿元。补充预算稳定调节基金16.59亿元。</w:t>
      </w:r>
    </w:p>
    <w:p>
      <w:pPr>
        <w:keepNext/>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spacing w:val="6"/>
          <w:sz w:val="32"/>
          <w:szCs w:val="32"/>
          <w:highlight w:val="none"/>
        </w:rPr>
        <w:t>收支平衡情况：</w:t>
      </w:r>
      <w:r>
        <w:rPr>
          <w:rFonts w:hint="default" w:ascii="Times New Roman" w:hAnsi="Times New Roman" w:eastAsia="方正仿宋_GBK" w:cs="Times New Roman"/>
          <w:spacing w:val="6"/>
          <w:sz w:val="32"/>
          <w:szCs w:val="32"/>
          <w:highlight w:val="none"/>
        </w:rPr>
        <w:t>收支相抵，年终结余结转30.6亿元，其中：结转下年支出30.6亿元，净结余为零。</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spacing w:val="6"/>
          <w:sz w:val="32"/>
          <w:szCs w:val="32"/>
          <w:highlight w:val="none"/>
        </w:rPr>
        <w:t>超（短）收收入安排情况：</w:t>
      </w:r>
      <w:r>
        <w:rPr>
          <w:rFonts w:hint="default" w:ascii="Times New Roman" w:hAnsi="Times New Roman" w:eastAsia="方正仿宋_GBK" w:cs="Times New Roman"/>
          <w:spacing w:val="6"/>
          <w:sz w:val="32"/>
          <w:szCs w:val="32"/>
          <w:highlight w:val="none"/>
        </w:rPr>
        <w:t>一般公共预算收入较年初预算数</w:t>
      </w:r>
      <w:r>
        <w:rPr>
          <w:rFonts w:hint="default" w:ascii="Times New Roman" w:hAnsi="Times New Roman" w:eastAsia="方正仿宋_GBK" w:cs="Times New Roman"/>
          <w:spacing w:val="6"/>
          <w:sz w:val="32"/>
          <w:szCs w:val="32"/>
          <w:highlight w:val="none"/>
          <w:lang w:eastAsia="zh-CN"/>
        </w:rPr>
        <w:t>短</w:t>
      </w:r>
      <w:r>
        <w:rPr>
          <w:rFonts w:hint="default" w:ascii="Times New Roman" w:hAnsi="Times New Roman" w:eastAsia="方正仿宋_GBK" w:cs="Times New Roman"/>
          <w:spacing w:val="6"/>
          <w:sz w:val="32"/>
          <w:szCs w:val="32"/>
          <w:highlight w:val="none"/>
        </w:rPr>
        <w:t>收1.69亿元，其中：喀什市短收1.92亿元，喀什经济开发区短收0.31亿元，莎车县短收0.37亿元，本级和其他10个县超收0.91亿元。按照《中华人民共和国预算法》规定，超收收入补充预算稳定调节基金，短收收入相应调减支出，2022年末全地区未发生新增财政赤字。</w:t>
      </w:r>
    </w:p>
    <w:p>
      <w:pPr>
        <w:keepNext/>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b/>
          <w:spacing w:val="6"/>
          <w:sz w:val="32"/>
          <w:szCs w:val="32"/>
          <w:highlight w:val="none"/>
        </w:rPr>
      </w:pPr>
      <w:r>
        <w:rPr>
          <w:rFonts w:hint="default" w:ascii="Times New Roman" w:hAnsi="Times New Roman" w:eastAsia="方正仿宋_GBK" w:cs="Times New Roman"/>
          <w:b/>
          <w:spacing w:val="6"/>
          <w:sz w:val="32"/>
          <w:szCs w:val="32"/>
          <w:highlight w:val="none"/>
        </w:rPr>
        <w:t>2.地区本级收支完成情况</w:t>
      </w:r>
    </w:p>
    <w:p>
      <w:pPr>
        <w:keepNext/>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spacing w:val="6"/>
          <w:sz w:val="32"/>
          <w:szCs w:val="32"/>
          <w:highlight w:val="none"/>
        </w:rPr>
        <w:t>收入情况：</w:t>
      </w:r>
      <w:r>
        <w:rPr>
          <w:rFonts w:hint="default" w:ascii="Times New Roman" w:hAnsi="Times New Roman" w:eastAsia="方正仿宋_GBK" w:cs="Times New Roman"/>
          <w:spacing w:val="6"/>
          <w:sz w:val="32"/>
          <w:szCs w:val="32"/>
          <w:highlight w:val="none"/>
        </w:rPr>
        <w:t>一般公共预算总收入100.85亿元，其中：一般公共预算收入6.55亿元，增长3.15%。上级补助收入76.65亿元（其中：返还性收入1.65亿元，一般性转移支付收入69.14亿元，专项转移支付收入5.86亿元）。地方政府债务转贷收入2.6亿元。上年结余结转5.23亿元。各县市上解收入0.11亿元。动用预算稳定调节基金8.58亿元。调入资金1.13亿元。</w:t>
      </w:r>
    </w:p>
    <w:p>
      <w:pPr>
        <w:keepNext/>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spacing w:val="6"/>
          <w:sz w:val="32"/>
          <w:szCs w:val="32"/>
          <w:highlight w:val="none"/>
        </w:rPr>
        <w:t>支出情况：</w:t>
      </w:r>
      <w:r>
        <w:rPr>
          <w:rFonts w:hint="default" w:ascii="Times New Roman" w:hAnsi="Times New Roman" w:eastAsia="方正仿宋_GBK" w:cs="Times New Roman"/>
          <w:spacing w:val="6"/>
          <w:sz w:val="32"/>
          <w:szCs w:val="32"/>
          <w:highlight w:val="none"/>
        </w:rPr>
        <w:t>一般公共预算总支出95.04亿元，其中：一般公共预算支出80.57亿元，增长63.79%。补助下级支出1.1亿元。上解支出0.01亿元。补充预算稳定调节基金13.36亿元。</w:t>
      </w:r>
    </w:p>
    <w:p>
      <w:pPr>
        <w:keepNext/>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color w:val="000000"/>
          <w:spacing w:val="6"/>
          <w:sz w:val="32"/>
          <w:szCs w:val="32"/>
          <w:highlight w:val="none"/>
        </w:rPr>
      </w:pPr>
      <w:r>
        <w:rPr>
          <w:rFonts w:hint="default" w:ascii="Times New Roman" w:hAnsi="Times New Roman" w:eastAsia="方正仿宋_GBK" w:cs="Times New Roman"/>
          <w:b/>
          <w:spacing w:val="6"/>
          <w:sz w:val="32"/>
          <w:szCs w:val="32"/>
          <w:highlight w:val="none"/>
        </w:rPr>
        <w:t>收支平衡情况：</w:t>
      </w:r>
      <w:r>
        <w:rPr>
          <w:rFonts w:hint="default" w:ascii="Times New Roman" w:hAnsi="Times New Roman" w:eastAsia="方正仿宋_GBK" w:cs="Times New Roman"/>
          <w:color w:val="000000"/>
          <w:spacing w:val="6"/>
          <w:sz w:val="32"/>
          <w:szCs w:val="32"/>
          <w:highlight w:val="none"/>
        </w:rPr>
        <w:t>收支相抵，年终结余结转5.81亿元，其中：结转下年支出5.81亿元，净结余为零。</w:t>
      </w:r>
    </w:p>
    <w:p>
      <w:pPr>
        <w:keepNext/>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color w:val="000000"/>
          <w:spacing w:val="6"/>
          <w:sz w:val="32"/>
          <w:szCs w:val="32"/>
          <w:highlight w:val="none"/>
          <w:shd w:val="clear" w:color="auto" w:fill="FFFFFF"/>
        </w:rPr>
      </w:pPr>
      <w:r>
        <w:rPr>
          <w:rFonts w:hint="default" w:ascii="Times New Roman" w:hAnsi="Times New Roman" w:eastAsia="方正仿宋_GBK" w:cs="Times New Roman"/>
          <w:b/>
          <w:color w:val="000000"/>
          <w:spacing w:val="6"/>
          <w:sz w:val="32"/>
          <w:szCs w:val="32"/>
          <w:highlight w:val="none"/>
          <w:shd w:val="clear" w:color="auto" w:fill="FFFFFF"/>
        </w:rPr>
        <w:t>需要说明的是：</w:t>
      </w:r>
      <w:r>
        <w:rPr>
          <w:rFonts w:hint="default" w:ascii="Times New Roman" w:hAnsi="Times New Roman" w:eastAsia="方正仿宋_GBK" w:cs="Times New Roman"/>
          <w:color w:val="000000"/>
          <w:spacing w:val="6"/>
          <w:sz w:val="32"/>
          <w:szCs w:val="32"/>
          <w:highlight w:val="none"/>
          <w:shd w:val="clear" w:color="auto" w:fill="FFFFFF"/>
        </w:rPr>
        <w:t>20</w:t>
      </w:r>
      <w:r>
        <w:rPr>
          <w:rFonts w:hint="default" w:ascii="Times New Roman" w:hAnsi="Times New Roman" w:eastAsia="方正仿宋_GBK" w:cs="Times New Roman"/>
          <w:bCs/>
          <w:color w:val="000000"/>
          <w:spacing w:val="6"/>
          <w:sz w:val="32"/>
          <w:szCs w:val="32"/>
          <w:highlight w:val="none"/>
          <w:shd w:val="clear" w:color="auto" w:fill="FFFFFF"/>
        </w:rPr>
        <w:t>21</w:t>
      </w:r>
      <w:r>
        <w:rPr>
          <w:rFonts w:hint="default" w:ascii="Times New Roman" w:hAnsi="Times New Roman" w:eastAsia="方正仿宋_GBK" w:cs="Times New Roman"/>
          <w:color w:val="000000"/>
          <w:spacing w:val="6"/>
          <w:sz w:val="32"/>
          <w:szCs w:val="32"/>
          <w:highlight w:val="none"/>
          <w:shd w:val="clear" w:color="auto" w:fill="FFFFFF"/>
        </w:rPr>
        <w:t>年末预算稳定调节基金余额16.48亿元，</w:t>
      </w:r>
      <w:r>
        <w:rPr>
          <w:rFonts w:hint="default" w:ascii="Times New Roman" w:hAnsi="Times New Roman" w:eastAsia="方正仿宋_GBK" w:cs="Times New Roman"/>
          <w:bCs/>
          <w:color w:val="000000"/>
          <w:spacing w:val="6"/>
          <w:sz w:val="32"/>
          <w:szCs w:val="32"/>
          <w:highlight w:val="none"/>
          <w:shd w:val="clear" w:color="auto" w:fill="FFFFFF"/>
        </w:rPr>
        <w:t>2022年初</w:t>
      </w:r>
      <w:r>
        <w:rPr>
          <w:rFonts w:hint="default" w:ascii="Times New Roman" w:hAnsi="Times New Roman" w:eastAsia="方正仿宋_GBK" w:cs="Times New Roman"/>
          <w:color w:val="000000"/>
          <w:spacing w:val="6"/>
          <w:sz w:val="32"/>
          <w:szCs w:val="32"/>
          <w:highlight w:val="none"/>
          <w:shd w:val="clear" w:color="auto" w:fill="FFFFFF"/>
        </w:rPr>
        <w:t>动用预算稳定调节基金8.58亿元</w:t>
      </w:r>
      <w:r>
        <w:rPr>
          <w:rFonts w:hint="default" w:ascii="Times New Roman" w:hAnsi="Times New Roman" w:eastAsia="方正仿宋_GBK" w:cs="Times New Roman"/>
          <w:bCs/>
          <w:color w:val="000000"/>
          <w:spacing w:val="6"/>
          <w:sz w:val="32"/>
          <w:szCs w:val="32"/>
          <w:highlight w:val="none"/>
          <w:shd w:val="clear" w:color="auto" w:fill="FFFFFF"/>
        </w:rPr>
        <w:t>安排预算</w:t>
      </w:r>
      <w:r>
        <w:rPr>
          <w:rFonts w:hint="default" w:ascii="Times New Roman" w:hAnsi="Times New Roman" w:eastAsia="方正仿宋_GBK" w:cs="Times New Roman"/>
          <w:color w:val="000000"/>
          <w:spacing w:val="6"/>
          <w:sz w:val="32"/>
          <w:szCs w:val="32"/>
          <w:highlight w:val="none"/>
          <w:shd w:val="clear" w:color="auto" w:fill="FFFFFF"/>
        </w:rPr>
        <w:t>，年初动用后预算稳定调节基金余额7.9亿元。</w:t>
      </w:r>
      <w:r>
        <w:rPr>
          <w:rFonts w:hint="default" w:ascii="Times New Roman" w:hAnsi="Times New Roman" w:eastAsia="方正仿宋_GBK" w:cs="Times New Roman"/>
          <w:bCs/>
          <w:color w:val="000000"/>
          <w:spacing w:val="6"/>
          <w:sz w:val="32"/>
          <w:szCs w:val="32"/>
          <w:highlight w:val="none"/>
          <w:shd w:val="clear" w:color="auto" w:fill="FFFFFF"/>
        </w:rPr>
        <w:t>2022年末本级</w:t>
      </w:r>
      <w:r>
        <w:rPr>
          <w:rFonts w:hint="default" w:ascii="Times New Roman" w:hAnsi="Times New Roman" w:eastAsia="方正仿宋_GBK" w:cs="Times New Roman"/>
          <w:spacing w:val="6"/>
          <w:sz w:val="32"/>
          <w:szCs w:val="32"/>
          <w:highlight w:val="none"/>
        </w:rPr>
        <w:t>结余资金13.36亿元补充预算稳定调节基金</w:t>
      </w:r>
      <w:r>
        <w:rPr>
          <w:rFonts w:hint="default" w:ascii="Times New Roman" w:hAnsi="Times New Roman" w:eastAsia="方正仿宋_GBK" w:cs="Times New Roman"/>
          <w:bCs/>
          <w:color w:val="000000"/>
          <w:spacing w:val="6"/>
          <w:sz w:val="32"/>
          <w:szCs w:val="32"/>
          <w:highlight w:val="none"/>
          <w:shd w:val="clear" w:color="auto" w:fill="FFFFFF"/>
        </w:rPr>
        <w:t>（主要包括从政府性基金预算、国有资本经营预算等调入一般公共预算、各部门项目结余资金以及当年一般公共预算超收收入等）</w:t>
      </w:r>
      <w:r>
        <w:rPr>
          <w:rFonts w:hint="default" w:ascii="Times New Roman" w:hAnsi="Times New Roman" w:eastAsia="方正仿宋_GBK" w:cs="Times New Roman"/>
          <w:spacing w:val="6"/>
          <w:sz w:val="32"/>
          <w:szCs w:val="32"/>
          <w:highlight w:val="none"/>
        </w:rPr>
        <w:t>，</w:t>
      </w:r>
      <w:r>
        <w:rPr>
          <w:rFonts w:hint="default" w:ascii="Times New Roman" w:hAnsi="Times New Roman" w:eastAsia="方正仿宋_GBK" w:cs="Times New Roman"/>
          <w:color w:val="000000"/>
          <w:spacing w:val="6"/>
          <w:sz w:val="32"/>
          <w:szCs w:val="32"/>
          <w:highlight w:val="none"/>
          <w:shd w:val="clear" w:color="auto" w:fill="FFFFFF"/>
        </w:rPr>
        <w:t>2022年年末本级预算稳定调节基金余额为21.26亿元。</w:t>
      </w:r>
    </w:p>
    <w:p>
      <w:pPr>
        <w:keepNext/>
        <w:pageBreakBefore w:val="0"/>
        <w:kinsoku/>
        <w:wordWrap/>
        <w:overflowPunct/>
        <w:topLinePunct w:val="0"/>
        <w:bidi w:val="0"/>
        <w:adjustRightInd/>
        <w:spacing w:line="568" w:lineRule="exact"/>
        <w:ind w:firstLine="667" w:firstLineChars="200"/>
        <w:jc w:val="both"/>
        <w:rPr>
          <w:rFonts w:hint="default" w:ascii="Times New Roman" w:hAnsi="Times New Roman" w:eastAsia="方正楷体_GBK" w:cs="Times New Roman"/>
          <w:b/>
          <w:spacing w:val="6"/>
          <w:sz w:val="32"/>
          <w:szCs w:val="32"/>
          <w:highlight w:val="none"/>
        </w:rPr>
      </w:pPr>
      <w:r>
        <w:rPr>
          <w:rFonts w:hint="default" w:ascii="Times New Roman" w:hAnsi="Times New Roman" w:eastAsia="方正楷体_GBK" w:cs="Times New Roman"/>
          <w:b/>
          <w:spacing w:val="6"/>
          <w:sz w:val="32"/>
          <w:szCs w:val="32"/>
          <w:highlight w:val="none"/>
        </w:rPr>
        <w:t>（二）政府性基金预算执行情况</w:t>
      </w:r>
    </w:p>
    <w:p>
      <w:pPr>
        <w:keepNext/>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b/>
          <w:spacing w:val="6"/>
          <w:sz w:val="32"/>
          <w:szCs w:val="32"/>
          <w:highlight w:val="none"/>
        </w:rPr>
      </w:pPr>
      <w:r>
        <w:rPr>
          <w:rFonts w:hint="default" w:ascii="Times New Roman" w:hAnsi="Times New Roman" w:eastAsia="方正仿宋_GBK" w:cs="Times New Roman"/>
          <w:b/>
          <w:spacing w:val="6"/>
          <w:sz w:val="32"/>
          <w:szCs w:val="32"/>
          <w:highlight w:val="none"/>
        </w:rPr>
        <w:t>1.全地区收支完成情况</w:t>
      </w:r>
    </w:p>
    <w:p>
      <w:pPr>
        <w:keepNext/>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spacing w:val="6"/>
          <w:sz w:val="32"/>
          <w:szCs w:val="32"/>
          <w:highlight w:val="none"/>
        </w:rPr>
        <w:t>收入情况：</w:t>
      </w:r>
      <w:r>
        <w:rPr>
          <w:rFonts w:hint="default" w:ascii="Times New Roman" w:hAnsi="Times New Roman" w:eastAsia="方正仿宋_GBK" w:cs="Times New Roman"/>
          <w:spacing w:val="6"/>
          <w:sz w:val="32"/>
          <w:szCs w:val="32"/>
          <w:highlight w:val="none"/>
        </w:rPr>
        <w:t>政府性基金预算总收入201.86亿元，其中：政府性基金预算收入48.25亿</w:t>
      </w:r>
      <w:r>
        <w:rPr>
          <w:rFonts w:hint="default" w:ascii="Times New Roman" w:hAnsi="Times New Roman" w:eastAsia="方正仿宋_GBK" w:cs="Times New Roman"/>
          <w:color w:val="000000"/>
          <w:spacing w:val="6"/>
          <w:sz w:val="32"/>
          <w:szCs w:val="32"/>
          <w:highlight w:val="none"/>
        </w:rPr>
        <w:t>元，上级补助收入1.84亿元，地方政府债务转贷收入150.6亿元，上年结余结转1.17亿元</w:t>
      </w:r>
      <w:r>
        <w:rPr>
          <w:rFonts w:hint="default" w:ascii="Times New Roman" w:hAnsi="Times New Roman" w:eastAsia="方正仿宋_GBK" w:cs="Times New Roman"/>
          <w:spacing w:val="6"/>
          <w:sz w:val="32"/>
          <w:szCs w:val="32"/>
          <w:highlight w:val="none"/>
        </w:rPr>
        <w:t>。</w:t>
      </w:r>
    </w:p>
    <w:p>
      <w:pPr>
        <w:keepNext/>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spacing w:val="6"/>
          <w:sz w:val="32"/>
          <w:szCs w:val="32"/>
          <w:highlight w:val="none"/>
        </w:rPr>
        <w:t>支出情况：</w:t>
      </w:r>
      <w:r>
        <w:rPr>
          <w:rFonts w:hint="default" w:ascii="Times New Roman" w:hAnsi="Times New Roman" w:eastAsia="方正仿宋_GBK" w:cs="Times New Roman"/>
          <w:spacing w:val="6"/>
          <w:sz w:val="32"/>
          <w:szCs w:val="32"/>
          <w:highlight w:val="none"/>
        </w:rPr>
        <w:t>政府性基金预算总支出195.73亿元，其中：政府性基金预算支出169.57亿元，专项债务还本支出0.26亿元，调出资金25.9亿元。</w:t>
      </w:r>
    </w:p>
    <w:p>
      <w:pPr>
        <w:keepNext/>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b/>
          <w:spacing w:val="6"/>
          <w:sz w:val="32"/>
          <w:szCs w:val="32"/>
          <w:highlight w:val="none"/>
        </w:rPr>
      </w:pPr>
      <w:r>
        <w:rPr>
          <w:rFonts w:hint="default" w:ascii="Times New Roman" w:hAnsi="Times New Roman" w:eastAsia="方正仿宋_GBK" w:cs="Times New Roman"/>
          <w:b/>
          <w:spacing w:val="6"/>
          <w:sz w:val="32"/>
          <w:szCs w:val="32"/>
          <w:highlight w:val="none"/>
        </w:rPr>
        <w:t>收支平衡情况：</w:t>
      </w:r>
      <w:r>
        <w:rPr>
          <w:rFonts w:hint="default" w:ascii="Times New Roman" w:hAnsi="Times New Roman" w:eastAsia="方正仿宋_GBK" w:cs="Times New Roman"/>
          <w:spacing w:val="6"/>
          <w:sz w:val="32"/>
          <w:szCs w:val="32"/>
          <w:highlight w:val="none"/>
        </w:rPr>
        <w:t>收支相抵，年终结余结转6.13亿元。</w:t>
      </w:r>
    </w:p>
    <w:p>
      <w:pPr>
        <w:keepNext/>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b/>
          <w:spacing w:val="6"/>
          <w:sz w:val="32"/>
          <w:szCs w:val="32"/>
          <w:highlight w:val="none"/>
        </w:rPr>
      </w:pPr>
      <w:r>
        <w:rPr>
          <w:rFonts w:hint="default" w:ascii="Times New Roman" w:hAnsi="Times New Roman" w:eastAsia="方正仿宋_GBK" w:cs="Times New Roman"/>
          <w:b/>
          <w:spacing w:val="6"/>
          <w:sz w:val="32"/>
          <w:szCs w:val="32"/>
          <w:highlight w:val="none"/>
        </w:rPr>
        <w:t>2.地区本级收支完成情况</w:t>
      </w:r>
    </w:p>
    <w:p>
      <w:pPr>
        <w:keepNext/>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spacing w:val="6"/>
          <w:sz w:val="32"/>
          <w:szCs w:val="32"/>
          <w:highlight w:val="none"/>
        </w:rPr>
        <w:t>收入情况：</w:t>
      </w:r>
      <w:r>
        <w:rPr>
          <w:rFonts w:hint="default" w:ascii="Times New Roman" w:hAnsi="Times New Roman" w:eastAsia="方正仿宋_GBK" w:cs="Times New Roman"/>
          <w:spacing w:val="6"/>
          <w:sz w:val="32"/>
          <w:szCs w:val="32"/>
          <w:highlight w:val="none"/>
        </w:rPr>
        <w:t>政府性基金预算总收入4.62亿元，其中：政府性基金预算收入1.15亿元，上级补助收入0.59亿元，</w:t>
      </w:r>
      <w:r>
        <w:rPr>
          <w:rFonts w:hint="default" w:ascii="Times New Roman" w:hAnsi="Times New Roman" w:eastAsia="方正仿宋_GBK" w:cs="Times New Roman"/>
          <w:color w:val="000000"/>
          <w:spacing w:val="6"/>
          <w:sz w:val="32"/>
          <w:szCs w:val="32"/>
          <w:highlight w:val="none"/>
        </w:rPr>
        <w:t>地方政府债务转贷收入2.6亿元，</w:t>
      </w:r>
      <w:r>
        <w:rPr>
          <w:rFonts w:hint="default" w:ascii="Times New Roman" w:hAnsi="Times New Roman" w:eastAsia="方正仿宋_GBK" w:cs="Times New Roman"/>
          <w:spacing w:val="6"/>
          <w:sz w:val="32"/>
          <w:szCs w:val="32"/>
          <w:highlight w:val="none"/>
        </w:rPr>
        <w:t>上年结余结转0.28亿元。</w:t>
      </w:r>
    </w:p>
    <w:p>
      <w:pPr>
        <w:keepNext/>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spacing w:val="6"/>
          <w:sz w:val="32"/>
          <w:szCs w:val="32"/>
          <w:highlight w:val="none"/>
        </w:rPr>
        <w:t>支出情况：</w:t>
      </w:r>
      <w:r>
        <w:rPr>
          <w:rFonts w:hint="default" w:ascii="Times New Roman" w:hAnsi="Times New Roman" w:eastAsia="方正仿宋_GBK" w:cs="Times New Roman"/>
          <w:spacing w:val="6"/>
          <w:sz w:val="32"/>
          <w:szCs w:val="32"/>
          <w:highlight w:val="none"/>
        </w:rPr>
        <w:t>政府性基金预算总支出4.03亿元，其中：政府性基金预算支出2.91亿元，补助下级支出0.05亿元，调出资金1.07亿元。</w:t>
      </w:r>
    </w:p>
    <w:p>
      <w:pPr>
        <w:keepNext/>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b/>
          <w:spacing w:val="6"/>
          <w:sz w:val="32"/>
          <w:szCs w:val="32"/>
          <w:highlight w:val="none"/>
        </w:rPr>
      </w:pPr>
      <w:r>
        <w:rPr>
          <w:rFonts w:hint="default" w:ascii="Times New Roman" w:hAnsi="Times New Roman" w:eastAsia="方正仿宋_GBK" w:cs="Times New Roman"/>
          <w:b/>
          <w:spacing w:val="6"/>
          <w:sz w:val="32"/>
          <w:szCs w:val="32"/>
          <w:highlight w:val="none"/>
        </w:rPr>
        <w:t>收支平衡情况：</w:t>
      </w:r>
      <w:r>
        <w:rPr>
          <w:rFonts w:hint="default" w:ascii="Times New Roman" w:hAnsi="Times New Roman" w:eastAsia="方正仿宋_GBK" w:cs="Times New Roman"/>
          <w:spacing w:val="6"/>
          <w:sz w:val="32"/>
          <w:szCs w:val="32"/>
          <w:highlight w:val="none"/>
        </w:rPr>
        <w:t>收支相抵，年终结余结转0.59亿元。</w:t>
      </w:r>
    </w:p>
    <w:p>
      <w:pPr>
        <w:keepNext/>
        <w:pageBreakBefore w:val="0"/>
        <w:kinsoku/>
        <w:wordWrap/>
        <w:overflowPunct/>
        <w:topLinePunct w:val="0"/>
        <w:bidi w:val="0"/>
        <w:adjustRightInd/>
        <w:spacing w:line="568" w:lineRule="exact"/>
        <w:ind w:firstLine="667" w:firstLineChars="200"/>
        <w:jc w:val="both"/>
        <w:rPr>
          <w:rFonts w:hint="default" w:ascii="Times New Roman" w:hAnsi="Times New Roman" w:eastAsia="方正楷体_GBK" w:cs="Times New Roman"/>
          <w:b/>
          <w:spacing w:val="6"/>
          <w:sz w:val="32"/>
          <w:szCs w:val="32"/>
          <w:highlight w:val="none"/>
        </w:rPr>
      </w:pPr>
      <w:r>
        <w:rPr>
          <w:rFonts w:hint="default" w:ascii="Times New Roman" w:hAnsi="Times New Roman" w:eastAsia="方正楷体_GBK" w:cs="Times New Roman"/>
          <w:b/>
          <w:spacing w:val="6"/>
          <w:sz w:val="32"/>
          <w:szCs w:val="32"/>
          <w:highlight w:val="none"/>
        </w:rPr>
        <w:t>（三）国有资本经营预算执行情况</w:t>
      </w:r>
    </w:p>
    <w:p>
      <w:pPr>
        <w:keepNext/>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b/>
          <w:spacing w:val="6"/>
          <w:sz w:val="32"/>
          <w:szCs w:val="32"/>
          <w:highlight w:val="none"/>
        </w:rPr>
      </w:pPr>
      <w:r>
        <w:rPr>
          <w:rFonts w:hint="default" w:ascii="Times New Roman" w:hAnsi="Times New Roman" w:eastAsia="方正仿宋_GBK" w:cs="Times New Roman"/>
          <w:b/>
          <w:spacing w:val="6"/>
          <w:sz w:val="32"/>
          <w:szCs w:val="32"/>
          <w:highlight w:val="none"/>
        </w:rPr>
        <w:t>1.全地区收支完成情况</w:t>
      </w:r>
    </w:p>
    <w:p>
      <w:pPr>
        <w:keepNext/>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spacing w:val="6"/>
          <w:sz w:val="32"/>
          <w:szCs w:val="32"/>
          <w:highlight w:val="none"/>
        </w:rPr>
        <w:t>收入情况：</w:t>
      </w:r>
      <w:r>
        <w:rPr>
          <w:rFonts w:hint="default" w:ascii="Times New Roman" w:hAnsi="Times New Roman" w:eastAsia="方正仿宋_GBK" w:cs="Times New Roman"/>
          <w:spacing w:val="6"/>
          <w:sz w:val="32"/>
          <w:szCs w:val="32"/>
          <w:highlight w:val="none"/>
        </w:rPr>
        <w:t>国有资本经营预算总收入1.671亿元，其中：利润收入0.751亿元，股利、股息收入0.095亿元，其他国有资本经营预算收入0.659亿元</w:t>
      </w:r>
      <w:r>
        <w:rPr>
          <w:rFonts w:hint="default" w:ascii="Times New Roman" w:hAnsi="Times New Roman" w:eastAsia="方正仿宋_GBK" w:cs="Times New Roman"/>
          <w:spacing w:val="6"/>
          <w:sz w:val="32"/>
          <w:szCs w:val="32"/>
          <w:highlight w:val="none"/>
          <w:lang w:eastAsia="zh-CN"/>
        </w:rPr>
        <w:t>；</w:t>
      </w:r>
      <w:r>
        <w:rPr>
          <w:rFonts w:hint="default" w:ascii="Times New Roman" w:hAnsi="Times New Roman" w:eastAsia="方正仿宋_GBK" w:cs="Times New Roman"/>
          <w:spacing w:val="6"/>
          <w:sz w:val="32"/>
          <w:szCs w:val="32"/>
          <w:highlight w:val="none"/>
        </w:rPr>
        <w:t>转移支付收入0.013亿元</w:t>
      </w:r>
      <w:r>
        <w:rPr>
          <w:rFonts w:hint="default" w:ascii="Times New Roman" w:hAnsi="Times New Roman" w:eastAsia="方正仿宋_GBK" w:cs="Times New Roman"/>
          <w:spacing w:val="6"/>
          <w:sz w:val="32"/>
          <w:szCs w:val="32"/>
          <w:highlight w:val="none"/>
          <w:lang w:eastAsia="zh-CN"/>
        </w:rPr>
        <w:t>；</w:t>
      </w:r>
      <w:r>
        <w:rPr>
          <w:rFonts w:hint="default" w:ascii="Times New Roman" w:hAnsi="Times New Roman" w:eastAsia="方正仿宋_GBK" w:cs="Times New Roman"/>
          <w:spacing w:val="6"/>
          <w:sz w:val="32"/>
          <w:szCs w:val="32"/>
          <w:highlight w:val="none"/>
        </w:rPr>
        <w:t>上年结余0.153亿元。</w:t>
      </w:r>
    </w:p>
    <w:p>
      <w:pPr>
        <w:keepNext/>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spacing w:val="6"/>
          <w:sz w:val="32"/>
          <w:szCs w:val="32"/>
          <w:highlight w:val="none"/>
        </w:rPr>
        <w:t>支出情况：</w:t>
      </w:r>
      <w:r>
        <w:rPr>
          <w:rFonts w:hint="default" w:ascii="Times New Roman" w:hAnsi="Times New Roman" w:eastAsia="方正仿宋_GBK" w:cs="Times New Roman"/>
          <w:spacing w:val="6"/>
          <w:sz w:val="32"/>
          <w:szCs w:val="32"/>
          <w:highlight w:val="none"/>
        </w:rPr>
        <w:t>国有资本经营预算总支出1.642亿元，其中：解决历史遗留问题及改革成本支出0.025亿元，国有企业资本金注入0.78亿元，其他国有资本经营预算支出0.005亿元</w:t>
      </w:r>
      <w:r>
        <w:rPr>
          <w:rFonts w:hint="default" w:ascii="Times New Roman" w:hAnsi="Times New Roman" w:eastAsia="方正仿宋_GBK" w:cs="Times New Roman"/>
          <w:spacing w:val="6"/>
          <w:sz w:val="32"/>
          <w:szCs w:val="32"/>
          <w:highlight w:val="none"/>
          <w:lang w:eastAsia="zh-CN"/>
        </w:rPr>
        <w:t>；</w:t>
      </w:r>
      <w:r>
        <w:rPr>
          <w:rFonts w:hint="default" w:ascii="Times New Roman" w:hAnsi="Times New Roman" w:eastAsia="方正仿宋_GBK" w:cs="Times New Roman"/>
          <w:spacing w:val="6"/>
          <w:sz w:val="32"/>
          <w:szCs w:val="32"/>
          <w:highlight w:val="none"/>
        </w:rPr>
        <w:t>调出资金0.832亿元。</w:t>
      </w:r>
    </w:p>
    <w:p>
      <w:pPr>
        <w:keepNext/>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b/>
          <w:spacing w:val="6"/>
          <w:sz w:val="32"/>
          <w:szCs w:val="32"/>
          <w:highlight w:val="none"/>
        </w:rPr>
      </w:pPr>
      <w:r>
        <w:rPr>
          <w:rFonts w:hint="default" w:ascii="Times New Roman" w:hAnsi="Times New Roman" w:eastAsia="方正仿宋_GBK" w:cs="Times New Roman"/>
          <w:b/>
          <w:spacing w:val="6"/>
          <w:sz w:val="32"/>
          <w:szCs w:val="32"/>
          <w:highlight w:val="none"/>
        </w:rPr>
        <w:t>收支平衡情况：</w:t>
      </w:r>
      <w:r>
        <w:rPr>
          <w:rFonts w:hint="default" w:ascii="Times New Roman" w:hAnsi="Times New Roman" w:eastAsia="方正仿宋_GBK" w:cs="Times New Roman"/>
          <w:spacing w:val="6"/>
          <w:sz w:val="32"/>
          <w:szCs w:val="32"/>
          <w:highlight w:val="none"/>
        </w:rPr>
        <w:t>收支相抵，年终结余0.029亿元。</w:t>
      </w:r>
    </w:p>
    <w:p>
      <w:pPr>
        <w:keepNext/>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b/>
          <w:spacing w:val="6"/>
          <w:sz w:val="32"/>
          <w:szCs w:val="32"/>
          <w:highlight w:val="none"/>
        </w:rPr>
      </w:pPr>
      <w:r>
        <w:rPr>
          <w:rFonts w:hint="default" w:ascii="Times New Roman" w:hAnsi="Times New Roman" w:eastAsia="方正仿宋_GBK" w:cs="Times New Roman"/>
          <w:b/>
          <w:spacing w:val="6"/>
          <w:sz w:val="32"/>
          <w:szCs w:val="32"/>
          <w:highlight w:val="none"/>
        </w:rPr>
        <w:t>2.地区本级收支完成情况</w:t>
      </w:r>
    </w:p>
    <w:p>
      <w:pPr>
        <w:keepNext/>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spacing w:val="6"/>
          <w:sz w:val="32"/>
          <w:szCs w:val="32"/>
          <w:highlight w:val="none"/>
        </w:rPr>
        <w:t>收入情况：</w:t>
      </w:r>
      <w:r>
        <w:rPr>
          <w:rFonts w:hint="default" w:ascii="Times New Roman" w:hAnsi="Times New Roman" w:eastAsia="方正仿宋_GBK" w:cs="Times New Roman"/>
          <w:spacing w:val="6"/>
          <w:sz w:val="32"/>
          <w:szCs w:val="32"/>
          <w:highlight w:val="none"/>
        </w:rPr>
        <w:t>国有资本经营预算总收入0.269亿元，其中：利润收入0.067亿元，股利、股息收入0.072亿元，上年结余0.13亿元。</w:t>
      </w:r>
    </w:p>
    <w:p>
      <w:pPr>
        <w:keepNext/>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spacing w:val="6"/>
          <w:sz w:val="32"/>
          <w:szCs w:val="32"/>
          <w:highlight w:val="none"/>
        </w:rPr>
        <w:t>支出情况：</w:t>
      </w:r>
      <w:r>
        <w:rPr>
          <w:rFonts w:hint="default" w:ascii="Times New Roman" w:hAnsi="Times New Roman" w:eastAsia="方正仿宋_GBK" w:cs="Times New Roman"/>
          <w:spacing w:val="6"/>
          <w:sz w:val="32"/>
          <w:szCs w:val="32"/>
          <w:highlight w:val="none"/>
        </w:rPr>
        <w:t>国有资本经营预算总支出0.248亿元，其中：国有企业资本金注入0.177亿元，补助下级支出0.012亿元，调出资金0.059亿元。</w:t>
      </w:r>
    </w:p>
    <w:p>
      <w:pPr>
        <w:keepNext/>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spacing w:val="6"/>
          <w:sz w:val="32"/>
          <w:szCs w:val="32"/>
          <w:highlight w:val="none"/>
        </w:rPr>
        <w:t>收支平衡情况：</w:t>
      </w:r>
      <w:r>
        <w:rPr>
          <w:rFonts w:hint="default" w:ascii="Times New Roman" w:hAnsi="Times New Roman" w:eastAsia="方正仿宋_GBK" w:cs="Times New Roman"/>
          <w:spacing w:val="6"/>
          <w:sz w:val="32"/>
          <w:szCs w:val="32"/>
          <w:highlight w:val="none"/>
        </w:rPr>
        <w:t>收支相抵，年终结余0.021亿元。</w:t>
      </w:r>
    </w:p>
    <w:p>
      <w:pPr>
        <w:keepNext/>
        <w:pageBreakBefore w:val="0"/>
        <w:kinsoku/>
        <w:wordWrap/>
        <w:overflowPunct/>
        <w:topLinePunct w:val="0"/>
        <w:bidi w:val="0"/>
        <w:adjustRightInd/>
        <w:spacing w:line="568" w:lineRule="exact"/>
        <w:ind w:firstLine="667" w:firstLineChars="200"/>
        <w:jc w:val="both"/>
        <w:rPr>
          <w:rFonts w:hint="default" w:ascii="Times New Roman" w:hAnsi="Times New Roman" w:eastAsia="方正楷体_GBK" w:cs="Times New Roman"/>
          <w:b/>
          <w:color w:val="000000"/>
          <w:spacing w:val="6"/>
          <w:sz w:val="32"/>
          <w:szCs w:val="32"/>
          <w:highlight w:val="none"/>
        </w:rPr>
      </w:pPr>
      <w:r>
        <w:rPr>
          <w:rFonts w:hint="default" w:ascii="Times New Roman" w:hAnsi="Times New Roman" w:eastAsia="方正楷体_GBK" w:cs="Times New Roman"/>
          <w:b/>
          <w:color w:val="000000"/>
          <w:spacing w:val="6"/>
          <w:sz w:val="32"/>
          <w:szCs w:val="32"/>
          <w:highlight w:val="none"/>
        </w:rPr>
        <w:t>（四）社会保险基金预算执行情况</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spacing w:val="6"/>
          <w:sz w:val="32"/>
          <w:szCs w:val="32"/>
          <w:highlight w:val="none"/>
        </w:rPr>
        <w:t>1.全地区执行情况</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spacing w:val="6"/>
          <w:sz w:val="32"/>
          <w:szCs w:val="32"/>
          <w:highlight w:val="none"/>
        </w:rPr>
        <w:t>收入情况：</w:t>
      </w:r>
      <w:r>
        <w:rPr>
          <w:rFonts w:hint="default" w:ascii="Times New Roman" w:hAnsi="Times New Roman" w:eastAsia="方正仿宋_GBK" w:cs="Times New Roman"/>
          <w:spacing w:val="6"/>
          <w:sz w:val="32"/>
          <w:szCs w:val="32"/>
          <w:highlight w:val="none"/>
        </w:rPr>
        <w:t>社会保险基金总收入287.68亿元，其中：当年社会保险基金收入120.72亿元，上年结余166.96亿元。当年收入完成预算的98.81%，比上年下降0.88%。下降的主要原因是城乡居民基本医疗保险征缴期延长至2023年3月，2022年保险费收入减少2亿元。</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b/>
          <w:spacing w:val="6"/>
          <w:sz w:val="32"/>
          <w:szCs w:val="32"/>
          <w:highlight w:val="none"/>
        </w:rPr>
      </w:pPr>
      <w:r>
        <w:rPr>
          <w:rFonts w:hint="default" w:ascii="Times New Roman" w:hAnsi="Times New Roman" w:eastAsia="方正仿宋_GBK" w:cs="Times New Roman"/>
          <w:b/>
          <w:spacing w:val="6"/>
          <w:sz w:val="32"/>
          <w:szCs w:val="32"/>
          <w:highlight w:val="none"/>
        </w:rPr>
        <w:t>支出情况：</w:t>
      </w:r>
      <w:r>
        <w:rPr>
          <w:rFonts w:hint="default" w:ascii="Times New Roman" w:hAnsi="Times New Roman" w:eastAsia="方正仿宋_GBK" w:cs="Times New Roman"/>
          <w:spacing w:val="6"/>
          <w:sz w:val="32"/>
          <w:szCs w:val="32"/>
          <w:highlight w:val="none"/>
        </w:rPr>
        <w:t>社会保险基金总支出99.52亿元，完成预算的90.1%，比上年增长3.9%。未完成预算的原因是城乡居民2022年新冠疫苗费用预算3.5亿元因自治区未结算未形成支出。</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spacing w:val="6"/>
          <w:sz w:val="32"/>
          <w:szCs w:val="32"/>
          <w:highlight w:val="none"/>
        </w:rPr>
        <w:t>收支平衡情况：</w:t>
      </w:r>
      <w:r>
        <w:rPr>
          <w:rFonts w:hint="default" w:ascii="Times New Roman" w:hAnsi="Times New Roman" w:eastAsia="方正仿宋_GBK" w:cs="Times New Roman"/>
          <w:spacing w:val="6"/>
          <w:sz w:val="32"/>
          <w:szCs w:val="32"/>
          <w:highlight w:val="none"/>
        </w:rPr>
        <w:t>收支相抵，社会保险基金年终结余188.16亿元。</w:t>
      </w:r>
    </w:p>
    <w:p>
      <w:pPr>
        <w:pageBreakBefore w:val="0"/>
        <w:pBdr>
          <w:top w:val="none" w:color="auto" w:sz="0" w:space="1"/>
          <w:left w:val="none" w:color="auto" w:sz="0" w:space="4"/>
          <w:bottom w:val="none" w:color="auto" w:sz="0" w:space="1"/>
          <w:right w:val="none" w:color="auto" w:sz="0" w:space="4"/>
        </w:pBdr>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b/>
          <w:spacing w:val="6"/>
          <w:sz w:val="32"/>
          <w:szCs w:val="32"/>
          <w:highlight w:val="none"/>
        </w:rPr>
      </w:pPr>
      <w:r>
        <w:rPr>
          <w:rFonts w:hint="default" w:ascii="Times New Roman" w:hAnsi="Times New Roman" w:eastAsia="方正仿宋_GBK" w:cs="Times New Roman"/>
          <w:b/>
          <w:spacing w:val="6"/>
          <w:sz w:val="32"/>
          <w:szCs w:val="32"/>
          <w:highlight w:val="none"/>
        </w:rPr>
        <w:t>2.地区本级</w:t>
      </w:r>
      <w:r>
        <w:rPr>
          <w:rFonts w:hint="default" w:ascii="Times New Roman" w:hAnsi="Times New Roman" w:eastAsia="方正仿宋_GBK" w:cs="Times New Roman"/>
          <w:b/>
          <w:bCs/>
          <w:spacing w:val="6"/>
          <w:sz w:val="32"/>
          <w:szCs w:val="32"/>
          <w:highlight w:val="none"/>
        </w:rPr>
        <w:t>执行</w:t>
      </w:r>
      <w:r>
        <w:rPr>
          <w:rFonts w:hint="default" w:ascii="Times New Roman" w:hAnsi="Times New Roman" w:eastAsia="方正仿宋_GBK" w:cs="Times New Roman"/>
          <w:b/>
          <w:spacing w:val="6"/>
          <w:sz w:val="32"/>
          <w:szCs w:val="32"/>
          <w:highlight w:val="none"/>
        </w:rPr>
        <w:t>情况</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b/>
          <w:spacing w:val="6"/>
          <w:sz w:val="32"/>
          <w:szCs w:val="32"/>
          <w:highlight w:val="none"/>
        </w:rPr>
      </w:pPr>
      <w:r>
        <w:rPr>
          <w:rFonts w:hint="default" w:ascii="Times New Roman" w:hAnsi="Times New Roman" w:eastAsia="方正仿宋_GBK" w:cs="Times New Roman"/>
          <w:b/>
          <w:spacing w:val="6"/>
          <w:sz w:val="32"/>
          <w:szCs w:val="32"/>
          <w:highlight w:val="none"/>
        </w:rPr>
        <w:t>收入情况：</w:t>
      </w:r>
      <w:r>
        <w:rPr>
          <w:rFonts w:hint="default" w:ascii="Times New Roman" w:hAnsi="Times New Roman" w:eastAsia="方正仿宋_GBK" w:cs="Times New Roman"/>
          <w:spacing w:val="6"/>
          <w:sz w:val="32"/>
          <w:szCs w:val="32"/>
          <w:highlight w:val="none"/>
        </w:rPr>
        <w:t>社会保险基金总收入197.77亿元，其中：当年社会保险基金收入109.29亿元，上年结余88.48亿元。当年收入完成预算的140.69%，比上年增长50.76%。预算完成率过高和增长的主要原因是：机关事业单位基本养老保险基金自2022年1月1日起实行地区级统收统支，各县市收入全部缴入地区本级。</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spacing w:val="6"/>
          <w:sz w:val="32"/>
          <w:szCs w:val="32"/>
          <w:highlight w:val="none"/>
        </w:rPr>
        <w:t>支出情况：</w:t>
      </w:r>
      <w:r>
        <w:rPr>
          <w:rFonts w:hint="default" w:ascii="Times New Roman" w:hAnsi="Times New Roman" w:eastAsia="方正仿宋_GBK" w:cs="Times New Roman"/>
          <w:spacing w:val="6"/>
          <w:sz w:val="32"/>
          <w:szCs w:val="32"/>
          <w:highlight w:val="none"/>
        </w:rPr>
        <w:t>社会保险基金总支出68.82亿元，完成预算的92.43%，比上年增长10.92%。未完成预算的原因是城乡居民2022年新冠疫苗费用预算3.5亿元因自治区未结算未形成支出。</w:t>
      </w:r>
    </w:p>
    <w:p>
      <w:pPr>
        <w:pageBreakBefore w:val="0"/>
        <w:pBdr>
          <w:top w:val="none" w:color="auto" w:sz="0" w:space="1"/>
          <w:left w:val="none" w:color="auto" w:sz="0" w:space="4"/>
          <w:bottom w:val="none" w:color="auto" w:sz="0" w:space="1"/>
          <w:right w:val="none" w:color="auto" w:sz="0" w:space="4"/>
        </w:pBdr>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spacing w:val="6"/>
          <w:sz w:val="32"/>
          <w:szCs w:val="32"/>
          <w:highlight w:val="none"/>
        </w:rPr>
        <w:t>收支平衡情况：</w:t>
      </w:r>
      <w:r>
        <w:rPr>
          <w:rFonts w:hint="default" w:ascii="Times New Roman" w:hAnsi="Times New Roman" w:eastAsia="方正仿宋_GBK" w:cs="Times New Roman"/>
          <w:spacing w:val="6"/>
          <w:sz w:val="32"/>
          <w:szCs w:val="32"/>
          <w:highlight w:val="none"/>
        </w:rPr>
        <w:t>收支相抵，地区本级社会保险基金年终结余128.95亿元。</w:t>
      </w:r>
    </w:p>
    <w:p>
      <w:pPr>
        <w:pageBreakBefore w:val="0"/>
        <w:pBdr>
          <w:top w:val="none" w:color="auto" w:sz="0" w:space="1"/>
          <w:left w:val="none" w:color="auto" w:sz="0" w:space="4"/>
          <w:bottom w:val="none" w:color="auto" w:sz="0" w:space="1"/>
          <w:right w:val="none" w:color="auto" w:sz="0" w:space="4"/>
        </w:pBdr>
        <w:kinsoku/>
        <w:wordWrap/>
        <w:overflowPunct/>
        <w:topLinePunct w:val="0"/>
        <w:bidi w:val="0"/>
        <w:adjustRightInd/>
        <w:spacing w:line="568" w:lineRule="exact"/>
        <w:ind w:firstLine="664"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spacing w:val="6"/>
          <w:sz w:val="32"/>
          <w:szCs w:val="32"/>
          <w:highlight w:val="none"/>
        </w:rPr>
        <w:t>2022年初，地区人大工委审议通过地区本级社会保险基金预算收入为77.68亿元，因缴费基数政策调整、实行门诊共济保障和城乡居民基本医疗保险集中征缴期延长至2023年3月1日等原因，城镇职工基本医疗保险基金收入调增1.19亿元、城乡居民基本医疗保险基金收入调减7.54亿元，调整后地区本级社会保险基金预算收入71.33亿元。</w:t>
      </w:r>
    </w:p>
    <w:p>
      <w:pPr>
        <w:pageBreakBefore w:val="0"/>
        <w:pBdr>
          <w:top w:val="none" w:color="auto" w:sz="0" w:space="1"/>
          <w:left w:val="none" w:color="auto" w:sz="0" w:space="4"/>
          <w:bottom w:val="none" w:color="auto" w:sz="0" w:space="1"/>
          <w:right w:val="none" w:color="auto" w:sz="0" w:space="4"/>
        </w:pBdr>
        <w:kinsoku/>
        <w:wordWrap/>
        <w:overflowPunct/>
        <w:topLinePunct w:val="0"/>
        <w:bidi w:val="0"/>
        <w:adjustRightInd/>
        <w:spacing w:line="568" w:lineRule="exact"/>
        <w:ind w:firstLine="664"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spacing w:val="6"/>
          <w:sz w:val="32"/>
          <w:szCs w:val="32"/>
          <w:highlight w:val="none"/>
        </w:rPr>
        <w:t>2022年初，地区人大工委审议通过地区本级社会保险基金预算支出为74.46亿元，受2022年新冠疫情影响，定点医疗机构和零售药店8—12月不能正常营业，城乡居民基本医疗保险基金支出调减1.70亿元，调整后地区本级社会保险基金预算支出为72.76亿元。</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bCs/>
          <w:spacing w:val="6"/>
          <w:sz w:val="32"/>
          <w:szCs w:val="32"/>
          <w:highlight w:val="none"/>
        </w:rPr>
        <w:t>需要说明的是：</w:t>
      </w:r>
      <w:r>
        <w:rPr>
          <w:rFonts w:hint="default" w:ascii="Times New Roman" w:hAnsi="Times New Roman" w:eastAsia="方正仿宋_GBK" w:cs="Times New Roman"/>
          <w:b/>
          <w:bCs/>
          <w:spacing w:val="6"/>
          <w:sz w:val="32"/>
          <w:szCs w:val="32"/>
          <w:highlight w:val="none"/>
          <w:lang w:eastAsia="zh-CN"/>
        </w:rPr>
        <w:t>一是</w:t>
      </w:r>
      <w:r>
        <w:rPr>
          <w:rFonts w:hint="default" w:ascii="Times New Roman" w:hAnsi="Times New Roman" w:eastAsia="方正仿宋_GBK" w:cs="Times New Roman"/>
          <w:spacing w:val="6"/>
          <w:sz w:val="32"/>
          <w:szCs w:val="32"/>
          <w:highlight w:val="none"/>
        </w:rPr>
        <w:t>因失业保险基金自2022年1月1日起实行自治区级统收统支，2021年滚存结余收归自治区统一管理，2022年全地区和本级社会保险基金上年结余不含失业保险基金6.58亿元。</w:t>
      </w:r>
      <w:r>
        <w:rPr>
          <w:rFonts w:hint="default" w:ascii="Times New Roman" w:hAnsi="Times New Roman" w:eastAsia="方正仿宋_GBK" w:cs="Times New Roman"/>
          <w:b/>
          <w:bCs/>
          <w:spacing w:val="6"/>
          <w:sz w:val="32"/>
          <w:szCs w:val="32"/>
          <w:highlight w:val="none"/>
        </w:rPr>
        <w:t>二是</w:t>
      </w:r>
      <w:r>
        <w:rPr>
          <w:rFonts w:hint="default" w:ascii="Times New Roman" w:hAnsi="Times New Roman" w:eastAsia="方正仿宋_GBK" w:cs="Times New Roman"/>
          <w:spacing w:val="6"/>
          <w:sz w:val="32"/>
          <w:szCs w:val="32"/>
          <w:highlight w:val="none"/>
        </w:rPr>
        <w:t>目前纳入地区本级财政社保专户管理的除几项社保基金以外，还有城乡医疗救助、机关事业单位养老保险（试点）、公务员医疗、职工大额医疗和以专项资金管理的疾病应急救助基金、人身意外伤害险、精简人员生活补助、职业技能培训和提升资金、从失业金提取的促进就业资金等其他资金，2022年收支完成情况如下：</w:t>
      </w:r>
    </w:p>
    <w:p>
      <w:pPr>
        <w:pageBreakBefore w:val="0"/>
        <w:kinsoku/>
        <w:wordWrap/>
        <w:overflowPunct/>
        <w:topLinePunct w:val="0"/>
        <w:bidi w:val="0"/>
        <w:adjustRightInd/>
        <w:spacing w:line="568" w:lineRule="exact"/>
        <w:ind w:firstLine="664"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spacing w:val="6"/>
          <w:sz w:val="32"/>
          <w:szCs w:val="32"/>
          <w:highlight w:val="none"/>
        </w:rPr>
        <w:t>收入情况：地区本级社保基金财政专户其他资金总收入18.67亿元，其中：当年收入11.63亿元，上年结余7.88亿元。</w:t>
      </w:r>
    </w:p>
    <w:p>
      <w:pPr>
        <w:pageBreakBefore w:val="0"/>
        <w:kinsoku/>
        <w:wordWrap/>
        <w:overflowPunct/>
        <w:topLinePunct w:val="0"/>
        <w:bidi w:val="0"/>
        <w:adjustRightInd/>
        <w:spacing w:line="568" w:lineRule="exact"/>
        <w:ind w:firstLine="664"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spacing w:val="6"/>
          <w:sz w:val="32"/>
          <w:szCs w:val="32"/>
          <w:highlight w:val="none"/>
        </w:rPr>
        <w:t>支出情况：地区本级社保基金财政专户其他资金总支出8.54亿元。</w:t>
      </w:r>
    </w:p>
    <w:p>
      <w:pPr>
        <w:pageBreakBefore w:val="0"/>
        <w:kinsoku/>
        <w:wordWrap/>
        <w:overflowPunct/>
        <w:topLinePunct w:val="0"/>
        <w:bidi w:val="0"/>
        <w:adjustRightInd/>
        <w:spacing w:line="568" w:lineRule="exact"/>
        <w:ind w:firstLine="664"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spacing w:val="6"/>
          <w:sz w:val="32"/>
          <w:szCs w:val="32"/>
          <w:highlight w:val="none"/>
        </w:rPr>
        <w:t>收支平衡情况：收支相抵，地区本级社保基金财政专户其他资金年终结余10.97亿元。</w:t>
      </w:r>
    </w:p>
    <w:p>
      <w:pPr>
        <w:pageBreakBefore w:val="0"/>
        <w:numPr>
          <w:ilvl w:val="0"/>
          <w:numId w:val="1"/>
        </w:numPr>
        <w:kinsoku/>
        <w:wordWrap/>
        <w:overflowPunct/>
        <w:topLinePunct w:val="0"/>
        <w:bidi w:val="0"/>
        <w:adjustRightInd/>
        <w:spacing w:line="568" w:lineRule="exact"/>
        <w:ind w:firstLine="667" w:firstLineChars="200"/>
        <w:jc w:val="both"/>
        <w:rPr>
          <w:rFonts w:hint="default" w:ascii="Times New Roman" w:hAnsi="Times New Roman" w:eastAsia="方正楷体_GBK" w:cs="Times New Roman"/>
          <w:b/>
          <w:spacing w:val="6"/>
          <w:sz w:val="32"/>
          <w:szCs w:val="32"/>
          <w:highlight w:val="none"/>
        </w:rPr>
      </w:pPr>
      <w:r>
        <w:rPr>
          <w:rFonts w:hint="default" w:ascii="Times New Roman" w:hAnsi="Times New Roman" w:eastAsia="方正楷体_GBK" w:cs="Times New Roman"/>
          <w:b/>
          <w:spacing w:val="6"/>
          <w:sz w:val="32"/>
          <w:szCs w:val="32"/>
          <w:highlight w:val="none"/>
        </w:rPr>
        <w:t>政府债务执行情况</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b/>
          <w:spacing w:val="6"/>
          <w:kern w:val="0"/>
          <w:sz w:val="32"/>
          <w:szCs w:val="32"/>
          <w:highlight w:val="none"/>
        </w:rPr>
      </w:pPr>
      <w:r>
        <w:rPr>
          <w:rFonts w:hint="default" w:ascii="Times New Roman" w:hAnsi="Times New Roman" w:eastAsia="方正仿宋_GBK" w:cs="Times New Roman"/>
          <w:b/>
          <w:spacing w:val="6"/>
          <w:kern w:val="0"/>
          <w:sz w:val="32"/>
          <w:szCs w:val="32"/>
          <w:highlight w:val="none"/>
        </w:rPr>
        <w:t>1.全地区政府债务执行情况</w:t>
      </w:r>
    </w:p>
    <w:p>
      <w:pPr>
        <w:pageBreakBefore w:val="0"/>
        <w:kinsoku/>
        <w:wordWrap/>
        <w:overflowPunct/>
        <w:topLinePunct w:val="0"/>
        <w:bidi w:val="0"/>
        <w:adjustRightInd/>
        <w:spacing w:line="568" w:lineRule="exact"/>
        <w:ind w:firstLine="664" w:firstLineChars="200"/>
        <w:jc w:val="both"/>
        <w:rPr>
          <w:rFonts w:hint="default" w:ascii="Times New Roman" w:hAnsi="Times New Roman" w:eastAsia="方正仿宋_GBK" w:cs="Times New Roman"/>
          <w:spacing w:val="6"/>
          <w:kern w:val="0"/>
          <w:sz w:val="32"/>
          <w:szCs w:val="32"/>
          <w:highlight w:val="none"/>
        </w:rPr>
      </w:pPr>
      <w:r>
        <w:rPr>
          <w:rFonts w:hint="default" w:ascii="Times New Roman" w:hAnsi="Times New Roman" w:eastAsia="方正仿宋_GBK" w:cs="Times New Roman"/>
          <w:spacing w:val="6"/>
          <w:kern w:val="0"/>
          <w:sz w:val="32"/>
          <w:szCs w:val="32"/>
          <w:highlight w:val="none"/>
        </w:rPr>
        <w:t>2022年自治区下达并经地区人大工委审议通过喀什地区政府债务总限额629.593亿元，其中：2021年政府债务限额456.777亿元，2022年当年新增政府债务限额173.6亿元，核减限额0.784亿元。</w:t>
      </w:r>
    </w:p>
    <w:p>
      <w:pPr>
        <w:pageBreakBefore w:val="0"/>
        <w:kinsoku/>
        <w:wordWrap/>
        <w:overflowPunct/>
        <w:topLinePunct w:val="0"/>
        <w:bidi w:val="0"/>
        <w:adjustRightInd/>
        <w:spacing w:line="568" w:lineRule="exact"/>
        <w:ind w:firstLine="664" w:firstLineChars="200"/>
        <w:jc w:val="both"/>
        <w:rPr>
          <w:rFonts w:hint="default" w:ascii="Times New Roman" w:hAnsi="Times New Roman" w:eastAsia="方正仿宋_GBK" w:cs="Times New Roman"/>
          <w:spacing w:val="6"/>
          <w:kern w:val="0"/>
          <w:sz w:val="32"/>
          <w:szCs w:val="32"/>
          <w:highlight w:val="none"/>
        </w:rPr>
      </w:pPr>
      <w:r>
        <w:rPr>
          <w:rFonts w:hint="default" w:ascii="Times New Roman" w:hAnsi="Times New Roman" w:eastAsia="方正仿宋_GBK" w:cs="Times New Roman"/>
          <w:spacing w:val="6"/>
          <w:kern w:val="0"/>
          <w:sz w:val="32"/>
          <w:szCs w:val="32"/>
          <w:highlight w:val="none"/>
        </w:rPr>
        <w:t>截至2022年末，全地区政府债务余额602.17亿元，其中：2014年底清理锁定的存量政府债务0.67亿元，自治区转贷政府债券601.5亿元。</w:t>
      </w:r>
    </w:p>
    <w:p>
      <w:pPr>
        <w:pageBreakBefore w:val="0"/>
        <w:kinsoku/>
        <w:wordWrap/>
        <w:overflowPunct/>
        <w:topLinePunct w:val="0"/>
        <w:bidi w:val="0"/>
        <w:adjustRightInd/>
        <w:spacing w:line="568" w:lineRule="exact"/>
        <w:ind w:firstLine="664" w:firstLineChars="200"/>
        <w:jc w:val="both"/>
        <w:rPr>
          <w:rFonts w:hint="default" w:ascii="Times New Roman" w:hAnsi="Times New Roman" w:eastAsia="方正仿宋_GBK" w:cs="Times New Roman"/>
          <w:spacing w:val="6"/>
          <w:kern w:val="0"/>
          <w:sz w:val="32"/>
          <w:szCs w:val="32"/>
          <w:highlight w:val="none"/>
        </w:rPr>
      </w:pPr>
      <w:r>
        <w:rPr>
          <w:rFonts w:hint="default" w:ascii="Times New Roman" w:hAnsi="Times New Roman" w:eastAsia="方正仿宋_GBK" w:cs="Times New Roman"/>
          <w:spacing w:val="6"/>
          <w:kern w:val="0"/>
          <w:sz w:val="32"/>
          <w:szCs w:val="32"/>
          <w:highlight w:val="none"/>
        </w:rPr>
        <w:t>2022年自治区转贷全地区政府债券7批共计186.1亿元，其中：新增债券178.2亿元，再融资债券7.9亿元。新增债券年末结余4.413806亿元。</w:t>
      </w:r>
    </w:p>
    <w:p>
      <w:pPr>
        <w:pageBreakBefore w:val="0"/>
        <w:kinsoku/>
        <w:wordWrap/>
        <w:overflowPunct/>
        <w:topLinePunct w:val="0"/>
        <w:bidi w:val="0"/>
        <w:adjustRightInd/>
        <w:spacing w:line="568" w:lineRule="exact"/>
        <w:ind w:firstLine="664" w:firstLineChars="200"/>
        <w:jc w:val="both"/>
        <w:rPr>
          <w:rFonts w:hint="default" w:ascii="Times New Roman" w:hAnsi="Times New Roman" w:eastAsia="方正仿宋_GBK" w:cs="Times New Roman"/>
          <w:spacing w:val="6"/>
          <w:kern w:val="0"/>
          <w:sz w:val="32"/>
          <w:szCs w:val="32"/>
          <w:highlight w:val="none"/>
        </w:rPr>
      </w:pPr>
      <w:r>
        <w:rPr>
          <w:rFonts w:hint="default" w:ascii="Times New Roman" w:hAnsi="Times New Roman" w:eastAsia="方正仿宋_GBK" w:cs="Times New Roman"/>
          <w:spacing w:val="6"/>
          <w:kern w:val="0"/>
          <w:sz w:val="32"/>
          <w:szCs w:val="32"/>
          <w:highlight w:val="none"/>
        </w:rPr>
        <w:t>2022年全地区偿还政府债务及支付政府债券相关费用共计28.2158亿元，其中：</w:t>
      </w:r>
    </w:p>
    <w:p>
      <w:pPr>
        <w:pageBreakBefore w:val="0"/>
        <w:kinsoku/>
        <w:wordWrap/>
        <w:overflowPunct/>
        <w:topLinePunct w:val="0"/>
        <w:bidi w:val="0"/>
        <w:adjustRightInd/>
        <w:spacing w:line="568" w:lineRule="exact"/>
        <w:ind w:firstLine="664" w:firstLineChars="200"/>
        <w:jc w:val="both"/>
        <w:rPr>
          <w:rFonts w:hint="default" w:ascii="Times New Roman" w:hAnsi="Times New Roman" w:eastAsia="方正仿宋_GBK" w:cs="Times New Roman"/>
          <w:spacing w:val="6"/>
          <w:kern w:val="0"/>
          <w:sz w:val="32"/>
          <w:szCs w:val="32"/>
          <w:highlight w:val="none"/>
        </w:rPr>
      </w:pPr>
      <w:r>
        <w:rPr>
          <w:rFonts w:hint="default" w:ascii="Times New Roman" w:hAnsi="Times New Roman" w:eastAsia="方正仿宋_GBK" w:cs="Times New Roman"/>
          <w:spacing w:val="6"/>
          <w:kern w:val="0"/>
          <w:sz w:val="32"/>
          <w:szCs w:val="32"/>
          <w:highlight w:val="none"/>
        </w:rPr>
        <w:t>（1）偿还到期债券本金10亿元，其中：自有财力偿还2.1亿元，再融资债券偿还7.9亿元。</w:t>
      </w:r>
    </w:p>
    <w:p>
      <w:pPr>
        <w:pageBreakBefore w:val="0"/>
        <w:kinsoku/>
        <w:wordWrap/>
        <w:overflowPunct/>
        <w:topLinePunct w:val="0"/>
        <w:bidi w:val="0"/>
        <w:adjustRightInd/>
        <w:spacing w:line="568" w:lineRule="exact"/>
        <w:ind w:firstLine="664" w:firstLineChars="200"/>
        <w:jc w:val="both"/>
        <w:rPr>
          <w:rFonts w:hint="default" w:ascii="Times New Roman" w:hAnsi="Times New Roman" w:eastAsia="方正仿宋_GBK" w:cs="Times New Roman"/>
          <w:spacing w:val="6"/>
          <w:kern w:val="0"/>
          <w:sz w:val="32"/>
          <w:szCs w:val="32"/>
          <w:highlight w:val="none"/>
        </w:rPr>
      </w:pPr>
      <w:r>
        <w:rPr>
          <w:rFonts w:hint="default" w:ascii="Times New Roman" w:hAnsi="Times New Roman" w:eastAsia="方正仿宋_GBK" w:cs="Times New Roman"/>
          <w:spacing w:val="6"/>
          <w:kern w:val="0"/>
          <w:sz w:val="32"/>
          <w:szCs w:val="32"/>
          <w:highlight w:val="none"/>
        </w:rPr>
        <w:t>（2）偿还2014年底清理锁定的存量政府债务0.12亿元，其中：自有财力偿还0.12亿元。</w:t>
      </w:r>
    </w:p>
    <w:p>
      <w:pPr>
        <w:pageBreakBefore w:val="0"/>
        <w:kinsoku/>
        <w:wordWrap/>
        <w:overflowPunct/>
        <w:topLinePunct w:val="0"/>
        <w:bidi w:val="0"/>
        <w:adjustRightInd/>
        <w:spacing w:line="568" w:lineRule="exact"/>
        <w:ind w:firstLine="664" w:firstLineChars="200"/>
        <w:jc w:val="both"/>
        <w:rPr>
          <w:rFonts w:hint="default" w:ascii="Times New Roman" w:hAnsi="Times New Roman" w:eastAsia="方正仿宋_GBK" w:cs="Times New Roman"/>
          <w:spacing w:val="6"/>
          <w:kern w:val="0"/>
          <w:sz w:val="32"/>
          <w:szCs w:val="32"/>
          <w:highlight w:val="none"/>
        </w:rPr>
      </w:pPr>
      <w:r>
        <w:rPr>
          <w:rFonts w:hint="default" w:ascii="Times New Roman" w:hAnsi="Times New Roman" w:eastAsia="方正仿宋_GBK" w:cs="Times New Roman"/>
          <w:spacing w:val="6"/>
          <w:kern w:val="0"/>
          <w:sz w:val="32"/>
          <w:szCs w:val="32"/>
          <w:highlight w:val="none"/>
        </w:rPr>
        <w:t>（3）支付政府债券利息及兑付手续费17.9亿元。</w:t>
      </w:r>
    </w:p>
    <w:p>
      <w:pPr>
        <w:pageBreakBefore w:val="0"/>
        <w:kinsoku/>
        <w:wordWrap/>
        <w:overflowPunct/>
        <w:topLinePunct w:val="0"/>
        <w:bidi w:val="0"/>
        <w:adjustRightInd/>
        <w:spacing w:line="568" w:lineRule="exact"/>
        <w:ind w:firstLine="664" w:firstLineChars="200"/>
        <w:jc w:val="both"/>
        <w:rPr>
          <w:rFonts w:hint="default" w:ascii="Times New Roman" w:hAnsi="Times New Roman" w:eastAsia="方正仿宋_GBK" w:cs="Times New Roman"/>
          <w:spacing w:val="6"/>
          <w:kern w:val="0"/>
          <w:sz w:val="32"/>
          <w:szCs w:val="32"/>
          <w:highlight w:val="none"/>
        </w:rPr>
      </w:pPr>
      <w:r>
        <w:rPr>
          <w:rFonts w:hint="default" w:ascii="Times New Roman" w:hAnsi="Times New Roman" w:eastAsia="方正仿宋_GBK" w:cs="Times New Roman"/>
          <w:spacing w:val="6"/>
          <w:kern w:val="0"/>
          <w:sz w:val="32"/>
          <w:szCs w:val="32"/>
          <w:highlight w:val="none"/>
        </w:rPr>
        <w:t>（4）支付政府债券发行及登记服务费0.1958亿元。</w:t>
      </w:r>
    </w:p>
    <w:p>
      <w:pPr>
        <w:keepNext/>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b/>
          <w:spacing w:val="6"/>
          <w:kern w:val="0"/>
          <w:sz w:val="32"/>
          <w:szCs w:val="32"/>
          <w:highlight w:val="none"/>
        </w:rPr>
      </w:pPr>
      <w:r>
        <w:rPr>
          <w:rFonts w:hint="default" w:ascii="Times New Roman" w:hAnsi="Times New Roman" w:eastAsia="方正仿宋_GBK" w:cs="Times New Roman"/>
          <w:b/>
          <w:spacing w:val="6"/>
          <w:kern w:val="0"/>
          <w:sz w:val="32"/>
          <w:szCs w:val="32"/>
          <w:highlight w:val="none"/>
        </w:rPr>
        <w:t>2.地区本级政府债务执行情况</w:t>
      </w:r>
    </w:p>
    <w:p>
      <w:pPr>
        <w:keepNext/>
        <w:pageBreakBefore w:val="0"/>
        <w:kinsoku/>
        <w:wordWrap/>
        <w:overflowPunct/>
        <w:topLinePunct w:val="0"/>
        <w:bidi w:val="0"/>
        <w:adjustRightInd/>
        <w:spacing w:line="568" w:lineRule="exact"/>
        <w:ind w:firstLine="664" w:firstLineChars="200"/>
        <w:jc w:val="both"/>
        <w:rPr>
          <w:rFonts w:hint="default" w:ascii="Times New Roman" w:hAnsi="Times New Roman" w:eastAsia="方正仿宋_GBK" w:cs="Times New Roman"/>
          <w:spacing w:val="6"/>
          <w:kern w:val="0"/>
          <w:sz w:val="32"/>
          <w:szCs w:val="32"/>
          <w:highlight w:val="none"/>
        </w:rPr>
      </w:pPr>
      <w:r>
        <w:rPr>
          <w:rFonts w:hint="default" w:ascii="Times New Roman" w:hAnsi="Times New Roman" w:eastAsia="方正仿宋_GBK" w:cs="Times New Roman"/>
          <w:spacing w:val="6"/>
          <w:kern w:val="0"/>
          <w:sz w:val="32"/>
          <w:szCs w:val="32"/>
          <w:highlight w:val="none"/>
        </w:rPr>
        <w:t>2022年自治区下达并经地区人大工委审议通过地区本级政府债务限额16.9668亿元，其中：2021年政府债务限额11.7668亿元，2022年新增政府债务限额5.2亿元。</w:t>
      </w:r>
    </w:p>
    <w:p>
      <w:pPr>
        <w:keepNext/>
        <w:pageBreakBefore w:val="0"/>
        <w:kinsoku/>
        <w:wordWrap/>
        <w:overflowPunct/>
        <w:topLinePunct w:val="0"/>
        <w:bidi w:val="0"/>
        <w:adjustRightInd/>
        <w:spacing w:line="568" w:lineRule="exact"/>
        <w:ind w:firstLine="664" w:firstLineChars="200"/>
        <w:jc w:val="both"/>
        <w:rPr>
          <w:rFonts w:hint="default" w:ascii="Times New Roman" w:hAnsi="Times New Roman" w:eastAsia="方正仿宋_GBK" w:cs="Times New Roman"/>
          <w:spacing w:val="6"/>
          <w:kern w:val="0"/>
          <w:sz w:val="32"/>
          <w:szCs w:val="32"/>
          <w:highlight w:val="none"/>
        </w:rPr>
      </w:pPr>
      <w:r>
        <w:rPr>
          <w:rFonts w:hint="default" w:ascii="Times New Roman" w:hAnsi="Times New Roman" w:eastAsia="方正仿宋_GBK" w:cs="Times New Roman"/>
          <w:spacing w:val="6"/>
          <w:kern w:val="0"/>
          <w:sz w:val="32"/>
          <w:szCs w:val="32"/>
          <w:highlight w:val="none"/>
        </w:rPr>
        <w:t>截至2022年末，地区本级政府债务余额13.44亿元，全部为自治区转贷政府债券。</w:t>
      </w:r>
    </w:p>
    <w:p>
      <w:pPr>
        <w:keepNext/>
        <w:pageBreakBefore w:val="0"/>
        <w:kinsoku/>
        <w:wordWrap/>
        <w:overflowPunct/>
        <w:topLinePunct w:val="0"/>
        <w:bidi w:val="0"/>
        <w:adjustRightInd/>
        <w:spacing w:line="568" w:lineRule="exact"/>
        <w:ind w:firstLine="664" w:firstLineChars="200"/>
        <w:jc w:val="both"/>
        <w:rPr>
          <w:rFonts w:hint="default" w:ascii="Times New Roman" w:hAnsi="Times New Roman" w:eastAsia="方正仿宋_GBK" w:cs="Times New Roman"/>
          <w:spacing w:val="6"/>
          <w:kern w:val="0"/>
          <w:sz w:val="32"/>
          <w:szCs w:val="32"/>
          <w:highlight w:val="none"/>
        </w:rPr>
      </w:pPr>
      <w:r>
        <w:rPr>
          <w:rFonts w:hint="default" w:ascii="Times New Roman" w:hAnsi="Times New Roman" w:eastAsia="方正仿宋_GBK" w:cs="Times New Roman"/>
          <w:spacing w:val="6"/>
          <w:kern w:val="0"/>
          <w:sz w:val="32"/>
          <w:szCs w:val="32"/>
          <w:highlight w:val="none"/>
        </w:rPr>
        <w:t>2022年自治区转贷地区本级政府债券3批共计5.2亿元，当年新增债券结余0.633093亿元。</w:t>
      </w:r>
    </w:p>
    <w:p>
      <w:pPr>
        <w:keepNext/>
        <w:pageBreakBefore w:val="0"/>
        <w:kinsoku/>
        <w:wordWrap/>
        <w:overflowPunct/>
        <w:topLinePunct w:val="0"/>
        <w:bidi w:val="0"/>
        <w:adjustRightInd/>
        <w:spacing w:line="568" w:lineRule="exact"/>
        <w:ind w:firstLine="664" w:firstLineChars="200"/>
        <w:jc w:val="both"/>
        <w:rPr>
          <w:rFonts w:hint="default" w:ascii="Times New Roman" w:hAnsi="Times New Roman" w:eastAsia="方正仿宋_GBK" w:cs="Times New Roman"/>
          <w:spacing w:val="6"/>
          <w:kern w:val="0"/>
          <w:sz w:val="32"/>
          <w:szCs w:val="32"/>
          <w:highlight w:val="none"/>
        </w:rPr>
      </w:pPr>
      <w:r>
        <w:rPr>
          <w:rFonts w:hint="default" w:ascii="Times New Roman" w:hAnsi="Times New Roman" w:eastAsia="方正仿宋_GBK" w:cs="Times New Roman"/>
          <w:spacing w:val="6"/>
          <w:kern w:val="0"/>
          <w:sz w:val="32"/>
          <w:szCs w:val="32"/>
          <w:highlight w:val="none"/>
        </w:rPr>
        <w:t>2022年地区本级用于偿还政府债务及支付政府债券相关费用共计0.39亿元，其中：支付政府债券利息及兑付手续费0.3845亿元；支付债券发行及登记服务费0.0055亿元。</w:t>
      </w:r>
    </w:p>
    <w:p>
      <w:pPr>
        <w:keepNext/>
        <w:pageBreakBefore w:val="0"/>
        <w:kinsoku/>
        <w:wordWrap/>
        <w:overflowPunct/>
        <w:topLinePunct w:val="0"/>
        <w:bidi w:val="0"/>
        <w:adjustRightInd/>
        <w:spacing w:line="568" w:lineRule="exact"/>
        <w:ind w:firstLine="667" w:firstLineChars="200"/>
        <w:jc w:val="both"/>
        <w:rPr>
          <w:rFonts w:hint="default" w:ascii="Times New Roman" w:hAnsi="Times New Roman" w:eastAsia="方正楷体_GBK" w:cs="Times New Roman"/>
          <w:b/>
          <w:spacing w:val="6"/>
          <w:sz w:val="32"/>
          <w:szCs w:val="32"/>
          <w:highlight w:val="none"/>
        </w:rPr>
      </w:pPr>
      <w:r>
        <w:rPr>
          <w:rFonts w:hint="default" w:ascii="Times New Roman" w:hAnsi="Times New Roman" w:eastAsia="方正楷体_GBK" w:cs="Times New Roman"/>
          <w:b/>
          <w:spacing w:val="6"/>
          <w:sz w:val="32"/>
          <w:szCs w:val="32"/>
          <w:highlight w:val="none"/>
        </w:rPr>
        <w:t>（六）部门决算情况</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b/>
          <w:spacing w:val="6"/>
          <w:sz w:val="32"/>
          <w:szCs w:val="32"/>
          <w:highlight w:val="none"/>
        </w:rPr>
      </w:pPr>
      <w:r>
        <w:rPr>
          <w:rFonts w:hint="default" w:ascii="Times New Roman" w:hAnsi="Times New Roman" w:eastAsia="方正仿宋_GBK" w:cs="Times New Roman"/>
          <w:b/>
          <w:spacing w:val="6"/>
          <w:sz w:val="32"/>
          <w:szCs w:val="32"/>
          <w:highlight w:val="none"/>
        </w:rPr>
        <w:t>1.部门决算收支情况</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b/>
          <w:spacing w:val="6"/>
          <w:sz w:val="32"/>
          <w:szCs w:val="32"/>
          <w:highlight w:val="none"/>
        </w:rPr>
      </w:pPr>
      <w:r>
        <w:rPr>
          <w:rFonts w:hint="default" w:ascii="Times New Roman" w:hAnsi="Times New Roman" w:eastAsia="方正仿宋_GBK" w:cs="Times New Roman"/>
          <w:b/>
          <w:spacing w:val="6"/>
          <w:sz w:val="32"/>
          <w:szCs w:val="32"/>
          <w:highlight w:val="none"/>
        </w:rPr>
        <w:t>（1）全地区部门决算收支情况</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b w:val="0"/>
          <w:bCs/>
          <w:spacing w:val="6"/>
          <w:sz w:val="32"/>
          <w:szCs w:val="32"/>
          <w:highlight w:val="none"/>
        </w:rPr>
      </w:pPr>
      <w:r>
        <w:rPr>
          <w:rFonts w:hint="default" w:ascii="Times New Roman" w:hAnsi="Times New Roman" w:eastAsia="方正仿宋_GBK" w:cs="Times New Roman"/>
          <w:b/>
          <w:spacing w:val="6"/>
          <w:sz w:val="32"/>
          <w:szCs w:val="32"/>
          <w:highlight w:val="none"/>
        </w:rPr>
        <w:t>收入</w:t>
      </w:r>
      <w:r>
        <w:rPr>
          <w:rFonts w:hint="default" w:ascii="Times New Roman" w:hAnsi="Times New Roman" w:eastAsia="方正仿宋_GBK" w:cs="Times New Roman"/>
          <w:b/>
          <w:spacing w:val="6"/>
          <w:sz w:val="32"/>
          <w:szCs w:val="32"/>
          <w:highlight w:val="none"/>
          <w:lang w:eastAsia="zh-CN"/>
        </w:rPr>
        <w:t>总计</w:t>
      </w:r>
      <w:r>
        <w:rPr>
          <w:rFonts w:hint="default" w:ascii="Times New Roman" w:hAnsi="Times New Roman" w:eastAsia="方正仿宋_GBK" w:cs="Times New Roman"/>
          <w:b/>
          <w:spacing w:val="6"/>
          <w:sz w:val="32"/>
          <w:szCs w:val="32"/>
          <w:highlight w:val="none"/>
        </w:rPr>
        <w:t>958.04亿元，</w:t>
      </w:r>
      <w:r>
        <w:rPr>
          <w:rFonts w:hint="default" w:ascii="Times New Roman" w:hAnsi="Times New Roman" w:eastAsia="方正仿宋_GBK" w:cs="Times New Roman"/>
          <w:b w:val="0"/>
          <w:bCs/>
          <w:spacing w:val="6"/>
          <w:sz w:val="32"/>
          <w:szCs w:val="32"/>
          <w:highlight w:val="none"/>
        </w:rPr>
        <w:t>其中：年初结转结余9.37亿元，使用非财政拨款结余4.31亿元，财政拨款收入834.26亿元，事业收入51.86亿元，经营收入0.01亿元，其他收入58.23亿元。</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b w:val="0"/>
          <w:bCs/>
          <w:spacing w:val="6"/>
          <w:sz w:val="32"/>
          <w:szCs w:val="32"/>
          <w:highlight w:val="none"/>
          <w:lang w:eastAsia="zh-CN"/>
        </w:rPr>
      </w:pPr>
      <w:r>
        <w:rPr>
          <w:rFonts w:hint="default" w:ascii="Times New Roman" w:hAnsi="Times New Roman" w:eastAsia="方正仿宋_GBK" w:cs="Times New Roman"/>
          <w:b/>
          <w:spacing w:val="6"/>
          <w:sz w:val="32"/>
          <w:szCs w:val="32"/>
          <w:highlight w:val="none"/>
        </w:rPr>
        <w:t>支出</w:t>
      </w:r>
      <w:r>
        <w:rPr>
          <w:rFonts w:hint="default" w:ascii="Times New Roman" w:hAnsi="Times New Roman" w:eastAsia="方正仿宋_GBK" w:cs="Times New Roman"/>
          <w:b/>
          <w:spacing w:val="6"/>
          <w:sz w:val="32"/>
          <w:szCs w:val="32"/>
          <w:highlight w:val="none"/>
          <w:lang w:eastAsia="zh-CN"/>
        </w:rPr>
        <w:t>总计</w:t>
      </w:r>
      <w:r>
        <w:rPr>
          <w:rFonts w:hint="default" w:ascii="Times New Roman" w:hAnsi="Times New Roman" w:eastAsia="方正仿宋_GBK" w:cs="Times New Roman"/>
          <w:b/>
          <w:spacing w:val="6"/>
          <w:sz w:val="32"/>
          <w:szCs w:val="32"/>
          <w:highlight w:val="none"/>
        </w:rPr>
        <w:t>9</w:t>
      </w:r>
      <w:r>
        <w:rPr>
          <w:rFonts w:hint="default" w:ascii="Times New Roman" w:hAnsi="Times New Roman" w:eastAsia="方正仿宋_GBK" w:cs="Times New Roman"/>
          <w:b/>
          <w:spacing w:val="6"/>
          <w:sz w:val="32"/>
          <w:szCs w:val="32"/>
          <w:highlight w:val="none"/>
          <w:lang w:val="en-US" w:eastAsia="zh-CN"/>
        </w:rPr>
        <w:t>48.43</w:t>
      </w:r>
      <w:r>
        <w:rPr>
          <w:rFonts w:hint="default" w:ascii="Times New Roman" w:hAnsi="Times New Roman" w:eastAsia="方正仿宋_GBK" w:cs="Times New Roman"/>
          <w:b/>
          <w:spacing w:val="6"/>
          <w:sz w:val="32"/>
          <w:szCs w:val="32"/>
          <w:highlight w:val="none"/>
        </w:rPr>
        <w:t>亿元，</w:t>
      </w:r>
      <w:r>
        <w:rPr>
          <w:rFonts w:hint="default" w:ascii="Times New Roman" w:hAnsi="Times New Roman" w:eastAsia="方正仿宋_GBK" w:cs="Times New Roman"/>
          <w:b w:val="0"/>
          <w:bCs/>
          <w:spacing w:val="6"/>
          <w:sz w:val="32"/>
          <w:szCs w:val="32"/>
          <w:highlight w:val="none"/>
        </w:rPr>
        <w:t>其中：基本支出339.15亿元，占总支出的35.77%；项目支出609.12亿元，占总支出的64.23%。结余分配0.16亿元</w:t>
      </w:r>
      <w:r>
        <w:rPr>
          <w:rFonts w:hint="default" w:ascii="Times New Roman" w:hAnsi="Times New Roman" w:eastAsia="方正仿宋_GBK" w:cs="Times New Roman"/>
          <w:b w:val="0"/>
          <w:bCs/>
          <w:spacing w:val="6"/>
          <w:sz w:val="32"/>
          <w:szCs w:val="32"/>
          <w:highlight w:val="none"/>
          <w:lang w:eastAsia="zh-CN"/>
        </w:rPr>
        <w:t>。</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b w:val="0"/>
          <w:bCs/>
          <w:spacing w:val="6"/>
          <w:sz w:val="32"/>
          <w:szCs w:val="32"/>
          <w:highlight w:val="none"/>
        </w:rPr>
      </w:pPr>
      <w:r>
        <w:rPr>
          <w:rFonts w:hint="default" w:ascii="Times New Roman" w:hAnsi="Times New Roman" w:eastAsia="方正仿宋_GBK" w:cs="Times New Roman"/>
          <w:b/>
          <w:bCs w:val="0"/>
          <w:spacing w:val="6"/>
          <w:sz w:val="32"/>
          <w:szCs w:val="32"/>
          <w:highlight w:val="none"/>
          <w:lang w:eastAsia="zh-CN"/>
        </w:rPr>
        <w:t>收支相抵，</w:t>
      </w:r>
      <w:r>
        <w:rPr>
          <w:rFonts w:hint="default" w:ascii="Times New Roman" w:hAnsi="Times New Roman" w:eastAsia="方正仿宋_GBK" w:cs="Times New Roman"/>
          <w:b w:val="0"/>
          <w:bCs/>
          <w:spacing w:val="6"/>
          <w:sz w:val="32"/>
          <w:szCs w:val="32"/>
          <w:highlight w:val="none"/>
        </w:rPr>
        <w:t>年末结转和结余9.61亿元。</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b/>
          <w:spacing w:val="6"/>
          <w:sz w:val="32"/>
          <w:szCs w:val="32"/>
          <w:highlight w:val="none"/>
        </w:rPr>
      </w:pPr>
      <w:bookmarkStart w:id="0" w:name="_GoBack"/>
      <w:bookmarkEnd w:id="0"/>
      <w:r>
        <w:rPr>
          <w:rFonts w:hint="default" w:ascii="Times New Roman" w:hAnsi="Times New Roman" w:eastAsia="方正仿宋_GBK" w:cs="Times New Roman"/>
          <w:b/>
          <w:spacing w:val="6"/>
          <w:sz w:val="32"/>
          <w:szCs w:val="32"/>
          <w:highlight w:val="none"/>
        </w:rPr>
        <w:t>（2）地区本级部门决算收支情况</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b/>
          <w:spacing w:val="6"/>
          <w:sz w:val="32"/>
          <w:szCs w:val="32"/>
          <w:highlight w:val="none"/>
        </w:rPr>
      </w:pPr>
      <w:r>
        <w:rPr>
          <w:rFonts w:hint="default" w:ascii="Times New Roman" w:hAnsi="Times New Roman" w:eastAsia="方正仿宋_GBK" w:cs="Times New Roman"/>
          <w:b/>
          <w:spacing w:val="6"/>
          <w:sz w:val="32"/>
          <w:szCs w:val="32"/>
          <w:highlight w:val="none"/>
        </w:rPr>
        <w:t>收入</w:t>
      </w:r>
      <w:r>
        <w:rPr>
          <w:rFonts w:hint="default" w:ascii="Times New Roman" w:hAnsi="Times New Roman" w:eastAsia="方正仿宋_GBK" w:cs="Times New Roman"/>
          <w:b/>
          <w:spacing w:val="6"/>
          <w:sz w:val="32"/>
          <w:szCs w:val="32"/>
          <w:highlight w:val="none"/>
          <w:lang w:eastAsia="zh-CN"/>
        </w:rPr>
        <w:t>总计</w:t>
      </w:r>
      <w:r>
        <w:rPr>
          <w:rFonts w:hint="default" w:ascii="Times New Roman" w:hAnsi="Times New Roman" w:eastAsia="方正仿宋_GBK" w:cs="Times New Roman"/>
          <w:b/>
          <w:spacing w:val="6"/>
          <w:sz w:val="32"/>
          <w:szCs w:val="32"/>
          <w:highlight w:val="none"/>
        </w:rPr>
        <w:t>83.90亿元，</w:t>
      </w:r>
      <w:r>
        <w:rPr>
          <w:rFonts w:hint="default" w:ascii="Times New Roman" w:hAnsi="Times New Roman" w:eastAsia="方正仿宋_GBK" w:cs="Times New Roman"/>
          <w:b w:val="0"/>
          <w:bCs/>
          <w:spacing w:val="6"/>
          <w:sz w:val="32"/>
          <w:szCs w:val="32"/>
          <w:highlight w:val="none"/>
        </w:rPr>
        <w:t>其中：年初结转结余5.35亿元，使用非财政拨款结余0.28亿元，财政拨款收入51.26亿元，事业收入20.91亿元；其他收入6.10亿元。</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b w:val="0"/>
          <w:bCs/>
          <w:spacing w:val="6"/>
          <w:sz w:val="32"/>
          <w:szCs w:val="32"/>
          <w:highlight w:val="none"/>
          <w:lang w:eastAsia="zh-CN"/>
        </w:rPr>
      </w:pPr>
      <w:r>
        <w:rPr>
          <w:rFonts w:hint="default" w:ascii="Times New Roman" w:hAnsi="Times New Roman" w:eastAsia="方正仿宋_GBK" w:cs="Times New Roman"/>
          <w:b/>
          <w:spacing w:val="6"/>
          <w:sz w:val="32"/>
          <w:szCs w:val="32"/>
          <w:highlight w:val="none"/>
        </w:rPr>
        <w:t>支出</w:t>
      </w:r>
      <w:r>
        <w:rPr>
          <w:rFonts w:hint="default" w:ascii="Times New Roman" w:hAnsi="Times New Roman" w:eastAsia="方正仿宋_GBK" w:cs="Times New Roman"/>
          <w:b/>
          <w:spacing w:val="6"/>
          <w:sz w:val="32"/>
          <w:szCs w:val="32"/>
          <w:highlight w:val="none"/>
          <w:lang w:eastAsia="zh-CN"/>
        </w:rPr>
        <w:t>总计</w:t>
      </w:r>
      <w:r>
        <w:rPr>
          <w:rFonts w:hint="default" w:ascii="Times New Roman" w:hAnsi="Times New Roman" w:eastAsia="方正仿宋_GBK" w:cs="Times New Roman"/>
          <w:b/>
          <w:spacing w:val="6"/>
          <w:sz w:val="32"/>
          <w:szCs w:val="32"/>
          <w:highlight w:val="none"/>
          <w:lang w:val="en-US" w:eastAsia="zh-CN"/>
        </w:rPr>
        <w:t>78.76</w:t>
      </w:r>
      <w:r>
        <w:rPr>
          <w:rFonts w:hint="default" w:ascii="Times New Roman" w:hAnsi="Times New Roman" w:eastAsia="方正仿宋_GBK" w:cs="Times New Roman"/>
          <w:b/>
          <w:spacing w:val="6"/>
          <w:sz w:val="32"/>
          <w:szCs w:val="32"/>
          <w:highlight w:val="none"/>
        </w:rPr>
        <w:t>亿元，</w:t>
      </w:r>
      <w:r>
        <w:rPr>
          <w:rFonts w:hint="default" w:ascii="Times New Roman" w:hAnsi="Times New Roman" w:eastAsia="方正仿宋_GBK" w:cs="Times New Roman"/>
          <w:b w:val="0"/>
          <w:bCs/>
          <w:spacing w:val="6"/>
          <w:sz w:val="32"/>
          <w:szCs w:val="32"/>
          <w:highlight w:val="none"/>
        </w:rPr>
        <w:t>其中:基本支出46.78亿元，占总支出的59.49%；项目支出31.87元，占总支出的40.5</w:t>
      </w:r>
      <w:r>
        <w:rPr>
          <w:rFonts w:hint="default" w:ascii="Times New Roman" w:hAnsi="Times New Roman" w:cs="Times New Roman"/>
          <w:b w:val="0"/>
          <w:bCs/>
          <w:spacing w:val="6"/>
          <w:sz w:val="32"/>
          <w:szCs w:val="32"/>
          <w:highlight w:val="none"/>
          <w:lang w:val="en-US" w:eastAsia="zh-CN"/>
        </w:rPr>
        <w:t>1</w:t>
      </w:r>
      <w:r>
        <w:rPr>
          <w:rFonts w:hint="default" w:ascii="Times New Roman" w:hAnsi="Times New Roman" w:eastAsia="方正仿宋_GBK" w:cs="Times New Roman"/>
          <w:b w:val="0"/>
          <w:bCs/>
          <w:spacing w:val="6"/>
          <w:sz w:val="32"/>
          <w:szCs w:val="32"/>
          <w:highlight w:val="none"/>
        </w:rPr>
        <w:t>%，结余分配0.11亿元</w:t>
      </w:r>
      <w:r>
        <w:rPr>
          <w:rFonts w:hint="default" w:ascii="Times New Roman" w:hAnsi="Times New Roman" w:eastAsia="方正仿宋_GBK" w:cs="Times New Roman"/>
          <w:b w:val="0"/>
          <w:bCs/>
          <w:spacing w:val="6"/>
          <w:sz w:val="32"/>
          <w:szCs w:val="32"/>
          <w:highlight w:val="none"/>
          <w:lang w:eastAsia="zh-CN"/>
        </w:rPr>
        <w:t>。</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b/>
          <w:spacing w:val="6"/>
          <w:sz w:val="32"/>
          <w:szCs w:val="32"/>
          <w:highlight w:val="none"/>
        </w:rPr>
      </w:pPr>
      <w:r>
        <w:rPr>
          <w:rFonts w:hint="default" w:ascii="Times New Roman" w:hAnsi="Times New Roman" w:eastAsia="方正仿宋_GBK" w:cs="Times New Roman"/>
          <w:b/>
          <w:bCs w:val="0"/>
          <w:spacing w:val="6"/>
          <w:sz w:val="32"/>
          <w:szCs w:val="32"/>
          <w:highlight w:val="none"/>
          <w:lang w:eastAsia="zh-CN"/>
        </w:rPr>
        <w:t>收支相抵，</w:t>
      </w:r>
      <w:r>
        <w:rPr>
          <w:rFonts w:hint="default" w:ascii="Times New Roman" w:hAnsi="Times New Roman" w:eastAsia="方正仿宋_GBK" w:cs="Times New Roman"/>
          <w:b w:val="0"/>
          <w:bCs/>
          <w:spacing w:val="6"/>
          <w:sz w:val="32"/>
          <w:szCs w:val="32"/>
          <w:highlight w:val="none"/>
        </w:rPr>
        <w:t>年末结转和结余</w:t>
      </w:r>
      <w:r>
        <w:rPr>
          <w:rFonts w:hint="default" w:ascii="Times New Roman" w:hAnsi="Times New Roman" w:eastAsia="方正仿宋_GBK" w:cs="Times New Roman"/>
          <w:b w:val="0"/>
          <w:bCs/>
          <w:spacing w:val="6"/>
          <w:sz w:val="32"/>
          <w:szCs w:val="32"/>
          <w:highlight w:val="none"/>
          <w:lang w:val="en-US" w:eastAsia="zh-CN"/>
        </w:rPr>
        <w:t>5.14</w:t>
      </w:r>
      <w:r>
        <w:rPr>
          <w:rFonts w:hint="default" w:ascii="Times New Roman" w:hAnsi="Times New Roman" w:eastAsia="方正仿宋_GBK" w:cs="Times New Roman"/>
          <w:b w:val="0"/>
          <w:bCs/>
          <w:spacing w:val="6"/>
          <w:sz w:val="32"/>
          <w:szCs w:val="32"/>
          <w:highlight w:val="none"/>
        </w:rPr>
        <w:t>亿元。</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b/>
          <w:spacing w:val="6"/>
          <w:sz w:val="32"/>
          <w:szCs w:val="32"/>
          <w:highlight w:val="none"/>
        </w:rPr>
      </w:pPr>
      <w:r>
        <w:rPr>
          <w:rFonts w:hint="default" w:ascii="Times New Roman" w:hAnsi="Times New Roman" w:eastAsia="方正仿宋_GBK" w:cs="Times New Roman"/>
          <w:b/>
          <w:spacing w:val="6"/>
          <w:sz w:val="32"/>
          <w:szCs w:val="32"/>
          <w:highlight w:val="none"/>
        </w:rPr>
        <w:t>2.一般公共预算拨款“三公”经费支出情况</w:t>
      </w:r>
    </w:p>
    <w:p>
      <w:pPr>
        <w:pageBreakBefore w:val="0"/>
        <w:kinsoku/>
        <w:wordWrap/>
        <w:overflowPunct/>
        <w:topLinePunct w:val="0"/>
        <w:bidi w:val="0"/>
        <w:adjustRightInd/>
        <w:spacing w:line="568" w:lineRule="exact"/>
        <w:ind w:firstLine="664" w:firstLineChars="200"/>
        <w:jc w:val="both"/>
        <w:rPr>
          <w:rFonts w:hint="default" w:ascii="Times New Roman" w:hAnsi="Times New Roman" w:eastAsia="方正仿宋_GBK" w:cs="Times New Roman"/>
          <w:color w:val="000000"/>
          <w:spacing w:val="6"/>
          <w:sz w:val="32"/>
          <w:szCs w:val="32"/>
          <w:highlight w:val="none"/>
        </w:rPr>
      </w:pPr>
      <w:r>
        <w:rPr>
          <w:rFonts w:hint="default" w:ascii="Times New Roman" w:hAnsi="Times New Roman" w:eastAsia="方正仿宋_GBK" w:cs="Times New Roman"/>
          <w:color w:val="000000"/>
          <w:spacing w:val="6"/>
          <w:sz w:val="32"/>
          <w:szCs w:val="32"/>
          <w:highlight w:val="none"/>
        </w:rPr>
        <w:t>（1）全地区一般公共预算拨款“三公”经费支出0.82亿元，同比下降12.77%。其中：</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color w:val="000000"/>
          <w:spacing w:val="6"/>
          <w:sz w:val="32"/>
          <w:szCs w:val="32"/>
          <w:highlight w:val="none"/>
        </w:rPr>
      </w:pPr>
      <w:r>
        <w:rPr>
          <w:rFonts w:hint="default" w:ascii="Times New Roman" w:hAnsi="Times New Roman" w:eastAsia="方正仿宋_GBK" w:cs="Times New Roman"/>
          <w:b/>
          <w:bCs/>
          <w:color w:val="000000"/>
          <w:spacing w:val="6"/>
          <w:sz w:val="32"/>
          <w:szCs w:val="32"/>
          <w:highlight w:val="none"/>
        </w:rPr>
        <w:t>—因公出国（境）</w:t>
      </w:r>
      <w:r>
        <w:rPr>
          <w:rFonts w:hint="default" w:ascii="Times New Roman" w:hAnsi="Times New Roman" w:eastAsia="方正仿宋_GBK" w:cs="Times New Roman"/>
          <w:color w:val="000000"/>
          <w:spacing w:val="6"/>
          <w:sz w:val="32"/>
          <w:szCs w:val="32"/>
          <w:highlight w:val="none"/>
        </w:rPr>
        <w:t>支出0亿元。</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color w:val="000000"/>
          <w:spacing w:val="6"/>
          <w:sz w:val="32"/>
          <w:szCs w:val="32"/>
          <w:highlight w:val="none"/>
        </w:rPr>
      </w:pPr>
      <w:r>
        <w:rPr>
          <w:rFonts w:hint="default" w:ascii="Times New Roman" w:hAnsi="Times New Roman" w:eastAsia="方正仿宋_GBK" w:cs="Times New Roman"/>
          <w:b/>
          <w:bCs/>
          <w:color w:val="000000"/>
          <w:spacing w:val="6"/>
          <w:sz w:val="32"/>
          <w:szCs w:val="32"/>
          <w:highlight w:val="none"/>
        </w:rPr>
        <w:t>—公务用车购置及运行维护费</w:t>
      </w:r>
      <w:r>
        <w:rPr>
          <w:rFonts w:hint="default" w:ascii="Times New Roman" w:hAnsi="Times New Roman" w:eastAsia="方正仿宋_GBK" w:cs="Times New Roman"/>
          <w:color w:val="000000"/>
          <w:spacing w:val="6"/>
          <w:sz w:val="32"/>
          <w:szCs w:val="32"/>
          <w:highlight w:val="none"/>
        </w:rPr>
        <w:t>支出0.75亿元，同比下降12.79%，其中：公务用车购置费支出0.02亿元，同比下降83.33%；公务用车运行维护费支出0.73亿元，同比下降1.35%。</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color w:val="000000"/>
          <w:spacing w:val="6"/>
          <w:sz w:val="32"/>
          <w:szCs w:val="32"/>
          <w:highlight w:val="none"/>
        </w:rPr>
      </w:pPr>
      <w:r>
        <w:rPr>
          <w:rFonts w:hint="default" w:ascii="Times New Roman" w:hAnsi="Times New Roman" w:eastAsia="方正仿宋_GBK" w:cs="Times New Roman"/>
          <w:b/>
          <w:bCs/>
          <w:color w:val="000000"/>
          <w:spacing w:val="6"/>
          <w:sz w:val="32"/>
          <w:szCs w:val="32"/>
          <w:highlight w:val="none"/>
        </w:rPr>
        <w:t>—公务接待费</w:t>
      </w:r>
      <w:r>
        <w:rPr>
          <w:rFonts w:hint="default" w:ascii="Times New Roman" w:hAnsi="Times New Roman" w:eastAsia="方正仿宋_GBK" w:cs="Times New Roman"/>
          <w:color w:val="000000"/>
          <w:spacing w:val="6"/>
          <w:sz w:val="32"/>
          <w:szCs w:val="32"/>
          <w:highlight w:val="none"/>
        </w:rPr>
        <w:t>支出0.07亿元，与去年持平，全部为国内接待费。</w:t>
      </w:r>
    </w:p>
    <w:p>
      <w:pPr>
        <w:pageBreakBefore w:val="0"/>
        <w:kinsoku/>
        <w:wordWrap/>
        <w:overflowPunct/>
        <w:topLinePunct w:val="0"/>
        <w:bidi w:val="0"/>
        <w:adjustRightInd/>
        <w:spacing w:line="568" w:lineRule="exact"/>
        <w:ind w:firstLine="664" w:firstLineChars="200"/>
        <w:jc w:val="both"/>
        <w:rPr>
          <w:rFonts w:hint="default" w:ascii="Times New Roman" w:hAnsi="Times New Roman" w:eastAsia="方正仿宋_GBK" w:cs="Times New Roman"/>
          <w:color w:val="000000"/>
          <w:spacing w:val="6"/>
          <w:sz w:val="32"/>
          <w:szCs w:val="32"/>
          <w:highlight w:val="none"/>
        </w:rPr>
      </w:pPr>
      <w:r>
        <w:rPr>
          <w:rFonts w:hint="default" w:ascii="Times New Roman" w:hAnsi="Times New Roman" w:eastAsia="方正仿宋_GBK" w:cs="Times New Roman"/>
          <w:spacing w:val="6"/>
          <w:sz w:val="32"/>
          <w:szCs w:val="32"/>
          <w:highlight w:val="none"/>
        </w:rPr>
        <w:t>（2）</w:t>
      </w:r>
      <w:r>
        <w:rPr>
          <w:rFonts w:hint="default" w:ascii="Times New Roman" w:hAnsi="Times New Roman" w:eastAsia="方正仿宋_GBK" w:cs="Times New Roman"/>
          <w:color w:val="000000"/>
          <w:spacing w:val="6"/>
          <w:sz w:val="32"/>
          <w:szCs w:val="32"/>
          <w:highlight w:val="none"/>
        </w:rPr>
        <w:t>地区本级一般公共预算拨款“三公”经费支出0.2亿元，同比下降23.08%。其中：</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color w:val="000000"/>
          <w:spacing w:val="6"/>
          <w:sz w:val="32"/>
          <w:szCs w:val="32"/>
          <w:highlight w:val="none"/>
        </w:rPr>
      </w:pPr>
      <w:r>
        <w:rPr>
          <w:rFonts w:hint="default" w:ascii="Times New Roman" w:hAnsi="Times New Roman" w:eastAsia="方正仿宋_GBK" w:cs="Times New Roman"/>
          <w:b/>
          <w:bCs/>
          <w:color w:val="000000"/>
          <w:spacing w:val="6"/>
          <w:sz w:val="32"/>
          <w:szCs w:val="32"/>
          <w:highlight w:val="none"/>
        </w:rPr>
        <w:t>—因公出国（境）</w:t>
      </w:r>
      <w:r>
        <w:rPr>
          <w:rFonts w:hint="default" w:ascii="Times New Roman" w:hAnsi="Times New Roman" w:eastAsia="方正仿宋_GBK" w:cs="Times New Roman"/>
          <w:color w:val="000000"/>
          <w:spacing w:val="6"/>
          <w:sz w:val="32"/>
          <w:szCs w:val="32"/>
          <w:highlight w:val="none"/>
        </w:rPr>
        <w:t>支出0亿元。</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color w:val="000000"/>
          <w:spacing w:val="6"/>
          <w:sz w:val="32"/>
          <w:szCs w:val="32"/>
          <w:highlight w:val="none"/>
        </w:rPr>
      </w:pPr>
      <w:r>
        <w:rPr>
          <w:rFonts w:hint="default" w:ascii="Times New Roman" w:hAnsi="Times New Roman" w:eastAsia="方正仿宋_GBK" w:cs="Times New Roman"/>
          <w:b/>
          <w:bCs/>
          <w:color w:val="000000"/>
          <w:spacing w:val="6"/>
          <w:sz w:val="32"/>
          <w:szCs w:val="32"/>
          <w:highlight w:val="none"/>
        </w:rPr>
        <w:t>—公务用车购置及运行维护费</w:t>
      </w:r>
      <w:r>
        <w:rPr>
          <w:rFonts w:hint="default" w:ascii="Times New Roman" w:hAnsi="Times New Roman" w:eastAsia="方正仿宋_GBK" w:cs="Times New Roman"/>
          <w:color w:val="000000"/>
          <w:spacing w:val="6"/>
          <w:sz w:val="32"/>
          <w:szCs w:val="32"/>
          <w:highlight w:val="none"/>
        </w:rPr>
        <w:t>支出0.16亿元，同比下降27.27%，其中：公务用车购置费支出</w:t>
      </w:r>
      <w:r>
        <w:rPr>
          <w:rFonts w:hint="default" w:ascii="Times New Roman" w:hAnsi="Times New Roman" w:eastAsia="方正仿宋_GBK" w:cs="Times New Roman"/>
          <w:color w:val="000000"/>
          <w:spacing w:val="6"/>
          <w:sz w:val="32"/>
          <w:szCs w:val="32"/>
          <w:highlight w:val="none"/>
          <w:lang w:val="en-US" w:eastAsia="zh-CN"/>
        </w:rPr>
        <w:t>0.01</w:t>
      </w:r>
      <w:r>
        <w:rPr>
          <w:rFonts w:hint="default" w:ascii="Times New Roman" w:hAnsi="Times New Roman" w:eastAsia="方正仿宋_GBK" w:cs="Times New Roman"/>
          <w:color w:val="000000"/>
          <w:spacing w:val="6"/>
          <w:sz w:val="32"/>
          <w:szCs w:val="32"/>
          <w:highlight w:val="none"/>
        </w:rPr>
        <w:t>元，下降100%；公务用车运行维护费支出0.15亿元，同比增长25%。</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color w:val="000000"/>
          <w:spacing w:val="6"/>
          <w:sz w:val="32"/>
          <w:szCs w:val="32"/>
          <w:highlight w:val="none"/>
        </w:rPr>
      </w:pPr>
      <w:r>
        <w:rPr>
          <w:rFonts w:hint="default" w:ascii="Times New Roman" w:hAnsi="Times New Roman" w:eastAsia="方正仿宋_GBK" w:cs="Times New Roman"/>
          <w:b/>
          <w:bCs/>
          <w:color w:val="000000"/>
          <w:spacing w:val="6"/>
          <w:sz w:val="32"/>
          <w:szCs w:val="32"/>
          <w:highlight w:val="none"/>
        </w:rPr>
        <w:t>—公务接待费</w:t>
      </w:r>
      <w:r>
        <w:rPr>
          <w:rFonts w:hint="default" w:ascii="Times New Roman" w:hAnsi="Times New Roman" w:eastAsia="方正仿宋_GBK" w:cs="Times New Roman"/>
          <w:color w:val="000000"/>
          <w:spacing w:val="6"/>
          <w:sz w:val="32"/>
          <w:szCs w:val="32"/>
          <w:highlight w:val="none"/>
        </w:rPr>
        <w:t>支出0.04亿元，与上年同期持平，全部为国内接待费。</w:t>
      </w:r>
    </w:p>
    <w:p>
      <w:pPr>
        <w:keepNext/>
        <w:pageBreakBefore w:val="0"/>
        <w:kinsoku/>
        <w:wordWrap/>
        <w:overflowPunct/>
        <w:topLinePunct w:val="0"/>
        <w:bidi w:val="0"/>
        <w:adjustRightInd/>
        <w:spacing w:line="568" w:lineRule="exact"/>
        <w:ind w:firstLine="664" w:firstLineChars="200"/>
        <w:jc w:val="both"/>
        <w:rPr>
          <w:rFonts w:hint="default" w:ascii="Times New Roman" w:hAnsi="Times New Roman" w:eastAsia="方正黑体_GBK" w:cs="Times New Roman"/>
          <w:spacing w:val="6"/>
          <w:sz w:val="32"/>
          <w:szCs w:val="32"/>
          <w:highlight w:val="none"/>
        </w:rPr>
      </w:pPr>
      <w:r>
        <w:rPr>
          <w:rFonts w:hint="default" w:ascii="Times New Roman" w:hAnsi="Times New Roman" w:eastAsia="方正黑体_GBK" w:cs="Times New Roman"/>
          <w:spacing w:val="6"/>
          <w:sz w:val="32"/>
          <w:szCs w:val="32"/>
          <w:highlight w:val="none"/>
        </w:rPr>
        <w:t>二、2022年财政工作落实情况</w:t>
      </w:r>
    </w:p>
    <w:p>
      <w:pPr>
        <w:pageBreakBefore w:val="0"/>
        <w:kinsoku/>
        <w:wordWrap/>
        <w:overflowPunct/>
        <w:topLinePunct w:val="0"/>
        <w:bidi w:val="0"/>
        <w:adjustRightInd/>
        <w:spacing w:line="568" w:lineRule="exact"/>
        <w:ind w:firstLine="664"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spacing w:val="6"/>
          <w:sz w:val="32"/>
          <w:szCs w:val="32"/>
          <w:highlight w:val="none"/>
        </w:rPr>
        <w:t>2022年，在地委、行署的坚强领导和地区人大工委的监督指导下，地县财政部门坚持以习近平新时代中国特色社会主义思想为指导，坚决贯彻落实地委决策部署，按照预算法及其实施条例、人大预算审查监督重点向支出预算和政策拓展的有关规定，地区财政全面推进稳经济一揽子政策措施落实，着力增强中央和自治区重大战略、重点工作的财力保障，加力提效实施积极的财政政策,服务和融入新发展格局，持续保障和改善民生，基层“三保”足额保障，民生福祉持续改善，债务风险逐步化解，可持续性明显增强。</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楷体_GBK" w:cs="Times New Roman"/>
          <w:spacing w:val="6"/>
          <w:sz w:val="32"/>
          <w:szCs w:val="32"/>
          <w:highlight w:val="none"/>
        </w:rPr>
      </w:pPr>
      <w:r>
        <w:rPr>
          <w:rFonts w:hint="default" w:ascii="Times New Roman" w:hAnsi="Times New Roman" w:eastAsia="方正楷体_GBK" w:cs="Times New Roman"/>
          <w:b/>
          <w:bCs/>
          <w:spacing w:val="6"/>
          <w:sz w:val="32"/>
          <w:szCs w:val="32"/>
          <w:highlight w:val="none"/>
          <w:lang w:eastAsia="zh-CN"/>
        </w:rPr>
        <w:t>（一）</w:t>
      </w:r>
      <w:r>
        <w:rPr>
          <w:rFonts w:hint="default" w:ascii="Times New Roman" w:hAnsi="Times New Roman" w:eastAsia="方正楷体_GBK" w:cs="Times New Roman"/>
          <w:b/>
          <w:bCs/>
          <w:spacing w:val="6"/>
          <w:sz w:val="32"/>
          <w:szCs w:val="32"/>
          <w:highlight w:val="none"/>
        </w:rPr>
        <w:t>加力提升积极财政政策效能，推进中央、自治区和地委重大战略部署落地见效</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bCs/>
          <w:spacing w:val="6"/>
          <w:sz w:val="32"/>
          <w:szCs w:val="32"/>
          <w:highlight w:val="none"/>
        </w:rPr>
        <w:t>——全力以赴抗击新冠疫情。</w:t>
      </w:r>
      <w:r>
        <w:rPr>
          <w:rFonts w:hint="default" w:ascii="Times New Roman" w:hAnsi="Times New Roman" w:eastAsia="方正仿宋_GBK" w:cs="Times New Roman"/>
          <w:spacing w:val="6"/>
          <w:sz w:val="32"/>
          <w:szCs w:val="32"/>
          <w:highlight w:val="none"/>
        </w:rPr>
        <w:t>坚持人民至上、生命至上，高效统筹疫情防控和经济发展、统筹发展和安全，积极筹措资金19.65亿元，</w:t>
      </w:r>
      <w:r>
        <w:rPr>
          <w:rFonts w:hint="default" w:ascii="Times New Roman" w:hAnsi="Times New Roman" w:eastAsia="方正仿宋_GBK" w:cs="Times New Roman"/>
          <w:color w:val="333333"/>
          <w:spacing w:val="6"/>
          <w:sz w:val="32"/>
          <w:szCs w:val="32"/>
          <w:highlight w:val="none"/>
        </w:rPr>
        <w:t>全力支持疫情防控，及时安排和拨付补助资金，落实优化疫情防控相关政策措施，支持加强重点群体健康服务，保障新冠病毒疫苗接种，完善基层医疗服务保障和疫情防控救助体系建设，提升应急处置能力，为较短时间实现疫情防控平稳转段创造有利条件。推动更多财政资金直达县区基层</w:t>
      </w:r>
      <w:r>
        <w:rPr>
          <w:rFonts w:hint="default" w:ascii="Times New Roman" w:hAnsi="Times New Roman" w:eastAsia="方正仿宋_GBK" w:cs="Times New Roman"/>
          <w:spacing w:val="6"/>
          <w:sz w:val="32"/>
          <w:szCs w:val="32"/>
          <w:highlight w:val="none"/>
        </w:rPr>
        <w:t>，促进喀什地区经济社会平稳有序运行。</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bCs/>
          <w:spacing w:val="6"/>
          <w:sz w:val="32"/>
          <w:szCs w:val="32"/>
          <w:highlight w:val="none"/>
        </w:rPr>
        <w:t>——深入实施创新驱动发展和人才强区战略。</w:t>
      </w:r>
      <w:r>
        <w:rPr>
          <w:rFonts w:hint="default" w:ascii="Times New Roman" w:hAnsi="Times New Roman" w:eastAsia="方正仿宋_GBK" w:cs="Times New Roman"/>
          <w:spacing w:val="6"/>
          <w:sz w:val="32"/>
          <w:szCs w:val="32"/>
          <w:highlight w:val="none"/>
        </w:rPr>
        <w:t>持续加大科技投入力度，安排资金0.99亿元，比上年增长7.42%，围绕地区重大战略任务和重大产业发展部署，推动1个自治区重大科技专项和51个自治区重点研发项目，支持26个自治区科技特派员农村科技创业行动和26个自治区乡村振兴产业发展科技行动，支持67个自然科学基金项目等，进一步优化地区创新发展环境，增强自主创新能力。</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bCs/>
          <w:spacing w:val="6"/>
          <w:sz w:val="32"/>
          <w:szCs w:val="32"/>
          <w:highlight w:val="none"/>
        </w:rPr>
        <w:t>——保障粮食安全支持重要农产品供给。</w:t>
      </w:r>
      <w:r>
        <w:rPr>
          <w:rFonts w:hint="default" w:ascii="Times New Roman" w:hAnsi="Times New Roman" w:eastAsia="方正仿宋_GBK" w:cs="Times New Roman"/>
          <w:color w:val="333333"/>
          <w:spacing w:val="6"/>
          <w:sz w:val="32"/>
          <w:szCs w:val="32"/>
          <w:highlight w:val="none"/>
        </w:rPr>
        <w:t>促进粮食增产丰收，保护和调动农民种粮和</w:t>
      </w:r>
      <w:r>
        <w:rPr>
          <w:rFonts w:hint="default" w:ascii="Times New Roman" w:hAnsi="Times New Roman" w:eastAsia="方正仿宋_GBK" w:cs="Times New Roman"/>
          <w:color w:val="333333"/>
          <w:spacing w:val="6"/>
          <w:sz w:val="32"/>
          <w:szCs w:val="32"/>
          <w:highlight w:val="none"/>
          <w:lang w:eastAsia="zh-CN"/>
        </w:rPr>
        <w:t>县市</w:t>
      </w:r>
      <w:r>
        <w:rPr>
          <w:rFonts w:hint="default" w:ascii="Times New Roman" w:hAnsi="Times New Roman" w:eastAsia="方正仿宋_GBK" w:cs="Times New Roman"/>
          <w:color w:val="333333"/>
          <w:spacing w:val="6"/>
          <w:sz w:val="32"/>
          <w:szCs w:val="32"/>
          <w:highlight w:val="none"/>
        </w:rPr>
        <w:t>政府抓粮积极性。</w:t>
      </w:r>
      <w:r>
        <w:rPr>
          <w:rFonts w:hint="default" w:ascii="Times New Roman" w:hAnsi="Times New Roman" w:eastAsia="方正仿宋_GBK" w:cs="Times New Roman"/>
          <w:spacing w:val="6"/>
          <w:sz w:val="32"/>
          <w:szCs w:val="32"/>
          <w:highlight w:val="none"/>
        </w:rPr>
        <w:t>安排资金16.28亿元，比上年增长8.65%，支持100.5万亩高标准农田建设，提升耕地质量，提高粮食综合生产能力。安排耕地地力和种粮农民一次性补贴资金8.85亿元，比上年增长8.99%，有效缓解农资价格上涨对农民的影响。安排花生大豆补贴资金0.16亿元，支持3.43万亩花生、13.69万亩大豆种植，保障粮油安全能力不断提升。</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bCs/>
          <w:spacing w:val="6"/>
          <w:sz w:val="32"/>
          <w:szCs w:val="32"/>
          <w:highlight w:val="none"/>
        </w:rPr>
        <w:t>——加快推进重大水利基础设施建设。</w:t>
      </w:r>
      <w:r>
        <w:rPr>
          <w:rFonts w:hint="default" w:ascii="Times New Roman" w:hAnsi="Times New Roman" w:eastAsia="方正仿宋_GBK" w:cs="Times New Roman"/>
          <w:spacing w:val="6"/>
          <w:sz w:val="32"/>
          <w:szCs w:val="32"/>
          <w:highlight w:val="none"/>
        </w:rPr>
        <w:t>统筹安排4.73亿元资金，加快推进西克尔水库除险加固、喀什噶尔河流域续建配套与现代化改造工程、英吉沙县依格孜牙水库工程、提孜那甫河莫莫克水利枢纽工程建设，推动大中型灌区续建配套与现代化节水改造工程，落实地区关于水安全战略规划要求。</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bCs/>
          <w:spacing w:val="6"/>
          <w:sz w:val="32"/>
          <w:szCs w:val="32"/>
          <w:highlight w:val="none"/>
        </w:rPr>
        <w:t>——全面实施乡村振兴战略。</w:t>
      </w:r>
      <w:r>
        <w:rPr>
          <w:rFonts w:hint="default" w:ascii="Times New Roman" w:hAnsi="Times New Roman" w:eastAsia="方正仿宋_GBK" w:cs="Times New Roman"/>
          <w:spacing w:val="6"/>
          <w:sz w:val="32"/>
          <w:szCs w:val="32"/>
          <w:highlight w:val="none"/>
        </w:rPr>
        <w:t>保持财政支持政策和资金规模总体稳定，统筹安排各类资金98.05亿元，其中：</w:t>
      </w:r>
      <w:r>
        <w:rPr>
          <w:rFonts w:hint="default" w:ascii="Times New Roman" w:hAnsi="Times New Roman" w:eastAsia="方正仿宋_GBK" w:cs="Times New Roman"/>
          <w:color w:val="000000"/>
          <w:spacing w:val="6"/>
          <w:sz w:val="32"/>
          <w:szCs w:val="32"/>
          <w:highlight w:val="none"/>
        </w:rPr>
        <w:t>衔接推进乡村振兴补助资金59.31亿元，其他涉农整合资金25.14亿元，地方</w:t>
      </w:r>
      <w:r>
        <w:rPr>
          <w:rFonts w:hint="default" w:ascii="Times New Roman" w:hAnsi="Times New Roman" w:eastAsia="方正仿宋_GBK" w:cs="Times New Roman"/>
          <w:spacing w:val="6"/>
          <w:sz w:val="32"/>
          <w:szCs w:val="32"/>
          <w:highlight w:val="none"/>
        </w:rPr>
        <w:t>政府债券资金13.6亿元，重点支持脱贫地区特色优势产业发展、易地扶贫搬迁后续扶持、脱贫劳动力稳定就业，补齐必要的农村人居环境整治等基础设施建设短板，坚决守住不发生规模性返贫底线，不断巩固脱贫攻坚成果，全面推进乡村振兴。</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lang w:eastAsia="zh-CN"/>
        </w:rPr>
      </w:pPr>
      <w:r>
        <w:rPr>
          <w:rFonts w:hint="default" w:ascii="Times New Roman" w:hAnsi="Times New Roman" w:eastAsia="方正仿宋_GBK" w:cs="Times New Roman"/>
          <w:b/>
          <w:bCs/>
          <w:spacing w:val="6"/>
          <w:sz w:val="32"/>
          <w:szCs w:val="32"/>
          <w:highlight w:val="none"/>
        </w:rPr>
        <w:t>——扎实推动生态优先绿色发展。</w:t>
      </w:r>
      <w:r>
        <w:rPr>
          <w:rFonts w:hint="default" w:ascii="Times New Roman" w:hAnsi="Times New Roman" w:eastAsia="方正仿宋_GBK" w:cs="Times New Roman"/>
          <w:spacing w:val="6"/>
          <w:sz w:val="32"/>
          <w:szCs w:val="32"/>
          <w:highlight w:val="none"/>
        </w:rPr>
        <w:t>支持打赢污染防治攻坚战，安排资金19.95亿元，推进生态环境保护和污染防治重点项目有序实施；安排资金4.58亿元，支持山水林田湖草沙一体化保护和修复工程建设；安排资金0.86亿元，引导和推动全社会及重点领域节能减排工作。扩大政府绿色采购范围，加大相关产品采购力度，2022年度全地区政府采购执行节能、节水采购总金额1.54亿元，占全年采购总额98.99%。环保产品政府采购执行环保产品总金额2.41亿元，占全年采购总额87.59%</w:t>
      </w:r>
      <w:r>
        <w:rPr>
          <w:rFonts w:hint="default" w:ascii="Times New Roman" w:hAnsi="Times New Roman" w:eastAsia="方正仿宋_GBK" w:cs="Times New Roman"/>
          <w:spacing w:val="6"/>
          <w:sz w:val="32"/>
          <w:szCs w:val="32"/>
          <w:highlight w:val="none"/>
          <w:lang w:eastAsia="zh-CN"/>
        </w:rPr>
        <w:t>。</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楷体_GBK" w:cs="Times New Roman"/>
          <w:b/>
          <w:bCs/>
          <w:spacing w:val="6"/>
          <w:sz w:val="32"/>
          <w:szCs w:val="32"/>
          <w:highlight w:val="none"/>
          <w:lang w:eastAsia="zh-CN"/>
        </w:rPr>
      </w:pPr>
      <w:r>
        <w:rPr>
          <w:rFonts w:hint="default" w:ascii="Times New Roman" w:hAnsi="Times New Roman" w:eastAsia="方正楷体_GBK" w:cs="Times New Roman"/>
          <w:b/>
          <w:bCs/>
          <w:spacing w:val="6"/>
          <w:sz w:val="32"/>
          <w:szCs w:val="32"/>
          <w:highlight w:val="none"/>
          <w:lang w:eastAsia="zh-CN"/>
        </w:rPr>
        <w:t>（二）加大助企纾困力度，全力支持经济高质量发展</w:t>
      </w:r>
    </w:p>
    <w:p>
      <w:pPr>
        <w:pageBreakBefore w:val="0"/>
        <w:kinsoku/>
        <w:wordWrap/>
        <w:overflowPunct/>
        <w:topLinePunct w:val="0"/>
        <w:autoSpaceDE w:val="0"/>
        <w:autoSpaceDN w:val="0"/>
        <w:bidi w:val="0"/>
        <w:adjustRightInd/>
        <w:snapToGrid w:val="0"/>
        <w:spacing w:line="568" w:lineRule="exact"/>
        <w:ind w:firstLine="667" w:firstLineChars="200"/>
        <w:jc w:val="both"/>
        <w:textAlignment w:val="baseline"/>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bCs/>
          <w:spacing w:val="6"/>
          <w:sz w:val="32"/>
          <w:szCs w:val="32"/>
          <w:highlight w:val="none"/>
        </w:rPr>
        <w:t>——积极推进中央新的组合式税费支持政策落实落地。</w:t>
      </w:r>
      <w:r>
        <w:rPr>
          <w:rFonts w:hint="default" w:ascii="Times New Roman" w:hAnsi="Times New Roman" w:eastAsia="方正仿宋_GBK" w:cs="Times New Roman"/>
          <w:spacing w:val="6"/>
          <w:sz w:val="32"/>
          <w:szCs w:val="32"/>
          <w:highlight w:val="none"/>
        </w:rPr>
        <w:t>贯彻落实税费优惠政策，支持民营企业、中小微企业和个体工商户发展，及时解决经营主体反映的突出问题，防止乱收费、乱罚款、乱摊派。全面落实减免小微企业“六税两费”、延缓缴纳制造业中小微企业部分税费，以及免征小规模纳税人增值税等“减、免、缓”政策。全力落实大规模增值税留抵退税政策，积极争取中央、自治区补助5.59亿元，有力保障各县市落实留抵退税政策所需资金。安排资金0.96亿元，对留抵退税政策落实好、进度快的县市给予财力性奖补，充分调动各县市退税积极性。2022年，全年新增退减免缓税费超35亿元，其中：留抵退税28.1亿元，为喀什地区市场主体发展增添强劲动力。</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bCs/>
          <w:spacing w:val="6"/>
          <w:sz w:val="32"/>
          <w:szCs w:val="32"/>
          <w:highlight w:val="none"/>
        </w:rPr>
        <w:t>——充分发挥地方政府专项债券稳投资、促增长作用。</w:t>
      </w:r>
      <w:r>
        <w:rPr>
          <w:rFonts w:hint="default" w:ascii="Times New Roman" w:hAnsi="Times New Roman" w:eastAsia="方正仿宋_GBK" w:cs="Times New Roman"/>
          <w:spacing w:val="6"/>
          <w:sz w:val="32"/>
          <w:szCs w:val="32"/>
          <w:highlight w:val="none"/>
        </w:rPr>
        <w:t>充分发挥政府投资引导作用，积极争取自治区财政对喀什地区地方政府专项债券限额支持力度，做好项目前期准备，提高项目储备质量，优先支持成熟度高的项目和在建项目，在打基础、利长远、补短板、调结构上加大力度，防止盲目扩大投资。2022年，自治区财政共下达我地区新增地方政府专项债券限额147.1亿元，比上年增加65.1亿元，增长79.39%，增幅位居全疆前列。坚持“早发快用、提高效率”的原则，聚焦关键领域薄弱环节，重点支持交通基础设施、农林水利、市政和产业园区等领域176个重大项目建设，为地区补短板、增后劲、促发展提供有力支撑。</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bCs/>
          <w:spacing w:val="6"/>
          <w:sz w:val="32"/>
          <w:szCs w:val="32"/>
          <w:highlight w:val="none"/>
        </w:rPr>
        <w:t>——落实小微企业融资担保费奖补政策。</w:t>
      </w:r>
      <w:r>
        <w:rPr>
          <w:rFonts w:hint="default" w:ascii="Times New Roman" w:hAnsi="Times New Roman" w:eastAsia="方正仿宋_GBK" w:cs="Times New Roman"/>
          <w:spacing w:val="6"/>
          <w:sz w:val="32"/>
          <w:szCs w:val="32"/>
          <w:highlight w:val="none"/>
        </w:rPr>
        <w:t>统筹安排中小企业发展专项资金274.3万元，采取保费补助、绩效奖励等方式重点支持融资担保机构直接服务小微企业。深入推动政府性融资担保机构支小支农，鼓励担保机构将担保费率降至1%以下，着力解决中小微企业融资难、融资贵问题。2022年，地区政府性融资担保机构降低担保费49.34万元，撬动担保贷款4934万元，13户中小微企业、农业适度规模经营主体及“三农”主体受益。</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bCs/>
          <w:spacing w:val="6"/>
          <w:sz w:val="32"/>
          <w:szCs w:val="32"/>
          <w:highlight w:val="none"/>
        </w:rPr>
        <w:t>——加大政府采购支持中小微企业力度。</w:t>
      </w:r>
      <w:r>
        <w:rPr>
          <w:rFonts w:hint="default" w:ascii="Times New Roman" w:hAnsi="Times New Roman" w:eastAsia="方正仿宋_GBK" w:cs="Times New Roman"/>
          <w:spacing w:val="6"/>
          <w:sz w:val="32"/>
          <w:szCs w:val="32"/>
          <w:highlight w:val="none"/>
        </w:rPr>
        <w:t>将面向小微企业采购的价格扣除比例由6%—10%提高至10%—20%；将预留面向中小企业采购的份额由30%以上阶段性提高至40%以上，不断提高中小微企业政府采购合同规模。实施中小微企业政府采购合同融资，以保函代替现金缴纳涉企保证金政策，有效拓宽中小微企业融资渠道，降低政府采购交易成本，进一步优化营商环境。</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楷体_GBK" w:cs="Times New Roman"/>
          <w:b/>
          <w:bCs/>
          <w:spacing w:val="6"/>
          <w:sz w:val="32"/>
          <w:szCs w:val="32"/>
          <w:highlight w:val="none"/>
          <w:lang w:eastAsia="zh-CN"/>
        </w:rPr>
      </w:pPr>
      <w:r>
        <w:rPr>
          <w:rFonts w:hint="default" w:ascii="Times New Roman" w:hAnsi="Times New Roman" w:eastAsia="方正楷体_GBK" w:cs="Times New Roman"/>
          <w:b/>
          <w:bCs/>
          <w:spacing w:val="6"/>
          <w:sz w:val="32"/>
          <w:szCs w:val="32"/>
          <w:highlight w:val="none"/>
          <w:lang w:eastAsia="zh-CN"/>
        </w:rPr>
        <w:t>（三）坚持以人民为中心，持续增进民生福祉提高人民生活品质</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bCs/>
          <w:spacing w:val="6"/>
          <w:sz w:val="32"/>
          <w:szCs w:val="32"/>
          <w:highlight w:val="none"/>
        </w:rPr>
        <w:t>——大力实施就业惠民工程。</w:t>
      </w:r>
      <w:r>
        <w:rPr>
          <w:rFonts w:hint="default" w:ascii="Times New Roman" w:hAnsi="Times New Roman" w:eastAsia="方正仿宋_GBK" w:cs="Times New Roman"/>
          <w:spacing w:val="6"/>
          <w:sz w:val="32"/>
          <w:szCs w:val="32"/>
          <w:highlight w:val="none"/>
        </w:rPr>
        <w:t>安排就业补助资金3.36亿元，以农村富余劳动力、高校毕业生和就业困难人员就业为重点，落实社会保险补贴、职业技能培训补贴等政策，拓宽就业渠道、搭建就业创业平台、提高就业能力，多渠道引导各族群众有序进城就业、就地就近就业、返乡自主创业。2022年，全地区城镇新增就业9.4万人，失业人员实现再就业2.05万人，完成职业培训65.5万人次，</w:t>
      </w:r>
      <w:r>
        <w:rPr>
          <w:rFonts w:hint="default" w:ascii="Times New Roman" w:hAnsi="Times New Roman" w:eastAsia="方正仿宋_GBK" w:cs="Times New Roman"/>
          <w:spacing w:val="6"/>
          <w:sz w:val="32"/>
          <w:szCs w:val="32"/>
          <w:highlight w:val="none"/>
          <w:lang w:eastAsia="zh-CN"/>
        </w:rPr>
        <w:t>农村</w:t>
      </w:r>
      <w:r>
        <w:rPr>
          <w:rFonts w:hint="default" w:ascii="Times New Roman" w:hAnsi="Times New Roman" w:eastAsia="方正仿宋_GBK" w:cs="Times New Roman"/>
          <w:spacing w:val="6"/>
          <w:sz w:val="32"/>
          <w:szCs w:val="32"/>
          <w:highlight w:val="none"/>
        </w:rPr>
        <w:t>劳动力</w:t>
      </w:r>
      <w:r>
        <w:rPr>
          <w:rFonts w:hint="default" w:ascii="Times New Roman" w:hAnsi="Times New Roman" w:eastAsia="方正仿宋_GBK" w:cs="Times New Roman"/>
          <w:spacing w:val="6"/>
          <w:sz w:val="32"/>
          <w:szCs w:val="32"/>
          <w:highlight w:val="none"/>
          <w:lang w:eastAsia="zh-CN"/>
        </w:rPr>
        <w:t>外出务工</w:t>
      </w:r>
      <w:r>
        <w:rPr>
          <w:rFonts w:hint="default" w:ascii="Times New Roman" w:hAnsi="Times New Roman" w:eastAsia="方正仿宋_GBK" w:cs="Times New Roman"/>
          <w:spacing w:val="6"/>
          <w:sz w:val="32"/>
          <w:szCs w:val="32"/>
          <w:highlight w:val="none"/>
        </w:rPr>
        <w:t>105.4万人</w:t>
      </w:r>
      <w:r>
        <w:rPr>
          <w:rFonts w:hint="default" w:ascii="Times New Roman" w:hAnsi="Times New Roman" w:eastAsia="方正仿宋_GBK" w:cs="Times New Roman"/>
          <w:spacing w:val="6"/>
          <w:sz w:val="32"/>
          <w:szCs w:val="32"/>
          <w:highlight w:val="none"/>
          <w:lang w:eastAsia="zh-CN"/>
        </w:rPr>
        <w:t>次</w:t>
      </w:r>
      <w:r>
        <w:rPr>
          <w:rFonts w:hint="default" w:ascii="Times New Roman" w:hAnsi="Times New Roman" w:eastAsia="方正仿宋_GBK" w:cs="Times New Roman"/>
          <w:spacing w:val="6"/>
          <w:sz w:val="32"/>
          <w:szCs w:val="32"/>
          <w:highlight w:val="none"/>
        </w:rPr>
        <w:t>。</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bCs/>
          <w:spacing w:val="6"/>
          <w:sz w:val="32"/>
          <w:szCs w:val="32"/>
          <w:highlight w:val="none"/>
        </w:rPr>
        <w:t>——不断加大教育投入。</w:t>
      </w:r>
      <w:r>
        <w:rPr>
          <w:rFonts w:hint="default" w:ascii="Times New Roman" w:hAnsi="Times New Roman" w:eastAsia="方正仿宋_GBK" w:cs="Times New Roman"/>
          <w:spacing w:val="6"/>
          <w:sz w:val="32"/>
          <w:szCs w:val="32"/>
          <w:highlight w:val="none"/>
        </w:rPr>
        <w:t>认真落实教育投入“两个只增不减”要求，安排资金44.29亿元，推进义务教育优质均衡发展，惠及全区123.77万名义务教育阶段学生；安排资金0.87亿元，落实高校生均拨款保障政策，引导高校改革创新，提高办学质量；安排资金7.52亿元，支持义务教育、城市公办幼儿园、边远贫困地区普通高中改善办学条件；安排资金5.62亿元，落实国家、自治区家庭经济困难学生资助政策；安排资金1.22亿元，支持职业教育改革发展，着力推进办好人民满意的教育。</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bCs/>
          <w:spacing w:val="6"/>
          <w:sz w:val="32"/>
          <w:szCs w:val="32"/>
          <w:highlight w:val="none"/>
        </w:rPr>
        <w:t>——稳步提高社会保障水平。</w:t>
      </w:r>
      <w:r>
        <w:rPr>
          <w:rFonts w:hint="default" w:ascii="Times New Roman" w:hAnsi="Times New Roman" w:eastAsia="方正仿宋_GBK" w:cs="Times New Roman"/>
          <w:spacing w:val="6"/>
          <w:sz w:val="32"/>
          <w:szCs w:val="32"/>
          <w:highlight w:val="none"/>
        </w:rPr>
        <w:t>将城乡居民基础养老金最低标准提高至每人每月160元；提高机关和企事业单位退休人员基本养老金，月人均增加191元。安排资金35.14亿元，保障4.4万名退休人员基本养老金按时足额发放；安排资金6.41亿元，保障30.32万名60岁以上城乡居民基本养老金按时足额发放。</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bCs/>
          <w:spacing w:val="6"/>
          <w:sz w:val="32"/>
          <w:szCs w:val="32"/>
          <w:highlight w:val="none"/>
        </w:rPr>
        <w:t>——扎实做好困难群众救助工作。</w:t>
      </w:r>
      <w:r>
        <w:rPr>
          <w:rFonts w:hint="default" w:ascii="Times New Roman" w:hAnsi="Times New Roman" w:eastAsia="方正仿宋_GBK" w:cs="Times New Roman"/>
          <w:spacing w:val="6"/>
          <w:sz w:val="32"/>
          <w:szCs w:val="32"/>
          <w:highlight w:val="none"/>
        </w:rPr>
        <w:t>将城市低保标准提高至每人每月616元，比上年增长10%；农村低保标准提高至每人每年5290元，比上年增长15%。安排困难群众救助资金39.7亿元，保障各项社会救助待遇按时足额发放。应对疫情对困难群众基本生活的影响，安排资金2.13亿元，为71万名低保对象、特困人员按每人300元标准增发一次性生活补助。</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bCs/>
          <w:spacing w:val="6"/>
          <w:sz w:val="32"/>
          <w:szCs w:val="32"/>
          <w:highlight w:val="none"/>
        </w:rPr>
        <w:t>——加大城镇保障性安居工程支持力度。</w:t>
      </w:r>
      <w:r>
        <w:rPr>
          <w:rFonts w:hint="default" w:ascii="Times New Roman" w:hAnsi="Times New Roman" w:eastAsia="方正仿宋_GBK" w:cs="Times New Roman"/>
          <w:spacing w:val="6"/>
          <w:sz w:val="32"/>
          <w:szCs w:val="32"/>
          <w:highlight w:val="none"/>
        </w:rPr>
        <w:t>调整优化城镇保障性安居工程资金补助政策，有效增加保障性租赁住房供给，着重解决新市民、青年等重点群体住房问题。安排城镇保障性安居工程补助资金4.37亿元，比上年增长6.12%，支持全地区筹集保障性租赁住房0.53万套，筹集公租房0.39万套，实施城镇棚户区改造1.22万套，实施老旧小区改造0.94万户。</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楷体_GBK" w:cs="Times New Roman"/>
          <w:b/>
          <w:bCs/>
          <w:spacing w:val="6"/>
          <w:sz w:val="32"/>
          <w:szCs w:val="32"/>
          <w:highlight w:val="none"/>
        </w:rPr>
      </w:pPr>
      <w:r>
        <w:rPr>
          <w:rFonts w:hint="default" w:ascii="Times New Roman" w:hAnsi="Times New Roman" w:eastAsia="方正楷体_GBK" w:cs="Times New Roman"/>
          <w:b/>
          <w:bCs/>
          <w:spacing w:val="6"/>
          <w:sz w:val="32"/>
          <w:szCs w:val="32"/>
          <w:highlight w:val="none"/>
          <w:lang w:eastAsia="zh-CN"/>
        </w:rPr>
        <w:t>（四）</w:t>
      </w:r>
      <w:r>
        <w:rPr>
          <w:rFonts w:hint="default" w:ascii="Times New Roman" w:hAnsi="Times New Roman" w:eastAsia="方正楷体_GBK" w:cs="Times New Roman"/>
          <w:b/>
          <w:bCs/>
          <w:spacing w:val="6"/>
          <w:sz w:val="32"/>
          <w:szCs w:val="32"/>
          <w:highlight w:val="none"/>
        </w:rPr>
        <w:t>扎实推进财政改革，管理水平和管理效能显著提升</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bCs/>
          <w:spacing w:val="6"/>
          <w:sz w:val="32"/>
          <w:szCs w:val="32"/>
          <w:highlight w:val="none"/>
        </w:rPr>
        <w:t>——加快财政支出进度。</w:t>
      </w:r>
      <w:r>
        <w:rPr>
          <w:rFonts w:hint="default" w:ascii="Times New Roman" w:hAnsi="Times New Roman" w:eastAsia="方正仿宋_GBK" w:cs="Times New Roman"/>
          <w:spacing w:val="6"/>
          <w:sz w:val="32"/>
          <w:szCs w:val="32"/>
          <w:highlight w:val="none"/>
        </w:rPr>
        <w:t>建立预算执行动态跟踪监测制度，按月统计分析分领域分行业预算执行情况，保持支出规模，加快支出进度。中央、自治区转移支付资金全部在30日内分配下达各县市各部门，上年结转资金在6月底之前基本形成实际支出，地方政府债券资金发行次日即转贷各县市各有关部门，财政资金对经济社会高质量发展的支持不断增强。</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b/>
          <w:bCs/>
          <w:spacing w:val="6"/>
          <w:sz w:val="32"/>
          <w:szCs w:val="32"/>
          <w:highlight w:val="none"/>
        </w:rPr>
      </w:pPr>
      <w:r>
        <w:rPr>
          <w:rFonts w:hint="default" w:ascii="Times New Roman" w:hAnsi="Times New Roman" w:eastAsia="方正仿宋_GBK" w:cs="Times New Roman"/>
          <w:b/>
          <w:bCs/>
          <w:spacing w:val="6"/>
          <w:sz w:val="32"/>
          <w:szCs w:val="32"/>
          <w:highlight w:val="none"/>
        </w:rPr>
        <w:t>——严格控制“三公”经费支出，一般性支出有效压减</w:t>
      </w:r>
    </w:p>
    <w:p>
      <w:pPr>
        <w:pageBreakBefore w:val="0"/>
        <w:kinsoku/>
        <w:wordWrap/>
        <w:overflowPunct/>
        <w:topLinePunct w:val="0"/>
        <w:bidi w:val="0"/>
        <w:adjustRightInd/>
        <w:spacing w:line="568" w:lineRule="exact"/>
        <w:ind w:firstLine="664"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spacing w:val="6"/>
          <w:sz w:val="32"/>
          <w:szCs w:val="32"/>
          <w:highlight w:val="none"/>
        </w:rPr>
        <w:t>牢固树立党政机关“过紧日子”思想，坚持严和紧的总基调不放松，更加注重精打细算、厉行节约，硬化预算刚性约束，大力压减一般性支出，严格控制“三公”经费支出</w:t>
      </w:r>
      <w:r>
        <w:rPr>
          <w:rFonts w:hint="default" w:ascii="Times New Roman" w:hAnsi="Times New Roman" w:eastAsia="方正仿宋_GBK" w:cs="Times New Roman"/>
          <w:color w:val="333333"/>
          <w:spacing w:val="6"/>
          <w:sz w:val="32"/>
          <w:szCs w:val="32"/>
          <w:highlight w:val="none"/>
        </w:rPr>
        <w:t>，把牢预算支出、资产配置、政府采购等关口，努力降低行政成本，节省更多资金用于急需领域，</w:t>
      </w:r>
      <w:r>
        <w:rPr>
          <w:rFonts w:hint="default" w:ascii="Times New Roman" w:hAnsi="Times New Roman" w:eastAsia="方正仿宋_GBK" w:cs="Times New Roman"/>
          <w:spacing w:val="6"/>
          <w:sz w:val="32"/>
          <w:szCs w:val="32"/>
          <w:highlight w:val="none"/>
        </w:rPr>
        <w:t>“过紧日子”的成效日益显现。2022年，全区财政安排一般性支出59.05亿元，比上年减少8.93亿元，压减13.14%；安排“三公”经费0.82亿元，比上年减少0.12亿元，压减12.7%。</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bCs/>
          <w:spacing w:val="6"/>
          <w:sz w:val="32"/>
          <w:szCs w:val="32"/>
          <w:highlight w:val="none"/>
        </w:rPr>
        <w:t>——全面落实财政资金直达机制。</w:t>
      </w:r>
      <w:r>
        <w:rPr>
          <w:rFonts w:hint="default" w:ascii="Times New Roman" w:hAnsi="Times New Roman" w:eastAsia="方正仿宋_GBK" w:cs="Times New Roman"/>
          <w:spacing w:val="6"/>
          <w:sz w:val="32"/>
          <w:szCs w:val="32"/>
          <w:highlight w:val="none"/>
        </w:rPr>
        <w:t>将中央财政衔接推进乡村振兴补助资金和增值税留抵退税资金等7项转移支付纳入直达资金范围，加强直达资金监管，加快直达资金预算下达和资金拨付进度，财政资金直达基层、直接惠企利民成效显著。2022年，地区收到直达资金274.59亿元，已支出253.83亿元，支出进度92.44%，惠及1186家企业、317万人。</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bCs/>
          <w:spacing w:val="6"/>
          <w:sz w:val="32"/>
          <w:szCs w:val="32"/>
          <w:highlight w:val="none"/>
        </w:rPr>
        <w:t>——持续强化预算绩效管理。一是</w:t>
      </w:r>
      <w:r>
        <w:rPr>
          <w:rFonts w:hint="default" w:ascii="Times New Roman" w:hAnsi="Times New Roman" w:eastAsia="方正仿宋_GBK" w:cs="Times New Roman"/>
          <w:spacing w:val="6"/>
          <w:sz w:val="32"/>
          <w:szCs w:val="32"/>
          <w:highlight w:val="none"/>
        </w:rPr>
        <w:t>进一步健全预算绩效管理指标体系，结合《自治区分行业分领域共性项目绩效指标体系》，形成了喀什地区80个行业类别2889条核心三级指标库，绩效目标设置的科学性和精准度明显提高。</w:t>
      </w:r>
      <w:r>
        <w:rPr>
          <w:rFonts w:hint="default" w:ascii="Times New Roman" w:hAnsi="Times New Roman" w:eastAsia="方正仿宋_GBK" w:cs="Times New Roman"/>
          <w:b/>
          <w:bCs/>
          <w:spacing w:val="6"/>
          <w:sz w:val="32"/>
          <w:szCs w:val="32"/>
          <w:highlight w:val="none"/>
        </w:rPr>
        <w:t>二是</w:t>
      </w:r>
      <w:r>
        <w:rPr>
          <w:rFonts w:hint="default" w:ascii="Times New Roman" w:hAnsi="Times New Roman" w:eastAsia="方正仿宋_GBK" w:cs="Times New Roman"/>
          <w:spacing w:val="6"/>
          <w:sz w:val="32"/>
          <w:szCs w:val="32"/>
          <w:highlight w:val="none"/>
        </w:rPr>
        <w:t>项目终了，喀什地区地县各部门单位对7898个769.76亿元项目支出进行自评，做到自评覆盖100%。其中：地区本级涉及1184个项目，预算金额143.07亿元。</w:t>
      </w:r>
      <w:r>
        <w:rPr>
          <w:rFonts w:hint="default" w:ascii="Times New Roman" w:hAnsi="Times New Roman" w:eastAsia="方正仿宋_GBK" w:cs="Times New Roman"/>
          <w:b/>
          <w:bCs/>
          <w:spacing w:val="6"/>
          <w:sz w:val="32"/>
          <w:szCs w:val="32"/>
          <w:highlight w:val="none"/>
        </w:rPr>
        <w:t>三是</w:t>
      </w:r>
      <w:r>
        <w:rPr>
          <w:rFonts w:hint="default" w:ascii="Times New Roman" w:hAnsi="Times New Roman" w:eastAsia="方正仿宋_GBK" w:cs="Times New Roman"/>
          <w:spacing w:val="6"/>
          <w:sz w:val="32"/>
          <w:szCs w:val="32"/>
          <w:highlight w:val="none"/>
        </w:rPr>
        <w:t>财政部门开展重点项目绩效评价。2022年围绕地委、行署重点工作部署和社会关注度较高的项目，地县财政部门结合2021年预算项目安排及项目实施情况，确定140个重点项目委托第三方专业机构进行独立绩效评价，涉及金额25.10亿元，其中：地区本级10个项目，涉及金额0.12亿元，县市130个项目，预算金额24.98亿元。</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bCs/>
          <w:spacing w:val="6"/>
          <w:sz w:val="32"/>
          <w:szCs w:val="32"/>
          <w:highlight w:val="none"/>
        </w:rPr>
        <w:t>——着力打造“阳光财政”。</w:t>
      </w:r>
      <w:r>
        <w:rPr>
          <w:rFonts w:hint="default" w:ascii="Times New Roman" w:hAnsi="Times New Roman" w:eastAsia="方正仿宋_GBK" w:cs="Times New Roman"/>
          <w:spacing w:val="6"/>
          <w:sz w:val="32"/>
          <w:szCs w:val="32"/>
          <w:highlight w:val="none"/>
        </w:rPr>
        <w:t>压紧压实各县市各部门预决算公开工作责任，明确公开时限、规范公开模板、实施公开检查，预决算透明度不断增强。2022年，地区本级及12个县市政府预决算、1972家部门单位的部门预决算全面公开，各级财政部门阳光理财能力和水平持续提高。</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楷体_GBK" w:cs="Times New Roman"/>
          <w:b/>
          <w:bCs/>
          <w:spacing w:val="6"/>
          <w:sz w:val="32"/>
          <w:szCs w:val="32"/>
          <w:highlight w:val="none"/>
        </w:rPr>
      </w:pPr>
      <w:r>
        <w:rPr>
          <w:rFonts w:hint="default" w:ascii="Times New Roman" w:hAnsi="Times New Roman" w:eastAsia="方正楷体_GBK" w:cs="Times New Roman"/>
          <w:b/>
          <w:bCs/>
          <w:spacing w:val="6"/>
          <w:sz w:val="32"/>
          <w:szCs w:val="32"/>
          <w:highlight w:val="none"/>
          <w:lang w:eastAsia="zh-CN"/>
        </w:rPr>
        <w:t>（五）</w:t>
      </w:r>
      <w:r>
        <w:rPr>
          <w:rFonts w:hint="default" w:ascii="Times New Roman" w:hAnsi="Times New Roman" w:eastAsia="方正楷体_GBK" w:cs="Times New Roman"/>
          <w:b/>
          <w:bCs/>
          <w:spacing w:val="6"/>
          <w:sz w:val="32"/>
          <w:szCs w:val="32"/>
          <w:highlight w:val="none"/>
        </w:rPr>
        <w:t>强化风险防控，牢牢守住不发生系统性风险底线</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bCs/>
          <w:spacing w:val="6"/>
          <w:sz w:val="32"/>
          <w:szCs w:val="32"/>
          <w:highlight w:val="none"/>
        </w:rPr>
        <w:t>——坚决防范化解地方政府债务风险。</w:t>
      </w:r>
      <w:r>
        <w:rPr>
          <w:rFonts w:hint="default" w:ascii="Times New Roman" w:hAnsi="Times New Roman" w:eastAsia="方正仿宋_GBK" w:cs="Times New Roman"/>
          <w:spacing w:val="6"/>
          <w:sz w:val="32"/>
          <w:szCs w:val="32"/>
          <w:highlight w:val="none"/>
        </w:rPr>
        <w:t>牢固树立风险意识和底线思维，强化地方政府债务“借、用、管、还”全过程、全链条、全方位管理，严禁违规新增隐性债务，督促各县市各部门足额编列债务还本付息预算，按时足额偿还债务本息，依法合规使用债券资金，坚决筑牢地方政府债务管理红线底线。全年未发生新增违规举债等重大风险事件，全地区隐性债务规模持续降低，政府债务规模合理、风险安全可控。</w:t>
      </w:r>
    </w:p>
    <w:p>
      <w:pPr>
        <w:pageBreakBefore w:val="0"/>
        <w:widowControl/>
        <w:kinsoku/>
        <w:wordWrap/>
        <w:overflowPunct/>
        <w:topLinePunct w:val="0"/>
        <w:bidi w:val="0"/>
        <w:adjustRightInd/>
        <w:spacing w:before="0" w:beforeAutospacing="0" w:after="0" w:afterAutospacing="0" w:line="568" w:lineRule="exact"/>
        <w:ind w:firstLine="667" w:firstLineChars="200"/>
        <w:jc w:val="both"/>
        <w:rPr>
          <w:rFonts w:hint="default" w:ascii="Times New Roman" w:hAnsi="Times New Roman" w:eastAsia="方正仿宋_GBK" w:cs="Times New Roman"/>
          <w:spacing w:val="6"/>
          <w:kern w:val="0"/>
          <w:sz w:val="32"/>
          <w:szCs w:val="32"/>
          <w:highlight w:val="none"/>
          <w:lang w:val="en-US" w:eastAsia="zh-CN" w:bidi="ar-SA"/>
        </w:rPr>
      </w:pPr>
      <w:r>
        <w:rPr>
          <w:rFonts w:hint="default" w:ascii="Times New Roman" w:hAnsi="Times New Roman" w:eastAsia="方正仿宋_GBK" w:cs="Times New Roman"/>
          <w:b/>
          <w:bCs/>
          <w:spacing w:val="6"/>
          <w:kern w:val="0"/>
          <w:sz w:val="32"/>
          <w:szCs w:val="32"/>
          <w:highlight w:val="none"/>
          <w:lang w:val="en-US" w:eastAsia="zh-CN" w:bidi="ar-SA"/>
        </w:rPr>
        <w:t>——坚决筑牢兜实基层“三保”底线。</w:t>
      </w:r>
      <w:r>
        <w:rPr>
          <w:rFonts w:hint="default" w:ascii="Times New Roman" w:hAnsi="Times New Roman" w:eastAsia="方正仿宋_GBK" w:cs="Times New Roman"/>
          <w:spacing w:val="6"/>
          <w:kern w:val="0"/>
          <w:sz w:val="32"/>
          <w:szCs w:val="32"/>
          <w:highlight w:val="none"/>
          <w:lang w:val="en-US" w:eastAsia="zh-CN" w:bidi="ar-SA"/>
        </w:rPr>
        <w:t>压紧压实县市主体责任，强化对基层财政运行情况的监测</w:t>
      </w:r>
      <w:r>
        <w:rPr>
          <w:rFonts w:hint="default" w:ascii="Times New Roman" w:hAnsi="Times New Roman" w:eastAsia="方正仿宋_GBK" w:cs="Times New Roman"/>
          <w:color w:val="333333"/>
          <w:spacing w:val="6"/>
          <w:kern w:val="2"/>
          <w:sz w:val="32"/>
          <w:szCs w:val="32"/>
          <w:highlight w:val="none"/>
          <w:lang w:val="en-US" w:eastAsia="zh-CN" w:bidi="ar-SA"/>
        </w:rPr>
        <w:t>，更加全面、准确评价县区财政运行情况，</w:t>
      </w:r>
      <w:r>
        <w:rPr>
          <w:rFonts w:hint="default" w:ascii="Times New Roman" w:hAnsi="Times New Roman" w:eastAsia="方正仿宋_GBK" w:cs="Times New Roman"/>
          <w:spacing w:val="6"/>
          <w:kern w:val="0"/>
          <w:sz w:val="32"/>
          <w:szCs w:val="32"/>
          <w:highlight w:val="none"/>
          <w:lang w:val="en-US" w:eastAsia="zh-CN" w:bidi="ar-SA"/>
        </w:rPr>
        <w:t>建立工资发放专户，确保“三保”支出在预算编制和支出安排上的优先顺序。进一步下沉财力，加大转移支付力度，确保基层“三保”保障不出现财力缺口。2022年，地区对下转移支付518.52亿元，其中：财力性转移支付229.23亿元，比上年增加47.97亿元，增长26.46%。全地区“三保”支出385.19亿元，教育、社保等7大类51项保基本民生政策全面落实，机关事业单位在编在岗人员工资及时足额发放，各级政府机关、事业单位有序运转。</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楷体_GBK" w:cs="Times New Roman"/>
          <w:b/>
          <w:bCs/>
          <w:spacing w:val="6"/>
          <w:sz w:val="32"/>
          <w:szCs w:val="32"/>
          <w:highlight w:val="none"/>
          <w:lang w:eastAsia="zh-CN"/>
        </w:rPr>
      </w:pPr>
      <w:r>
        <w:rPr>
          <w:rFonts w:hint="default" w:ascii="Times New Roman" w:hAnsi="Times New Roman" w:eastAsia="方正楷体_GBK" w:cs="Times New Roman"/>
          <w:b/>
          <w:bCs/>
          <w:spacing w:val="6"/>
          <w:sz w:val="32"/>
          <w:szCs w:val="32"/>
          <w:highlight w:val="none"/>
          <w:lang w:eastAsia="zh-CN"/>
        </w:rPr>
        <w:t>（六）坚持法治思维，依法行政依法理财能力进一步增强</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bCs/>
          <w:spacing w:val="6"/>
          <w:sz w:val="32"/>
          <w:szCs w:val="32"/>
          <w:highlight w:val="none"/>
        </w:rPr>
        <w:t>——全面深入开展地方财经秩序专项整治行动。</w:t>
      </w:r>
      <w:r>
        <w:rPr>
          <w:rFonts w:hint="default" w:ascii="Times New Roman" w:hAnsi="Times New Roman" w:eastAsia="方正仿宋_GBK" w:cs="Times New Roman"/>
          <w:spacing w:val="6"/>
          <w:sz w:val="32"/>
          <w:szCs w:val="32"/>
          <w:highlight w:val="none"/>
        </w:rPr>
        <w:t>组织开展地方财经秩序专项整治工作，对各县市各部门落实国家减税降费政策、党政机关“过紧日子”、基层“三保”、防范债务风险等7个领域违反财经纪律问题，</w:t>
      </w:r>
      <w:r>
        <w:rPr>
          <w:rFonts w:hint="default" w:ascii="Times New Roman" w:hAnsi="Times New Roman" w:eastAsia="方正仿宋_GBK" w:cs="Times New Roman"/>
          <w:color w:val="333333"/>
          <w:spacing w:val="6"/>
          <w:sz w:val="32"/>
          <w:szCs w:val="32"/>
          <w:highlight w:val="none"/>
        </w:rPr>
        <w:t>推动标本兼治，</w:t>
      </w:r>
      <w:r>
        <w:rPr>
          <w:rFonts w:hint="default" w:ascii="Times New Roman" w:hAnsi="Times New Roman" w:eastAsia="方正仿宋_GBK" w:cs="Times New Roman"/>
          <w:spacing w:val="6"/>
          <w:sz w:val="32"/>
          <w:szCs w:val="32"/>
          <w:highlight w:val="none"/>
        </w:rPr>
        <w:t>开展全面自查自纠和逐级复查。建立问题整改台账，实施清单管理，全面整改查出问题。针对检查发现的问题</w:t>
      </w:r>
      <w:r>
        <w:rPr>
          <w:rFonts w:hint="default" w:ascii="Times New Roman" w:hAnsi="Times New Roman" w:eastAsia="方正仿宋_GBK" w:cs="Times New Roman"/>
          <w:color w:val="333333"/>
          <w:spacing w:val="6"/>
          <w:sz w:val="32"/>
          <w:szCs w:val="32"/>
          <w:highlight w:val="none"/>
        </w:rPr>
        <w:t>，扎紧制度篱笆，指导</w:t>
      </w:r>
      <w:r>
        <w:rPr>
          <w:rFonts w:hint="default" w:ascii="Times New Roman" w:hAnsi="Times New Roman" w:eastAsia="方正仿宋_GBK" w:cs="Times New Roman"/>
          <w:spacing w:val="6"/>
          <w:sz w:val="32"/>
          <w:szCs w:val="32"/>
          <w:highlight w:val="none"/>
        </w:rPr>
        <w:t>各县市财政部门制定修订各项制度，依法理财能力水平得到明显提升。</w:t>
      </w:r>
    </w:p>
    <w:p>
      <w:pPr>
        <w:pageBreakBefore w:val="0"/>
        <w:widowControl/>
        <w:shd w:val="clear" w:color="auto" w:fill="FFFFFF"/>
        <w:kinsoku/>
        <w:wordWrap/>
        <w:overflowPunct/>
        <w:topLinePunct w:val="0"/>
        <w:autoSpaceDE w:val="0"/>
        <w:bidi w:val="0"/>
        <w:adjustRightInd/>
        <w:spacing w:line="568" w:lineRule="exact"/>
        <w:ind w:firstLine="653" w:firstLineChars="196"/>
        <w:jc w:val="both"/>
        <w:rPr>
          <w:rFonts w:hint="default" w:ascii="Times New Roman" w:hAnsi="Times New Roman" w:eastAsia="方正仿宋_GBK" w:cs="Times New Roman"/>
          <w:b/>
          <w:bCs/>
          <w:spacing w:val="6"/>
          <w:sz w:val="32"/>
          <w:szCs w:val="32"/>
          <w:highlight w:val="none"/>
        </w:rPr>
      </w:pPr>
      <w:r>
        <w:rPr>
          <w:rFonts w:hint="default" w:ascii="Times New Roman" w:hAnsi="Times New Roman" w:eastAsia="方正仿宋_GBK" w:cs="Times New Roman"/>
          <w:b/>
          <w:bCs/>
          <w:spacing w:val="6"/>
          <w:sz w:val="32"/>
          <w:szCs w:val="32"/>
          <w:highlight w:val="none"/>
        </w:rPr>
        <w:t>——加强财会监督与其他监督的贯通协调，构建大监督格局。</w:t>
      </w:r>
      <w:r>
        <w:rPr>
          <w:rFonts w:hint="default" w:ascii="Times New Roman" w:hAnsi="Times New Roman" w:eastAsia="方正仿宋_GBK" w:cs="Times New Roman"/>
          <w:color w:val="383838"/>
          <w:spacing w:val="6"/>
          <w:kern w:val="0"/>
          <w:sz w:val="32"/>
          <w:szCs w:val="32"/>
          <w:highlight w:val="none"/>
        </w:rPr>
        <w:t>推进财会监督与巡视巡察监督、纪检监察监督、审计监督、人大监督、民主监督的贯通协调。加强与巡视巡察机构协作，完善通报情况、会商合作、成果共享等制度，研究办理巡视巡察移交的建议；加强与纪检监察机关的贯通协调，强化监督成果运用，依法依规向纪检监察机关移送问题线索。协商选派财会业务骨干参加巡视巡察、纪委监委监督检查和审查调查；强化财审联动。坚持“计划共商、监督共推、信息共享、成果共用、整改共促”，推动财会监督与审计监督发挥各自优势，增强工作合力，相互采信检查结果，减少重复监督；强化与其他监督协同。强化与人大监督、民主监督的配合协同，提高财政财务会计管理水平。强化与行政监督、司法监督、统计监督的协同联动，加强信息共享，形成监督合力。</w:t>
      </w:r>
    </w:p>
    <w:p>
      <w:pPr>
        <w:pageBreakBefore w:val="0"/>
        <w:kinsoku/>
        <w:wordWrap/>
        <w:overflowPunct/>
        <w:topLinePunct w:val="0"/>
        <w:bidi w:val="0"/>
        <w:adjustRightInd/>
        <w:spacing w:line="568" w:lineRule="exact"/>
        <w:ind w:firstLine="667" w:firstLineChars="200"/>
        <w:jc w:val="both"/>
        <w:rPr>
          <w:rFonts w:hint="default" w:ascii="Times New Roman" w:hAnsi="Times New Roman" w:eastAsia="方正仿宋_GBK" w:cs="Times New Roman"/>
          <w:spacing w:val="6"/>
          <w:sz w:val="32"/>
          <w:szCs w:val="32"/>
          <w:highlight w:val="none"/>
        </w:rPr>
      </w:pPr>
      <w:r>
        <w:rPr>
          <w:rFonts w:hint="default" w:ascii="Times New Roman" w:hAnsi="Times New Roman" w:eastAsia="方正仿宋_GBK" w:cs="Times New Roman"/>
          <w:b/>
          <w:bCs/>
          <w:spacing w:val="6"/>
          <w:sz w:val="32"/>
          <w:szCs w:val="32"/>
          <w:highlight w:val="none"/>
        </w:rPr>
        <w:t>——主动接受人大、审计监督检查。</w:t>
      </w:r>
      <w:r>
        <w:rPr>
          <w:rFonts w:hint="default" w:ascii="Times New Roman" w:hAnsi="Times New Roman" w:eastAsia="方正仿宋_GBK" w:cs="Times New Roman"/>
          <w:spacing w:val="6"/>
          <w:sz w:val="32"/>
          <w:szCs w:val="32"/>
          <w:highlight w:val="none"/>
        </w:rPr>
        <w:t>依法向人大常委会报告2022年预算调整等情况，积极协助人大常委会推进预算审查联网监督等工作。积极配合审计部门顺利完成财政预算执行审计，督促指导本级相关部门单位和县市财政部门扎实做好审计查出问题整改工作，审计查出各类问题，压实整改责任，抓好整改落实。把“当下改”和“长久立”结合起来，对一些屡审屡犯问题剖析原因、堵塞漏洞，防止类似情况再次发生。</w:t>
      </w:r>
    </w:p>
    <w:p>
      <w:pPr>
        <w:pageBreakBefore w:val="0"/>
        <w:kinsoku/>
        <w:wordWrap/>
        <w:overflowPunct/>
        <w:topLinePunct w:val="0"/>
        <w:bidi w:val="0"/>
        <w:adjustRightInd/>
        <w:spacing w:line="568" w:lineRule="exact"/>
        <w:ind w:firstLine="664" w:firstLineChars="200"/>
        <w:jc w:val="both"/>
        <w:rPr>
          <w:rFonts w:hint="default" w:ascii="Times New Roman" w:hAnsi="Times New Roman" w:cs="Times New Roman"/>
          <w:spacing w:val="6"/>
          <w:highlight w:val="none"/>
        </w:rPr>
      </w:pPr>
      <w:r>
        <w:rPr>
          <w:rFonts w:hint="default" w:ascii="Times New Roman" w:hAnsi="Times New Roman" w:eastAsia="方正仿宋_GBK" w:cs="Times New Roman"/>
          <w:spacing w:val="6"/>
          <w:sz w:val="32"/>
          <w:szCs w:val="32"/>
          <w:highlight w:val="none"/>
        </w:rPr>
        <w:t>总的看，2022年财政收入保持一定增速，减税降费成效显著，重点支出保障有力，基层“三保”足额保障，专项债券对稳投资作用增强，防范化解政府债务风险有力有效，财政管理和财政改革水平进一步提升。上述成绩的取得是习近平新时代中国特色社会主义思想科学指引的结果，是地委、行署坚强领导的结果，也是人大监督指导和大力支持的结果，是各县市各部门共同努力的结果。同时，我们也清醒地看到，财政运行也还面临一些矛盾和问题，主要是：财政家底不够殷实，刚性支出压力大等问题不容忽视，个别县市政府债务负担较重，偿债压力较大，财政收支矛盾依然存在。对此，我们既正视困难和问题，又坚定信心，将采取积极有力措施切实加以解决。</w:t>
      </w:r>
    </w:p>
    <w:sectPr>
      <w:headerReference r:id="rId5" w:type="first"/>
      <w:footerReference r:id="rId8" w:type="first"/>
      <w:headerReference r:id="rId3" w:type="default"/>
      <w:footerReference r:id="rId6" w:type="default"/>
      <w:headerReference r:id="rId4" w:type="even"/>
      <w:footerReference r:id="rId7" w:type="even"/>
      <w:pgSz w:w="11906" w:h="16838"/>
      <w:pgMar w:top="1984" w:right="1531" w:bottom="1701" w:left="1531" w:header="850" w:footer="850" w:gutter="0"/>
      <w:pgNumType w:fmt="decimal" w:start="1"/>
      <w:cols w:space="0" w:num="1"/>
      <w:docGrid w:type="lines" w:linePitch="4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MingLiU">
    <w:panose1 w:val="02020509000000000000"/>
    <w:charset w:val="88"/>
    <w:family w:val="modern"/>
    <w:pitch w:val="default"/>
    <w:sig w:usb0="A00002FF" w:usb1="28CFFCFA" w:usb2="00000016" w:usb3="00000000" w:csb0="00100001"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0" w:firstLineChars="0"/>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7"/>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16</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1">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zql5uc8AAAAF&#10;AQAADwAAAAAAAAABACAAAAAiAAAAZHJzL2Rvd25yZXYueG1sUEsBAhQAFAAAAAgAh07iQLINYa+z&#10;AQAAWQMAAA4AAAAAAAAAAQAgAAAAHgEAAGRycy9lMm9Eb2MueG1sUEsFBgAAAAAGAAYAWQEAAEMF&#10;AAAAAA==&#10;">
              <v:fill on="f" focussize="0,0"/>
              <v:stroke on="f"/>
              <v:imagedata o:title=""/>
              <o:lock v:ext="edit" aspectratio="f"/>
              <v:textbox inset="0mm,0mm,0mm,0mm" style="mso-fit-shape-to-text:t;">
                <w:txbxContent>
                  <w:p>
                    <w:pPr>
                      <w:pStyle w:val="7"/>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16</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8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8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ind w:firstLine="38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8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8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07D72"/>
    <w:multiLevelType w:val="singleLevel"/>
    <w:tmpl w:val="22207D72"/>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220"/>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B94"/>
    <w:rsid w:val="0005387B"/>
    <w:rsid w:val="000A384A"/>
    <w:rsid w:val="000F5E99"/>
    <w:rsid w:val="001032CF"/>
    <w:rsid w:val="00167699"/>
    <w:rsid w:val="00167EA2"/>
    <w:rsid w:val="00172A27"/>
    <w:rsid w:val="0018451D"/>
    <w:rsid w:val="001A0335"/>
    <w:rsid w:val="001D2CE2"/>
    <w:rsid w:val="00207814"/>
    <w:rsid w:val="002106EC"/>
    <w:rsid w:val="002268EC"/>
    <w:rsid w:val="00262FDF"/>
    <w:rsid w:val="002A5390"/>
    <w:rsid w:val="002C4FBB"/>
    <w:rsid w:val="00364012"/>
    <w:rsid w:val="003753DF"/>
    <w:rsid w:val="00386C04"/>
    <w:rsid w:val="003A2FA8"/>
    <w:rsid w:val="003C4D7B"/>
    <w:rsid w:val="003D1EF0"/>
    <w:rsid w:val="003D1F7C"/>
    <w:rsid w:val="003F4654"/>
    <w:rsid w:val="0041048D"/>
    <w:rsid w:val="004D4C2A"/>
    <w:rsid w:val="005279A3"/>
    <w:rsid w:val="0054607D"/>
    <w:rsid w:val="00546155"/>
    <w:rsid w:val="00563C9C"/>
    <w:rsid w:val="00564214"/>
    <w:rsid w:val="005B3526"/>
    <w:rsid w:val="005C358B"/>
    <w:rsid w:val="005E150C"/>
    <w:rsid w:val="00655C99"/>
    <w:rsid w:val="00671921"/>
    <w:rsid w:val="0068729A"/>
    <w:rsid w:val="006C6128"/>
    <w:rsid w:val="006E022B"/>
    <w:rsid w:val="006E6AA9"/>
    <w:rsid w:val="00763BF9"/>
    <w:rsid w:val="007859A7"/>
    <w:rsid w:val="007901EC"/>
    <w:rsid w:val="0079401D"/>
    <w:rsid w:val="007F3213"/>
    <w:rsid w:val="008154CB"/>
    <w:rsid w:val="00845630"/>
    <w:rsid w:val="00895EEA"/>
    <w:rsid w:val="008A274C"/>
    <w:rsid w:val="008C4040"/>
    <w:rsid w:val="008D39D9"/>
    <w:rsid w:val="008F3138"/>
    <w:rsid w:val="009003F6"/>
    <w:rsid w:val="00955266"/>
    <w:rsid w:val="00966A73"/>
    <w:rsid w:val="00972933"/>
    <w:rsid w:val="00982326"/>
    <w:rsid w:val="009A15B2"/>
    <w:rsid w:val="009D757D"/>
    <w:rsid w:val="00A5670B"/>
    <w:rsid w:val="00A863D9"/>
    <w:rsid w:val="00B57730"/>
    <w:rsid w:val="00B64604"/>
    <w:rsid w:val="00B65292"/>
    <w:rsid w:val="00B66CC7"/>
    <w:rsid w:val="00B66F9A"/>
    <w:rsid w:val="00B741E6"/>
    <w:rsid w:val="00B8246E"/>
    <w:rsid w:val="00C069B2"/>
    <w:rsid w:val="00C575A0"/>
    <w:rsid w:val="00C86EC4"/>
    <w:rsid w:val="00CA6BFF"/>
    <w:rsid w:val="00CC5977"/>
    <w:rsid w:val="00CD4EE4"/>
    <w:rsid w:val="00CE6272"/>
    <w:rsid w:val="00D214E8"/>
    <w:rsid w:val="00D21B14"/>
    <w:rsid w:val="00D57BB2"/>
    <w:rsid w:val="00D60E10"/>
    <w:rsid w:val="00D7239F"/>
    <w:rsid w:val="00DD6E5A"/>
    <w:rsid w:val="00E453C9"/>
    <w:rsid w:val="00E56B58"/>
    <w:rsid w:val="00E625EF"/>
    <w:rsid w:val="00F2375A"/>
    <w:rsid w:val="00F53541"/>
    <w:rsid w:val="01031CEA"/>
    <w:rsid w:val="010D3EB8"/>
    <w:rsid w:val="0137240F"/>
    <w:rsid w:val="01427818"/>
    <w:rsid w:val="016B715F"/>
    <w:rsid w:val="016C6DD1"/>
    <w:rsid w:val="018510FC"/>
    <w:rsid w:val="018F4AE5"/>
    <w:rsid w:val="0199083B"/>
    <w:rsid w:val="01BA11B6"/>
    <w:rsid w:val="01BE5C71"/>
    <w:rsid w:val="01FD094B"/>
    <w:rsid w:val="020375EA"/>
    <w:rsid w:val="023C4B39"/>
    <w:rsid w:val="023F0BF9"/>
    <w:rsid w:val="02611223"/>
    <w:rsid w:val="0280082E"/>
    <w:rsid w:val="029E4AA5"/>
    <w:rsid w:val="02A1474D"/>
    <w:rsid w:val="02A74DC5"/>
    <w:rsid w:val="02B201EF"/>
    <w:rsid w:val="02B578CC"/>
    <w:rsid w:val="02C5020E"/>
    <w:rsid w:val="02D310BC"/>
    <w:rsid w:val="02D85D26"/>
    <w:rsid w:val="02DC1835"/>
    <w:rsid w:val="03205EB7"/>
    <w:rsid w:val="03343AA0"/>
    <w:rsid w:val="03343BDF"/>
    <w:rsid w:val="035D55DC"/>
    <w:rsid w:val="03636931"/>
    <w:rsid w:val="036655A7"/>
    <w:rsid w:val="03772AC3"/>
    <w:rsid w:val="037C6651"/>
    <w:rsid w:val="038717F7"/>
    <w:rsid w:val="03A526F0"/>
    <w:rsid w:val="03B54FA7"/>
    <w:rsid w:val="03BA5A5C"/>
    <w:rsid w:val="03CA218F"/>
    <w:rsid w:val="03DE1BE8"/>
    <w:rsid w:val="03F47B4A"/>
    <w:rsid w:val="040268EB"/>
    <w:rsid w:val="042412C0"/>
    <w:rsid w:val="0425197D"/>
    <w:rsid w:val="043200BB"/>
    <w:rsid w:val="046B5A24"/>
    <w:rsid w:val="047A0D8B"/>
    <w:rsid w:val="047F4245"/>
    <w:rsid w:val="048877AE"/>
    <w:rsid w:val="04B05FAE"/>
    <w:rsid w:val="04D72679"/>
    <w:rsid w:val="04DE12C1"/>
    <w:rsid w:val="04FB1DEE"/>
    <w:rsid w:val="050444A6"/>
    <w:rsid w:val="05135E41"/>
    <w:rsid w:val="0519138A"/>
    <w:rsid w:val="05474710"/>
    <w:rsid w:val="05621886"/>
    <w:rsid w:val="05665326"/>
    <w:rsid w:val="056D5AE0"/>
    <w:rsid w:val="059411FA"/>
    <w:rsid w:val="059721DF"/>
    <w:rsid w:val="059C5472"/>
    <w:rsid w:val="05C07166"/>
    <w:rsid w:val="05D17592"/>
    <w:rsid w:val="05DD2BEB"/>
    <w:rsid w:val="06084AF9"/>
    <w:rsid w:val="06245D13"/>
    <w:rsid w:val="06280666"/>
    <w:rsid w:val="063C11B0"/>
    <w:rsid w:val="0641557D"/>
    <w:rsid w:val="0663784C"/>
    <w:rsid w:val="0665252B"/>
    <w:rsid w:val="066A2A05"/>
    <w:rsid w:val="06811325"/>
    <w:rsid w:val="069316B6"/>
    <w:rsid w:val="06B4526C"/>
    <w:rsid w:val="06B55AA8"/>
    <w:rsid w:val="06D31D6B"/>
    <w:rsid w:val="07023983"/>
    <w:rsid w:val="07392FF5"/>
    <w:rsid w:val="0752777F"/>
    <w:rsid w:val="07872A03"/>
    <w:rsid w:val="078E1880"/>
    <w:rsid w:val="0793383D"/>
    <w:rsid w:val="07B37549"/>
    <w:rsid w:val="07BF936E"/>
    <w:rsid w:val="07C172E1"/>
    <w:rsid w:val="07CA41F0"/>
    <w:rsid w:val="07D75C67"/>
    <w:rsid w:val="07DB17C1"/>
    <w:rsid w:val="07E31DCE"/>
    <w:rsid w:val="08306EEF"/>
    <w:rsid w:val="083E169D"/>
    <w:rsid w:val="084135CE"/>
    <w:rsid w:val="08556722"/>
    <w:rsid w:val="08564DBF"/>
    <w:rsid w:val="085F66F7"/>
    <w:rsid w:val="08704B3B"/>
    <w:rsid w:val="08806848"/>
    <w:rsid w:val="088F74B4"/>
    <w:rsid w:val="08A342FC"/>
    <w:rsid w:val="09056582"/>
    <w:rsid w:val="09337749"/>
    <w:rsid w:val="094829E5"/>
    <w:rsid w:val="095C67DF"/>
    <w:rsid w:val="095D4865"/>
    <w:rsid w:val="096932A6"/>
    <w:rsid w:val="096C66B7"/>
    <w:rsid w:val="096E3FAA"/>
    <w:rsid w:val="09A92269"/>
    <w:rsid w:val="09B16E4F"/>
    <w:rsid w:val="09CA37B0"/>
    <w:rsid w:val="09CC51EE"/>
    <w:rsid w:val="09DA4C1F"/>
    <w:rsid w:val="09E649DB"/>
    <w:rsid w:val="09EE44B0"/>
    <w:rsid w:val="09F13633"/>
    <w:rsid w:val="0A225B07"/>
    <w:rsid w:val="0A296E48"/>
    <w:rsid w:val="0A6568A3"/>
    <w:rsid w:val="0A695114"/>
    <w:rsid w:val="0A7735F2"/>
    <w:rsid w:val="0A810C95"/>
    <w:rsid w:val="0A813E52"/>
    <w:rsid w:val="0A8356FA"/>
    <w:rsid w:val="0A9E2435"/>
    <w:rsid w:val="0AA57A21"/>
    <w:rsid w:val="0AA8486D"/>
    <w:rsid w:val="0AE93961"/>
    <w:rsid w:val="0B023D77"/>
    <w:rsid w:val="0B0267D5"/>
    <w:rsid w:val="0B027EE9"/>
    <w:rsid w:val="0B044F80"/>
    <w:rsid w:val="0B0A1559"/>
    <w:rsid w:val="0B130F9C"/>
    <w:rsid w:val="0B35480A"/>
    <w:rsid w:val="0B6A1D4E"/>
    <w:rsid w:val="0B7571EE"/>
    <w:rsid w:val="0B79615B"/>
    <w:rsid w:val="0B824120"/>
    <w:rsid w:val="0B837201"/>
    <w:rsid w:val="0B876776"/>
    <w:rsid w:val="0B9C46C6"/>
    <w:rsid w:val="0BB73C57"/>
    <w:rsid w:val="0C014F46"/>
    <w:rsid w:val="0C0677FB"/>
    <w:rsid w:val="0C136838"/>
    <w:rsid w:val="0C232583"/>
    <w:rsid w:val="0C29405A"/>
    <w:rsid w:val="0C512EF2"/>
    <w:rsid w:val="0C585DCE"/>
    <w:rsid w:val="0C5E534F"/>
    <w:rsid w:val="0C73038D"/>
    <w:rsid w:val="0C8E51C7"/>
    <w:rsid w:val="0CA932F0"/>
    <w:rsid w:val="0CA97B74"/>
    <w:rsid w:val="0CB41C82"/>
    <w:rsid w:val="0CD60690"/>
    <w:rsid w:val="0CEC31DF"/>
    <w:rsid w:val="0D0A41B7"/>
    <w:rsid w:val="0D171D50"/>
    <w:rsid w:val="0D395138"/>
    <w:rsid w:val="0D5A714C"/>
    <w:rsid w:val="0D6E451B"/>
    <w:rsid w:val="0D767BCE"/>
    <w:rsid w:val="0D901E00"/>
    <w:rsid w:val="0D955FCB"/>
    <w:rsid w:val="0DA012F0"/>
    <w:rsid w:val="0DC45586"/>
    <w:rsid w:val="0DF579C9"/>
    <w:rsid w:val="0DFC7429"/>
    <w:rsid w:val="0E004A41"/>
    <w:rsid w:val="0E074F3E"/>
    <w:rsid w:val="0E1F6341"/>
    <w:rsid w:val="0E6756A6"/>
    <w:rsid w:val="0EA9580C"/>
    <w:rsid w:val="0EC517E9"/>
    <w:rsid w:val="0ED66370"/>
    <w:rsid w:val="0EE03DB2"/>
    <w:rsid w:val="0EF026D2"/>
    <w:rsid w:val="0F0F6713"/>
    <w:rsid w:val="0F1F15FF"/>
    <w:rsid w:val="0F217F75"/>
    <w:rsid w:val="0F536EF9"/>
    <w:rsid w:val="0F5E106A"/>
    <w:rsid w:val="0F5E30D3"/>
    <w:rsid w:val="0F5E5658"/>
    <w:rsid w:val="0F6A372C"/>
    <w:rsid w:val="0F763214"/>
    <w:rsid w:val="0F7774D1"/>
    <w:rsid w:val="0F961697"/>
    <w:rsid w:val="0FBA3E6C"/>
    <w:rsid w:val="0FBC0DE8"/>
    <w:rsid w:val="0FBD4686"/>
    <w:rsid w:val="0FE3615D"/>
    <w:rsid w:val="0FEF586E"/>
    <w:rsid w:val="0FF33FBB"/>
    <w:rsid w:val="100F6F98"/>
    <w:rsid w:val="102E1932"/>
    <w:rsid w:val="10517378"/>
    <w:rsid w:val="107B7FFC"/>
    <w:rsid w:val="10A71360"/>
    <w:rsid w:val="10B63C26"/>
    <w:rsid w:val="10C6146D"/>
    <w:rsid w:val="10DE039E"/>
    <w:rsid w:val="10F0233A"/>
    <w:rsid w:val="10F211DB"/>
    <w:rsid w:val="111452ED"/>
    <w:rsid w:val="11180260"/>
    <w:rsid w:val="112923C9"/>
    <w:rsid w:val="113033B4"/>
    <w:rsid w:val="113D673A"/>
    <w:rsid w:val="114957B6"/>
    <w:rsid w:val="118A777C"/>
    <w:rsid w:val="119F09B6"/>
    <w:rsid w:val="11CC6652"/>
    <w:rsid w:val="11D14087"/>
    <w:rsid w:val="11D342F4"/>
    <w:rsid w:val="11EA4992"/>
    <w:rsid w:val="11FE57A0"/>
    <w:rsid w:val="122D23A5"/>
    <w:rsid w:val="124B6AD6"/>
    <w:rsid w:val="12555801"/>
    <w:rsid w:val="125A5C0B"/>
    <w:rsid w:val="127011B1"/>
    <w:rsid w:val="12747971"/>
    <w:rsid w:val="127C282F"/>
    <w:rsid w:val="12866D5F"/>
    <w:rsid w:val="12BF7193"/>
    <w:rsid w:val="12D47BB9"/>
    <w:rsid w:val="12D741A9"/>
    <w:rsid w:val="12DD30C1"/>
    <w:rsid w:val="12E36055"/>
    <w:rsid w:val="12F57A9A"/>
    <w:rsid w:val="12FB6928"/>
    <w:rsid w:val="12FC0898"/>
    <w:rsid w:val="131F065E"/>
    <w:rsid w:val="13595714"/>
    <w:rsid w:val="13767425"/>
    <w:rsid w:val="139772F1"/>
    <w:rsid w:val="139A21CE"/>
    <w:rsid w:val="13A74438"/>
    <w:rsid w:val="13BF27F8"/>
    <w:rsid w:val="13C13E24"/>
    <w:rsid w:val="13DC3935"/>
    <w:rsid w:val="13DD2DD8"/>
    <w:rsid w:val="13F005D3"/>
    <w:rsid w:val="13FB6532"/>
    <w:rsid w:val="140E242D"/>
    <w:rsid w:val="141C3B6D"/>
    <w:rsid w:val="14241729"/>
    <w:rsid w:val="14251801"/>
    <w:rsid w:val="142D6168"/>
    <w:rsid w:val="14495A0B"/>
    <w:rsid w:val="14522114"/>
    <w:rsid w:val="146D193A"/>
    <w:rsid w:val="1480471E"/>
    <w:rsid w:val="14A5349B"/>
    <w:rsid w:val="14D9600D"/>
    <w:rsid w:val="15090F7D"/>
    <w:rsid w:val="15132670"/>
    <w:rsid w:val="15264C0D"/>
    <w:rsid w:val="15334B5F"/>
    <w:rsid w:val="1558268F"/>
    <w:rsid w:val="15612774"/>
    <w:rsid w:val="158348F2"/>
    <w:rsid w:val="15AB75C3"/>
    <w:rsid w:val="15B0289B"/>
    <w:rsid w:val="15F11692"/>
    <w:rsid w:val="15F4786E"/>
    <w:rsid w:val="15FE0171"/>
    <w:rsid w:val="160766CA"/>
    <w:rsid w:val="16124D55"/>
    <w:rsid w:val="16471C36"/>
    <w:rsid w:val="164B150E"/>
    <w:rsid w:val="16545DE1"/>
    <w:rsid w:val="16631B73"/>
    <w:rsid w:val="166429E7"/>
    <w:rsid w:val="16922313"/>
    <w:rsid w:val="16E56729"/>
    <w:rsid w:val="17081A24"/>
    <w:rsid w:val="170B1C40"/>
    <w:rsid w:val="17164E3C"/>
    <w:rsid w:val="172C770A"/>
    <w:rsid w:val="1730435F"/>
    <w:rsid w:val="1740757C"/>
    <w:rsid w:val="17500704"/>
    <w:rsid w:val="17595EA6"/>
    <w:rsid w:val="176470F3"/>
    <w:rsid w:val="177D5FB4"/>
    <w:rsid w:val="179C72AE"/>
    <w:rsid w:val="17B44AF1"/>
    <w:rsid w:val="17B92C30"/>
    <w:rsid w:val="17D23833"/>
    <w:rsid w:val="17F7B4B7"/>
    <w:rsid w:val="1845271C"/>
    <w:rsid w:val="184C0798"/>
    <w:rsid w:val="18897476"/>
    <w:rsid w:val="18A23391"/>
    <w:rsid w:val="18EC7FA2"/>
    <w:rsid w:val="18FD436A"/>
    <w:rsid w:val="18FE77BA"/>
    <w:rsid w:val="191327C3"/>
    <w:rsid w:val="19306D09"/>
    <w:rsid w:val="19621F78"/>
    <w:rsid w:val="1967771F"/>
    <w:rsid w:val="19875202"/>
    <w:rsid w:val="198C2026"/>
    <w:rsid w:val="19A6739F"/>
    <w:rsid w:val="19E83150"/>
    <w:rsid w:val="19FC663B"/>
    <w:rsid w:val="1A035FF4"/>
    <w:rsid w:val="1A2B2D17"/>
    <w:rsid w:val="1A4C2FA3"/>
    <w:rsid w:val="1A5B03EA"/>
    <w:rsid w:val="1A5D6DAE"/>
    <w:rsid w:val="1A6832D9"/>
    <w:rsid w:val="1A6E2BAC"/>
    <w:rsid w:val="1A6F1B10"/>
    <w:rsid w:val="1A7446A5"/>
    <w:rsid w:val="1A7A1168"/>
    <w:rsid w:val="1AAA08EA"/>
    <w:rsid w:val="1ABC59F2"/>
    <w:rsid w:val="1ADC3CA2"/>
    <w:rsid w:val="1AE26E6E"/>
    <w:rsid w:val="1AE77DC4"/>
    <w:rsid w:val="1AF94260"/>
    <w:rsid w:val="1AFD0C5A"/>
    <w:rsid w:val="1B006F6F"/>
    <w:rsid w:val="1B303F7C"/>
    <w:rsid w:val="1B467B5B"/>
    <w:rsid w:val="1B5343F4"/>
    <w:rsid w:val="1B803FDE"/>
    <w:rsid w:val="1B8179A0"/>
    <w:rsid w:val="1BB146FB"/>
    <w:rsid w:val="1BBA48F0"/>
    <w:rsid w:val="1BD755D2"/>
    <w:rsid w:val="1BF016D8"/>
    <w:rsid w:val="1BF60DA2"/>
    <w:rsid w:val="1BFA0195"/>
    <w:rsid w:val="1BFC12E4"/>
    <w:rsid w:val="1C046151"/>
    <w:rsid w:val="1C2D4EF8"/>
    <w:rsid w:val="1C4B393B"/>
    <w:rsid w:val="1CBD72F3"/>
    <w:rsid w:val="1CC34F4F"/>
    <w:rsid w:val="1CD55FD0"/>
    <w:rsid w:val="1CFD7F4D"/>
    <w:rsid w:val="1D05186E"/>
    <w:rsid w:val="1D082BE0"/>
    <w:rsid w:val="1D2F5302"/>
    <w:rsid w:val="1D4E0031"/>
    <w:rsid w:val="1D620E37"/>
    <w:rsid w:val="1D676D61"/>
    <w:rsid w:val="1D6C2280"/>
    <w:rsid w:val="1D7065A4"/>
    <w:rsid w:val="1D737965"/>
    <w:rsid w:val="1D845391"/>
    <w:rsid w:val="1D906B21"/>
    <w:rsid w:val="1D9C317A"/>
    <w:rsid w:val="1DAF32C1"/>
    <w:rsid w:val="1DCF0F40"/>
    <w:rsid w:val="1DED3CF5"/>
    <w:rsid w:val="1DFA419F"/>
    <w:rsid w:val="1DFE3247"/>
    <w:rsid w:val="1E0D6423"/>
    <w:rsid w:val="1E0D7CA5"/>
    <w:rsid w:val="1E2971DC"/>
    <w:rsid w:val="1E5A34C0"/>
    <w:rsid w:val="1E6E1F48"/>
    <w:rsid w:val="1E7569C8"/>
    <w:rsid w:val="1E907262"/>
    <w:rsid w:val="1EA61256"/>
    <w:rsid w:val="1EB9459D"/>
    <w:rsid w:val="1EDB04F9"/>
    <w:rsid w:val="1F2614A7"/>
    <w:rsid w:val="1F3B0709"/>
    <w:rsid w:val="1F63185A"/>
    <w:rsid w:val="1F7B5759"/>
    <w:rsid w:val="1F910AB6"/>
    <w:rsid w:val="1F911779"/>
    <w:rsid w:val="1FA538B9"/>
    <w:rsid w:val="1FC665BE"/>
    <w:rsid w:val="1FE41376"/>
    <w:rsid w:val="1FF24E77"/>
    <w:rsid w:val="1FF4152D"/>
    <w:rsid w:val="1FFC6B46"/>
    <w:rsid w:val="201C0531"/>
    <w:rsid w:val="205B1C9B"/>
    <w:rsid w:val="20915ADB"/>
    <w:rsid w:val="20A01C40"/>
    <w:rsid w:val="20A17DBA"/>
    <w:rsid w:val="20AC18AB"/>
    <w:rsid w:val="20B42ADB"/>
    <w:rsid w:val="20B47BCE"/>
    <w:rsid w:val="20CC7977"/>
    <w:rsid w:val="20D77D7E"/>
    <w:rsid w:val="218716CC"/>
    <w:rsid w:val="21917D32"/>
    <w:rsid w:val="21A66B16"/>
    <w:rsid w:val="21B040D4"/>
    <w:rsid w:val="21BF24AE"/>
    <w:rsid w:val="21CC4B89"/>
    <w:rsid w:val="21E34CF7"/>
    <w:rsid w:val="21F50715"/>
    <w:rsid w:val="21FB04E1"/>
    <w:rsid w:val="221C1543"/>
    <w:rsid w:val="22200EBD"/>
    <w:rsid w:val="22471229"/>
    <w:rsid w:val="226A31B1"/>
    <w:rsid w:val="226E7528"/>
    <w:rsid w:val="227131EE"/>
    <w:rsid w:val="227B085D"/>
    <w:rsid w:val="22806051"/>
    <w:rsid w:val="22841FB4"/>
    <w:rsid w:val="22BB0EE7"/>
    <w:rsid w:val="22C00D33"/>
    <w:rsid w:val="22C02947"/>
    <w:rsid w:val="22C51B39"/>
    <w:rsid w:val="22DB2C63"/>
    <w:rsid w:val="22ED5D82"/>
    <w:rsid w:val="22EE5FF7"/>
    <w:rsid w:val="22F42C95"/>
    <w:rsid w:val="230B4466"/>
    <w:rsid w:val="231E6DF5"/>
    <w:rsid w:val="233112EA"/>
    <w:rsid w:val="23325F98"/>
    <w:rsid w:val="23370DD4"/>
    <w:rsid w:val="233F40F0"/>
    <w:rsid w:val="23961592"/>
    <w:rsid w:val="239A3702"/>
    <w:rsid w:val="239A5AC1"/>
    <w:rsid w:val="23B81CF6"/>
    <w:rsid w:val="23C27B38"/>
    <w:rsid w:val="24187520"/>
    <w:rsid w:val="243432FD"/>
    <w:rsid w:val="243D5764"/>
    <w:rsid w:val="244833FE"/>
    <w:rsid w:val="24486790"/>
    <w:rsid w:val="247B02D4"/>
    <w:rsid w:val="247C4BBB"/>
    <w:rsid w:val="248D12C9"/>
    <w:rsid w:val="24A233C0"/>
    <w:rsid w:val="24C2224A"/>
    <w:rsid w:val="251F3890"/>
    <w:rsid w:val="252F5865"/>
    <w:rsid w:val="254F167F"/>
    <w:rsid w:val="256930F0"/>
    <w:rsid w:val="25853DE7"/>
    <w:rsid w:val="25A55332"/>
    <w:rsid w:val="25A9073C"/>
    <w:rsid w:val="25AC2A42"/>
    <w:rsid w:val="25B51E8E"/>
    <w:rsid w:val="25CE0804"/>
    <w:rsid w:val="25E23321"/>
    <w:rsid w:val="25F22DF0"/>
    <w:rsid w:val="25F9162F"/>
    <w:rsid w:val="26072147"/>
    <w:rsid w:val="26130342"/>
    <w:rsid w:val="2634136C"/>
    <w:rsid w:val="26653DE3"/>
    <w:rsid w:val="26715679"/>
    <w:rsid w:val="267F12D3"/>
    <w:rsid w:val="268D6F2B"/>
    <w:rsid w:val="269A694A"/>
    <w:rsid w:val="26B1018B"/>
    <w:rsid w:val="26FF1083"/>
    <w:rsid w:val="27047DCF"/>
    <w:rsid w:val="273D1EEB"/>
    <w:rsid w:val="2755B2CD"/>
    <w:rsid w:val="275E7D88"/>
    <w:rsid w:val="275F586A"/>
    <w:rsid w:val="2765776C"/>
    <w:rsid w:val="277637D7"/>
    <w:rsid w:val="277A4821"/>
    <w:rsid w:val="277C70D6"/>
    <w:rsid w:val="278062B6"/>
    <w:rsid w:val="27812A67"/>
    <w:rsid w:val="27844390"/>
    <w:rsid w:val="27896C2A"/>
    <w:rsid w:val="27B6764B"/>
    <w:rsid w:val="27D5745E"/>
    <w:rsid w:val="27E40711"/>
    <w:rsid w:val="27EB680B"/>
    <w:rsid w:val="27F1158F"/>
    <w:rsid w:val="27F80219"/>
    <w:rsid w:val="27FE5171"/>
    <w:rsid w:val="280919FF"/>
    <w:rsid w:val="28114164"/>
    <w:rsid w:val="282F27C1"/>
    <w:rsid w:val="284D7EF4"/>
    <w:rsid w:val="285905B5"/>
    <w:rsid w:val="28596760"/>
    <w:rsid w:val="286B6E3E"/>
    <w:rsid w:val="28814BDD"/>
    <w:rsid w:val="289D436F"/>
    <w:rsid w:val="28A01BF4"/>
    <w:rsid w:val="28AD27C1"/>
    <w:rsid w:val="28D26D11"/>
    <w:rsid w:val="28DA18DC"/>
    <w:rsid w:val="293064BF"/>
    <w:rsid w:val="29310DE4"/>
    <w:rsid w:val="294970F9"/>
    <w:rsid w:val="296D716A"/>
    <w:rsid w:val="29772C23"/>
    <w:rsid w:val="298237A7"/>
    <w:rsid w:val="298252FB"/>
    <w:rsid w:val="298C74CD"/>
    <w:rsid w:val="29932C48"/>
    <w:rsid w:val="299E5809"/>
    <w:rsid w:val="29AB0DD5"/>
    <w:rsid w:val="29AC1CBE"/>
    <w:rsid w:val="29B37CD9"/>
    <w:rsid w:val="29B63587"/>
    <w:rsid w:val="29C54721"/>
    <w:rsid w:val="29FD1867"/>
    <w:rsid w:val="2A1435BD"/>
    <w:rsid w:val="2A191BC9"/>
    <w:rsid w:val="2A224C66"/>
    <w:rsid w:val="2A295723"/>
    <w:rsid w:val="2A33574E"/>
    <w:rsid w:val="2A3C2B3E"/>
    <w:rsid w:val="2A3F3384"/>
    <w:rsid w:val="2A5C7056"/>
    <w:rsid w:val="2A8A2ED9"/>
    <w:rsid w:val="2AA071DC"/>
    <w:rsid w:val="2AC10BA2"/>
    <w:rsid w:val="2AC1339E"/>
    <w:rsid w:val="2ADA5C8E"/>
    <w:rsid w:val="2B0D1C67"/>
    <w:rsid w:val="2B0E6F3E"/>
    <w:rsid w:val="2B122F11"/>
    <w:rsid w:val="2B147D98"/>
    <w:rsid w:val="2B166566"/>
    <w:rsid w:val="2B1969D4"/>
    <w:rsid w:val="2B4413EB"/>
    <w:rsid w:val="2B4875FA"/>
    <w:rsid w:val="2B57571C"/>
    <w:rsid w:val="2B905F01"/>
    <w:rsid w:val="2B922E83"/>
    <w:rsid w:val="2BDD7307"/>
    <w:rsid w:val="2BF64AE8"/>
    <w:rsid w:val="2C2F240C"/>
    <w:rsid w:val="2C387538"/>
    <w:rsid w:val="2C402B1F"/>
    <w:rsid w:val="2C4F3434"/>
    <w:rsid w:val="2C5E094E"/>
    <w:rsid w:val="2C880E01"/>
    <w:rsid w:val="2C9073B1"/>
    <w:rsid w:val="2C9528C7"/>
    <w:rsid w:val="2CE801E9"/>
    <w:rsid w:val="2CF412BE"/>
    <w:rsid w:val="2CFB5F79"/>
    <w:rsid w:val="2D270638"/>
    <w:rsid w:val="2D3D5ACE"/>
    <w:rsid w:val="2D4A7FE0"/>
    <w:rsid w:val="2D527847"/>
    <w:rsid w:val="2D707AD1"/>
    <w:rsid w:val="2D7E242E"/>
    <w:rsid w:val="2D9B6DF8"/>
    <w:rsid w:val="2DD53047"/>
    <w:rsid w:val="2DFC262D"/>
    <w:rsid w:val="2E2C6AF0"/>
    <w:rsid w:val="2E313662"/>
    <w:rsid w:val="2E3679EF"/>
    <w:rsid w:val="2E374F71"/>
    <w:rsid w:val="2E3832C5"/>
    <w:rsid w:val="2E4E30B2"/>
    <w:rsid w:val="2E523268"/>
    <w:rsid w:val="2E690F0D"/>
    <w:rsid w:val="2E8E3495"/>
    <w:rsid w:val="2E994A46"/>
    <w:rsid w:val="2EAB373D"/>
    <w:rsid w:val="2EC83573"/>
    <w:rsid w:val="2ECA6930"/>
    <w:rsid w:val="2EDA792F"/>
    <w:rsid w:val="2EDE6E5E"/>
    <w:rsid w:val="2F0146D6"/>
    <w:rsid w:val="2F070856"/>
    <w:rsid w:val="2F274F34"/>
    <w:rsid w:val="2F434785"/>
    <w:rsid w:val="2F5451CD"/>
    <w:rsid w:val="2F661F31"/>
    <w:rsid w:val="2F6E6BFF"/>
    <w:rsid w:val="2F6F3E8E"/>
    <w:rsid w:val="2F886C8D"/>
    <w:rsid w:val="2F8D260D"/>
    <w:rsid w:val="2FA10345"/>
    <w:rsid w:val="2FA204B3"/>
    <w:rsid w:val="2FE02C28"/>
    <w:rsid w:val="2FE3169D"/>
    <w:rsid w:val="2FE7214B"/>
    <w:rsid w:val="2FED0F69"/>
    <w:rsid w:val="2FEE7BCD"/>
    <w:rsid w:val="2FF00364"/>
    <w:rsid w:val="2FF50979"/>
    <w:rsid w:val="2FF91E1A"/>
    <w:rsid w:val="300F3B9D"/>
    <w:rsid w:val="30362798"/>
    <w:rsid w:val="305574F4"/>
    <w:rsid w:val="305E23CF"/>
    <w:rsid w:val="30797467"/>
    <w:rsid w:val="308B3CD6"/>
    <w:rsid w:val="30916444"/>
    <w:rsid w:val="309A54EA"/>
    <w:rsid w:val="309F3A1B"/>
    <w:rsid w:val="30BF04DF"/>
    <w:rsid w:val="30CC49E6"/>
    <w:rsid w:val="31002D37"/>
    <w:rsid w:val="31200516"/>
    <w:rsid w:val="31217835"/>
    <w:rsid w:val="312A4270"/>
    <w:rsid w:val="314C7E0D"/>
    <w:rsid w:val="315B3CE6"/>
    <w:rsid w:val="315F27A7"/>
    <w:rsid w:val="316248E5"/>
    <w:rsid w:val="3170266C"/>
    <w:rsid w:val="31707C4E"/>
    <w:rsid w:val="319618BD"/>
    <w:rsid w:val="32165618"/>
    <w:rsid w:val="325A75E5"/>
    <w:rsid w:val="3264323C"/>
    <w:rsid w:val="32660EAC"/>
    <w:rsid w:val="327437EF"/>
    <w:rsid w:val="3281720B"/>
    <w:rsid w:val="328B73EB"/>
    <w:rsid w:val="32935CC4"/>
    <w:rsid w:val="329B1207"/>
    <w:rsid w:val="32C25098"/>
    <w:rsid w:val="32EC5BC3"/>
    <w:rsid w:val="32F0180D"/>
    <w:rsid w:val="331B51A0"/>
    <w:rsid w:val="33203F3A"/>
    <w:rsid w:val="332D21D3"/>
    <w:rsid w:val="3357611F"/>
    <w:rsid w:val="336035D6"/>
    <w:rsid w:val="338B4DDA"/>
    <w:rsid w:val="339936F8"/>
    <w:rsid w:val="33B6109B"/>
    <w:rsid w:val="33B801AC"/>
    <w:rsid w:val="33C33D74"/>
    <w:rsid w:val="33E24C3E"/>
    <w:rsid w:val="33FD136F"/>
    <w:rsid w:val="34093217"/>
    <w:rsid w:val="34475A18"/>
    <w:rsid w:val="344E60A2"/>
    <w:rsid w:val="34624ACC"/>
    <w:rsid w:val="3466139A"/>
    <w:rsid w:val="346D7EFB"/>
    <w:rsid w:val="347E6512"/>
    <w:rsid w:val="34931A33"/>
    <w:rsid w:val="34CA0F5E"/>
    <w:rsid w:val="34D62F59"/>
    <w:rsid w:val="352B165A"/>
    <w:rsid w:val="352F47A5"/>
    <w:rsid w:val="354E0D6C"/>
    <w:rsid w:val="35533AAA"/>
    <w:rsid w:val="355A1EB0"/>
    <w:rsid w:val="35751DDB"/>
    <w:rsid w:val="357D574E"/>
    <w:rsid w:val="35C7413E"/>
    <w:rsid w:val="35DB71A3"/>
    <w:rsid w:val="35E50630"/>
    <w:rsid w:val="35ED708C"/>
    <w:rsid w:val="35F94B24"/>
    <w:rsid w:val="360159D4"/>
    <w:rsid w:val="361361EB"/>
    <w:rsid w:val="361C7A7B"/>
    <w:rsid w:val="363C5000"/>
    <w:rsid w:val="364A38E7"/>
    <w:rsid w:val="365F3802"/>
    <w:rsid w:val="36CE0D7C"/>
    <w:rsid w:val="36F62FD3"/>
    <w:rsid w:val="36F914E4"/>
    <w:rsid w:val="36FF5A3A"/>
    <w:rsid w:val="37070DDB"/>
    <w:rsid w:val="37072E43"/>
    <w:rsid w:val="370C6C9A"/>
    <w:rsid w:val="37163B92"/>
    <w:rsid w:val="37466794"/>
    <w:rsid w:val="374D4911"/>
    <w:rsid w:val="375A41F6"/>
    <w:rsid w:val="375E16C9"/>
    <w:rsid w:val="378330EC"/>
    <w:rsid w:val="378B0DFF"/>
    <w:rsid w:val="379D4CFF"/>
    <w:rsid w:val="37A66274"/>
    <w:rsid w:val="37B47F69"/>
    <w:rsid w:val="37B54319"/>
    <w:rsid w:val="37B67E35"/>
    <w:rsid w:val="37E20788"/>
    <w:rsid w:val="37EC2731"/>
    <w:rsid w:val="381B113C"/>
    <w:rsid w:val="382D6A2A"/>
    <w:rsid w:val="383134B8"/>
    <w:rsid w:val="38397339"/>
    <w:rsid w:val="384575A4"/>
    <w:rsid w:val="385700BF"/>
    <w:rsid w:val="38576F0F"/>
    <w:rsid w:val="38733ECF"/>
    <w:rsid w:val="38A87F86"/>
    <w:rsid w:val="38B922D4"/>
    <w:rsid w:val="38C50D79"/>
    <w:rsid w:val="38CB2C9A"/>
    <w:rsid w:val="38CE2BE1"/>
    <w:rsid w:val="38DB2EC3"/>
    <w:rsid w:val="39047684"/>
    <w:rsid w:val="39163BC7"/>
    <w:rsid w:val="39407179"/>
    <w:rsid w:val="395E2583"/>
    <w:rsid w:val="39937BC2"/>
    <w:rsid w:val="39BD4436"/>
    <w:rsid w:val="39BF2E56"/>
    <w:rsid w:val="39DB148C"/>
    <w:rsid w:val="3A3C2FD1"/>
    <w:rsid w:val="3A3D3834"/>
    <w:rsid w:val="3A41748D"/>
    <w:rsid w:val="3A482ED8"/>
    <w:rsid w:val="3A4F2C36"/>
    <w:rsid w:val="3A5B3B8C"/>
    <w:rsid w:val="3A705796"/>
    <w:rsid w:val="3A713E5A"/>
    <w:rsid w:val="3A905C83"/>
    <w:rsid w:val="3A993AE3"/>
    <w:rsid w:val="3AB60916"/>
    <w:rsid w:val="3AD200A1"/>
    <w:rsid w:val="3AD603F2"/>
    <w:rsid w:val="3AFC29A0"/>
    <w:rsid w:val="3B0549B1"/>
    <w:rsid w:val="3B133FAA"/>
    <w:rsid w:val="3B2B1AB6"/>
    <w:rsid w:val="3B3651F2"/>
    <w:rsid w:val="3B3B3848"/>
    <w:rsid w:val="3B5A2368"/>
    <w:rsid w:val="3B5D7193"/>
    <w:rsid w:val="3B852E45"/>
    <w:rsid w:val="3BA36987"/>
    <w:rsid w:val="3BAB3B59"/>
    <w:rsid w:val="3BB63234"/>
    <w:rsid w:val="3BBE72D4"/>
    <w:rsid w:val="3BC00CD0"/>
    <w:rsid w:val="3BC540A2"/>
    <w:rsid w:val="3BD12933"/>
    <w:rsid w:val="3BE344E6"/>
    <w:rsid w:val="3BE603C0"/>
    <w:rsid w:val="3BF94A26"/>
    <w:rsid w:val="3BFC6678"/>
    <w:rsid w:val="3BFC6A19"/>
    <w:rsid w:val="3C113368"/>
    <w:rsid w:val="3C1738B4"/>
    <w:rsid w:val="3C1E02B7"/>
    <w:rsid w:val="3C305D46"/>
    <w:rsid w:val="3C31023F"/>
    <w:rsid w:val="3C410573"/>
    <w:rsid w:val="3C5B3DD9"/>
    <w:rsid w:val="3C9E48BD"/>
    <w:rsid w:val="3CAD39B1"/>
    <w:rsid w:val="3CAE50BC"/>
    <w:rsid w:val="3CBA02EB"/>
    <w:rsid w:val="3CEC354F"/>
    <w:rsid w:val="3CEF311D"/>
    <w:rsid w:val="3CF77CC2"/>
    <w:rsid w:val="3CFB009C"/>
    <w:rsid w:val="3D0D324E"/>
    <w:rsid w:val="3D226FAA"/>
    <w:rsid w:val="3D374DDE"/>
    <w:rsid w:val="3D537EAA"/>
    <w:rsid w:val="3D7DE047"/>
    <w:rsid w:val="3D9F0A4D"/>
    <w:rsid w:val="3DB52F67"/>
    <w:rsid w:val="3DC94EE5"/>
    <w:rsid w:val="3DCD02F5"/>
    <w:rsid w:val="3DEB56F2"/>
    <w:rsid w:val="3DFB1DA1"/>
    <w:rsid w:val="3DFF60CE"/>
    <w:rsid w:val="3E145587"/>
    <w:rsid w:val="3E1E6FDD"/>
    <w:rsid w:val="3E2B6DFC"/>
    <w:rsid w:val="3E561620"/>
    <w:rsid w:val="3E634BC2"/>
    <w:rsid w:val="3E670CAA"/>
    <w:rsid w:val="3E9E409B"/>
    <w:rsid w:val="3EA87505"/>
    <w:rsid w:val="3ECD721C"/>
    <w:rsid w:val="3EF472DB"/>
    <w:rsid w:val="3F1820CA"/>
    <w:rsid w:val="3F3C704E"/>
    <w:rsid w:val="3F414362"/>
    <w:rsid w:val="3F5341DC"/>
    <w:rsid w:val="3F540C5E"/>
    <w:rsid w:val="3F5A2A56"/>
    <w:rsid w:val="3F613974"/>
    <w:rsid w:val="3F76630C"/>
    <w:rsid w:val="3F895EFE"/>
    <w:rsid w:val="3F8D6705"/>
    <w:rsid w:val="3FA94751"/>
    <w:rsid w:val="3FBC0504"/>
    <w:rsid w:val="3FC634DF"/>
    <w:rsid w:val="3FCA2AA8"/>
    <w:rsid w:val="3FE20EA9"/>
    <w:rsid w:val="3FE73FF8"/>
    <w:rsid w:val="40213154"/>
    <w:rsid w:val="402E7D0A"/>
    <w:rsid w:val="40484830"/>
    <w:rsid w:val="40493D98"/>
    <w:rsid w:val="404A423F"/>
    <w:rsid w:val="40561DB4"/>
    <w:rsid w:val="4056497E"/>
    <w:rsid w:val="406754D5"/>
    <w:rsid w:val="40734310"/>
    <w:rsid w:val="40790187"/>
    <w:rsid w:val="408E5F22"/>
    <w:rsid w:val="409962C3"/>
    <w:rsid w:val="40B65BE8"/>
    <w:rsid w:val="40C815D2"/>
    <w:rsid w:val="40E263CF"/>
    <w:rsid w:val="40EF168A"/>
    <w:rsid w:val="40F8101A"/>
    <w:rsid w:val="411379DC"/>
    <w:rsid w:val="4123750C"/>
    <w:rsid w:val="412D5A10"/>
    <w:rsid w:val="41333971"/>
    <w:rsid w:val="415106CA"/>
    <w:rsid w:val="41615C41"/>
    <w:rsid w:val="41697CFD"/>
    <w:rsid w:val="417A6509"/>
    <w:rsid w:val="419352BC"/>
    <w:rsid w:val="41A145BF"/>
    <w:rsid w:val="41A9735A"/>
    <w:rsid w:val="41BB3D4A"/>
    <w:rsid w:val="41C26C06"/>
    <w:rsid w:val="41C70B14"/>
    <w:rsid w:val="41C804E3"/>
    <w:rsid w:val="41DF45CB"/>
    <w:rsid w:val="41E86E5A"/>
    <w:rsid w:val="4209427C"/>
    <w:rsid w:val="420C5518"/>
    <w:rsid w:val="42123927"/>
    <w:rsid w:val="42173A7E"/>
    <w:rsid w:val="421F2B02"/>
    <w:rsid w:val="42270016"/>
    <w:rsid w:val="423F4866"/>
    <w:rsid w:val="42675EC7"/>
    <w:rsid w:val="426A1809"/>
    <w:rsid w:val="42720FCA"/>
    <w:rsid w:val="42DC51AC"/>
    <w:rsid w:val="43185D6A"/>
    <w:rsid w:val="433973F1"/>
    <w:rsid w:val="435635E3"/>
    <w:rsid w:val="436E391C"/>
    <w:rsid w:val="436F0ECF"/>
    <w:rsid w:val="43765EF3"/>
    <w:rsid w:val="43851848"/>
    <w:rsid w:val="438C1015"/>
    <w:rsid w:val="438C5628"/>
    <w:rsid w:val="43B33DE2"/>
    <w:rsid w:val="43BA0681"/>
    <w:rsid w:val="43BF1FC0"/>
    <w:rsid w:val="43C02DB9"/>
    <w:rsid w:val="43C67C8D"/>
    <w:rsid w:val="43D24634"/>
    <w:rsid w:val="43D53B03"/>
    <w:rsid w:val="43F42056"/>
    <w:rsid w:val="43F444E6"/>
    <w:rsid w:val="43FF322A"/>
    <w:rsid w:val="44051A86"/>
    <w:rsid w:val="442C37E6"/>
    <w:rsid w:val="442D40A8"/>
    <w:rsid w:val="442D6D29"/>
    <w:rsid w:val="443D3AF2"/>
    <w:rsid w:val="443E45FC"/>
    <w:rsid w:val="44537677"/>
    <w:rsid w:val="44562170"/>
    <w:rsid w:val="446B4473"/>
    <w:rsid w:val="447A51EC"/>
    <w:rsid w:val="44850209"/>
    <w:rsid w:val="448A0D34"/>
    <w:rsid w:val="448D02F2"/>
    <w:rsid w:val="44900E73"/>
    <w:rsid w:val="449F0422"/>
    <w:rsid w:val="44C7157E"/>
    <w:rsid w:val="4504756B"/>
    <w:rsid w:val="450A3A0B"/>
    <w:rsid w:val="452B4AA2"/>
    <w:rsid w:val="45495AAA"/>
    <w:rsid w:val="45500ADE"/>
    <w:rsid w:val="455F3907"/>
    <w:rsid w:val="455F60A6"/>
    <w:rsid w:val="45672813"/>
    <w:rsid w:val="45712604"/>
    <w:rsid w:val="457D6FCF"/>
    <w:rsid w:val="45AF30FB"/>
    <w:rsid w:val="45C96DC1"/>
    <w:rsid w:val="45D23BF8"/>
    <w:rsid w:val="45E2720C"/>
    <w:rsid w:val="45E63242"/>
    <w:rsid w:val="46000BE0"/>
    <w:rsid w:val="461E14F8"/>
    <w:rsid w:val="46200093"/>
    <w:rsid w:val="462122E1"/>
    <w:rsid w:val="46785B1D"/>
    <w:rsid w:val="46904123"/>
    <w:rsid w:val="46996CAB"/>
    <w:rsid w:val="46C459DB"/>
    <w:rsid w:val="46E437F4"/>
    <w:rsid w:val="46F84229"/>
    <w:rsid w:val="46F93BCC"/>
    <w:rsid w:val="472467EC"/>
    <w:rsid w:val="472C2535"/>
    <w:rsid w:val="473C6D56"/>
    <w:rsid w:val="47515C88"/>
    <w:rsid w:val="475502BA"/>
    <w:rsid w:val="475968DA"/>
    <w:rsid w:val="4768482B"/>
    <w:rsid w:val="476B4572"/>
    <w:rsid w:val="476E26C4"/>
    <w:rsid w:val="476F0A0E"/>
    <w:rsid w:val="477B1550"/>
    <w:rsid w:val="47BF3ACE"/>
    <w:rsid w:val="47C55FA3"/>
    <w:rsid w:val="47DA7D85"/>
    <w:rsid w:val="47E07CB0"/>
    <w:rsid w:val="47E957B3"/>
    <w:rsid w:val="47FB39B1"/>
    <w:rsid w:val="481812E0"/>
    <w:rsid w:val="483877CF"/>
    <w:rsid w:val="484A70AB"/>
    <w:rsid w:val="484D7D33"/>
    <w:rsid w:val="485E2E19"/>
    <w:rsid w:val="486C1B78"/>
    <w:rsid w:val="48C015E6"/>
    <w:rsid w:val="48C25D68"/>
    <w:rsid w:val="48D44DEF"/>
    <w:rsid w:val="48DD7D43"/>
    <w:rsid w:val="48DE20A0"/>
    <w:rsid w:val="48DF17B6"/>
    <w:rsid w:val="48F166D2"/>
    <w:rsid w:val="49333E4E"/>
    <w:rsid w:val="493B6B96"/>
    <w:rsid w:val="49402C26"/>
    <w:rsid w:val="49456152"/>
    <w:rsid w:val="497546F1"/>
    <w:rsid w:val="497A1CB9"/>
    <w:rsid w:val="497C4305"/>
    <w:rsid w:val="499524FC"/>
    <w:rsid w:val="499A5D3A"/>
    <w:rsid w:val="49AF7837"/>
    <w:rsid w:val="49B41DBE"/>
    <w:rsid w:val="49C3789E"/>
    <w:rsid w:val="49CA7C3D"/>
    <w:rsid w:val="4A1C05D4"/>
    <w:rsid w:val="4A1F1C0A"/>
    <w:rsid w:val="4A277250"/>
    <w:rsid w:val="4A5639DA"/>
    <w:rsid w:val="4A5B1CD4"/>
    <w:rsid w:val="4A6222A4"/>
    <w:rsid w:val="4A7649F5"/>
    <w:rsid w:val="4A891CAB"/>
    <w:rsid w:val="4A940542"/>
    <w:rsid w:val="4AB7290A"/>
    <w:rsid w:val="4ABA6F22"/>
    <w:rsid w:val="4ADA6C29"/>
    <w:rsid w:val="4AF64A77"/>
    <w:rsid w:val="4B1C55F8"/>
    <w:rsid w:val="4B230095"/>
    <w:rsid w:val="4B303B2E"/>
    <w:rsid w:val="4B704DBD"/>
    <w:rsid w:val="4B73622B"/>
    <w:rsid w:val="4B7A3BAC"/>
    <w:rsid w:val="4B9C7F19"/>
    <w:rsid w:val="4BA1507A"/>
    <w:rsid w:val="4BA277EA"/>
    <w:rsid w:val="4BAB6AEC"/>
    <w:rsid w:val="4BB229F0"/>
    <w:rsid w:val="4BB43E89"/>
    <w:rsid w:val="4BD15A29"/>
    <w:rsid w:val="4BDD760B"/>
    <w:rsid w:val="4C2621A2"/>
    <w:rsid w:val="4C865987"/>
    <w:rsid w:val="4C9D7BCC"/>
    <w:rsid w:val="4CB2650E"/>
    <w:rsid w:val="4CB6108B"/>
    <w:rsid w:val="4CB61C43"/>
    <w:rsid w:val="4CBC6638"/>
    <w:rsid w:val="4CC02274"/>
    <w:rsid w:val="4CC15201"/>
    <w:rsid w:val="4CD20786"/>
    <w:rsid w:val="4CDE13B5"/>
    <w:rsid w:val="4CE92826"/>
    <w:rsid w:val="4D0D502F"/>
    <w:rsid w:val="4D2B6CA0"/>
    <w:rsid w:val="4D3660AA"/>
    <w:rsid w:val="4D463D23"/>
    <w:rsid w:val="4D763A48"/>
    <w:rsid w:val="4D893618"/>
    <w:rsid w:val="4D901C76"/>
    <w:rsid w:val="4D9F2F38"/>
    <w:rsid w:val="4DB4299B"/>
    <w:rsid w:val="4DBA2199"/>
    <w:rsid w:val="4DBC45B6"/>
    <w:rsid w:val="4DD604A4"/>
    <w:rsid w:val="4DE70353"/>
    <w:rsid w:val="4DE93308"/>
    <w:rsid w:val="4E1A2817"/>
    <w:rsid w:val="4E425F77"/>
    <w:rsid w:val="4E543CC1"/>
    <w:rsid w:val="4E5E3ADF"/>
    <w:rsid w:val="4E642948"/>
    <w:rsid w:val="4E803E28"/>
    <w:rsid w:val="4EBA3363"/>
    <w:rsid w:val="4EBB4723"/>
    <w:rsid w:val="4EC9049D"/>
    <w:rsid w:val="4ECB1A66"/>
    <w:rsid w:val="4ED25535"/>
    <w:rsid w:val="4EEA6FE4"/>
    <w:rsid w:val="4EF1176A"/>
    <w:rsid w:val="4EF41CDC"/>
    <w:rsid w:val="4EF702CA"/>
    <w:rsid w:val="4F37742F"/>
    <w:rsid w:val="4F4640A2"/>
    <w:rsid w:val="4F4912D2"/>
    <w:rsid w:val="4F4936AF"/>
    <w:rsid w:val="4F5515AD"/>
    <w:rsid w:val="4F6A16D4"/>
    <w:rsid w:val="4F6C02FD"/>
    <w:rsid w:val="4F7D1455"/>
    <w:rsid w:val="4F847BEE"/>
    <w:rsid w:val="4F894A9A"/>
    <w:rsid w:val="4F904AD5"/>
    <w:rsid w:val="4F937D8D"/>
    <w:rsid w:val="4F9B62BB"/>
    <w:rsid w:val="4FB15839"/>
    <w:rsid w:val="4FB343E1"/>
    <w:rsid w:val="4FB628F7"/>
    <w:rsid w:val="4FBE72F7"/>
    <w:rsid w:val="4FDE3A75"/>
    <w:rsid w:val="4FDF3B6C"/>
    <w:rsid w:val="500D6481"/>
    <w:rsid w:val="50102FB4"/>
    <w:rsid w:val="502903BC"/>
    <w:rsid w:val="50443827"/>
    <w:rsid w:val="50563522"/>
    <w:rsid w:val="505963E0"/>
    <w:rsid w:val="505966DB"/>
    <w:rsid w:val="505A18C0"/>
    <w:rsid w:val="50753EB2"/>
    <w:rsid w:val="507C5C0C"/>
    <w:rsid w:val="508D23D9"/>
    <w:rsid w:val="50987213"/>
    <w:rsid w:val="509F7052"/>
    <w:rsid w:val="50A510BE"/>
    <w:rsid w:val="50A67D90"/>
    <w:rsid w:val="50AE696D"/>
    <w:rsid w:val="50B24656"/>
    <w:rsid w:val="50DC1B26"/>
    <w:rsid w:val="50EC7288"/>
    <w:rsid w:val="50F562A8"/>
    <w:rsid w:val="511C6127"/>
    <w:rsid w:val="512A18A0"/>
    <w:rsid w:val="514041DE"/>
    <w:rsid w:val="514A2E61"/>
    <w:rsid w:val="51567515"/>
    <w:rsid w:val="51575569"/>
    <w:rsid w:val="51623AC7"/>
    <w:rsid w:val="51657060"/>
    <w:rsid w:val="517B3071"/>
    <w:rsid w:val="517E6CDF"/>
    <w:rsid w:val="518810F4"/>
    <w:rsid w:val="518C026F"/>
    <w:rsid w:val="518F1B47"/>
    <w:rsid w:val="519253AE"/>
    <w:rsid w:val="519738BB"/>
    <w:rsid w:val="519D5316"/>
    <w:rsid w:val="51AB4C4D"/>
    <w:rsid w:val="51B72595"/>
    <w:rsid w:val="51CF1817"/>
    <w:rsid w:val="51D5399D"/>
    <w:rsid w:val="51D543A0"/>
    <w:rsid w:val="51E702D6"/>
    <w:rsid w:val="521D0F08"/>
    <w:rsid w:val="52264F9A"/>
    <w:rsid w:val="52340BFA"/>
    <w:rsid w:val="52372A23"/>
    <w:rsid w:val="52975DA3"/>
    <w:rsid w:val="52975E76"/>
    <w:rsid w:val="529D09CF"/>
    <w:rsid w:val="52CC44E2"/>
    <w:rsid w:val="52E35B35"/>
    <w:rsid w:val="52E757E6"/>
    <w:rsid w:val="52F52BCC"/>
    <w:rsid w:val="530065A1"/>
    <w:rsid w:val="530C231F"/>
    <w:rsid w:val="53536A0F"/>
    <w:rsid w:val="535E7BD6"/>
    <w:rsid w:val="539B1A98"/>
    <w:rsid w:val="53A53C8A"/>
    <w:rsid w:val="53A81FAC"/>
    <w:rsid w:val="53AE0363"/>
    <w:rsid w:val="53D70F4B"/>
    <w:rsid w:val="53E60F2E"/>
    <w:rsid w:val="53EC4B94"/>
    <w:rsid w:val="53F865DC"/>
    <w:rsid w:val="541232E2"/>
    <w:rsid w:val="54170C34"/>
    <w:rsid w:val="541E1ADF"/>
    <w:rsid w:val="54274783"/>
    <w:rsid w:val="545F34B8"/>
    <w:rsid w:val="547B434A"/>
    <w:rsid w:val="547B56BD"/>
    <w:rsid w:val="54901197"/>
    <w:rsid w:val="54F80A92"/>
    <w:rsid w:val="54F97529"/>
    <w:rsid w:val="5536207D"/>
    <w:rsid w:val="555278DF"/>
    <w:rsid w:val="55550141"/>
    <w:rsid w:val="5572163B"/>
    <w:rsid w:val="558830C9"/>
    <w:rsid w:val="55927501"/>
    <w:rsid w:val="55C62601"/>
    <w:rsid w:val="55EA2717"/>
    <w:rsid w:val="55ED0E82"/>
    <w:rsid w:val="55FD779E"/>
    <w:rsid w:val="56406327"/>
    <w:rsid w:val="5651478B"/>
    <w:rsid w:val="567A26DA"/>
    <w:rsid w:val="56835A83"/>
    <w:rsid w:val="569A19A6"/>
    <w:rsid w:val="56C93A8A"/>
    <w:rsid w:val="56E1574F"/>
    <w:rsid w:val="56E90ADC"/>
    <w:rsid w:val="571B38AA"/>
    <w:rsid w:val="572537ED"/>
    <w:rsid w:val="57263D52"/>
    <w:rsid w:val="572C7C1C"/>
    <w:rsid w:val="57394355"/>
    <w:rsid w:val="5757085E"/>
    <w:rsid w:val="57785BBA"/>
    <w:rsid w:val="57820AF4"/>
    <w:rsid w:val="57945C20"/>
    <w:rsid w:val="57C93727"/>
    <w:rsid w:val="57F612C5"/>
    <w:rsid w:val="5811625A"/>
    <w:rsid w:val="58161794"/>
    <w:rsid w:val="583C0187"/>
    <w:rsid w:val="584B275D"/>
    <w:rsid w:val="58743DD9"/>
    <w:rsid w:val="588C77F5"/>
    <w:rsid w:val="589B6252"/>
    <w:rsid w:val="58AB630C"/>
    <w:rsid w:val="58C45022"/>
    <w:rsid w:val="58D66479"/>
    <w:rsid w:val="58E31709"/>
    <w:rsid w:val="5915180F"/>
    <w:rsid w:val="59503B2F"/>
    <w:rsid w:val="59A125EB"/>
    <w:rsid w:val="59A84815"/>
    <w:rsid w:val="59B354B9"/>
    <w:rsid w:val="59BD63E5"/>
    <w:rsid w:val="59CB2A36"/>
    <w:rsid w:val="59E24658"/>
    <w:rsid w:val="59E91C5B"/>
    <w:rsid w:val="5A1906B4"/>
    <w:rsid w:val="5A2A6F5E"/>
    <w:rsid w:val="5A3F7DDE"/>
    <w:rsid w:val="5A51217C"/>
    <w:rsid w:val="5A6F3C29"/>
    <w:rsid w:val="5A713F25"/>
    <w:rsid w:val="5A7957DE"/>
    <w:rsid w:val="5A936BA4"/>
    <w:rsid w:val="5AA05D16"/>
    <w:rsid w:val="5AB52E05"/>
    <w:rsid w:val="5AB93508"/>
    <w:rsid w:val="5ABC0486"/>
    <w:rsid w:val="5ADA5B36"/>
    <w:rsid w:val="5ADB6F93"/>
    <w:rsid w:val="5AFC5ADA"/>
    <w:rsid w:val="5B076D44"/>
    <w:rsid w:val="5B0E6E19"/>
    <w:rsid w:val="5B1E62C1"/>
    <w:rsid w:val="5B2C415D"/>
    <w:rsid w:val="5B5155FD"/>
    <w:rsid w:val="5B517C35"/>
    <w:rsid w:val="5B710B11"/>
    <w:rsid w:val="5B835548"/>
    <w:rsid w:val="5B841075"/>
    <w:rsid w:val="5B972E60"/>
    <w:rsid w:val="5B9B49B4"/>
    <w:rsid w:val="5BBE3AA5"/>
    <w:rsid w:val="5BC017FA"/>
    <w:rsid w:val="5BCE574D"/>
    <w:rsid w:val="5BCE5B61"/>
    <w:rsid w:val="5BDB1061"/>
    <w:rsid w:val="5BF53834"/>
    <w:rsid w:val="5C167377"/>
    <w:rsid w:val="5C313B70"/>
    <w:rsid w:val="5C4A1A9F"/>
    <w:rsid w:val="5C53630A"/>
    <w:rsid w:val="5C69611C"/>
    <w:rsid w:val="5C6C72C8"/>
    <w:rsid w:val="5C715750"/>
    <w:rsid w:val="5C733F73"/>
    <w:rsid w:val="5C792C5F"/>
    <w:rsid w:val="5C7E7E7A"/>
    <w:rsid w:val="5C814D7F"/>
    <w:rsid w:val="5C954B6E"/>
    <w:rsid w:val="5C98414A"/>
    <w:rsid w:val="5C9C4EFF"/>
    <w:rsid w:val="5CA4167A"/>
    <w:rsid w:val="5CA64505"/>
    <w:rsid w:val="5CB52375"/>
    <w:rsid w:val="5CB56BDF"/>
    <w:rsid w:val="5CBB1602"/>
    <w:rsid w:val="5CBD5108"/>
    <w:rsid w:val="5CC76E5B"/>
    <w:rsid w:val="5CE85CF4"/>
    <w:rsid w:val="5CEB7CEB"/>
    <w:rsid w:val="5CED50AB"/>
    <w:rsid w:val="5CFD5CCC"/>
    <w:rsid w:val="5D141FC8"/>
    <w:rsid w:val="5D38412C"/>
    <w:rsid w:val="5D877233"/>
    <w:rsid w:val="5D8B524F"/>
    <w:rsid w:val="5D9C4238"/>
    <w:rsid w:val="5DE35F67"/>
    <w:rsid w:val="5DE91AFB"/>
    <w:rsid w:val="5DF661E6"/>
    <w:rsid w:val="5DFE7DA1"/>
    <w:rsid w:val="5E015504"/>
    <w:rsid w:val="5E31188C"/>
    <w:rsid w:val="5E324E50"/>
    <w:rsid w:val="5E3A2D48"/>
    <w:rsid w:val="5E535E16"/>
    <w:rsid w:val="5E6413F3"/>
    <w:rsid w:val="5E833E56"/>
    <w:rsid w:val="5EF71B61"/>
    <w:rsid w:val="5F06748F"/>
    <w:rsid w:val="5F212255"/>
    <w:rsid w:val="5F33757B"/>
    <w:rsid w:val="5F5658A8"/>
    <w:rsid w:val="5F573B1A"/>
    <w:rsid w:val="5F593C09"/>
    <w:rsid w:val="5F7A1C33"/>
    <w:rsid w:val="5F911BA4"/>
    <w:rsid w:val="5F95788A"/>
    <w:rsid w:val="5F9F700A"/>
    <w:rsid w:val="5FA7737E"/>
    <w:rsid w:val="5FE3372C"/>
    <w:rsid w:val="5FE5AD96"/>
    <w:rsid w:val="5FED12F3"/>
    <w:rsid w:val="5FF121EB"/>
    <w:rsid w:val="5FFF2459"/>
    <w:rsid w:val="60116A42"/>
    <w:rsid w:val="60487CC2"/>
    <w:rsid w:val="606E44D5"/>
    <w:rsid w:val="6083258E"/>
    <w:rsid w:val="6087113F"/>
    <w:rsid w:val="60B768FD"/>
    <w:rsid w:val="60C17558"/>
    <w:rsid w:val="60F743ED"/>
    <w:rsid w:val="610579D3"/>
    <w:rsid w:val="61066BED"/>
    <w:rsid w:val="612B0EDF"/>
    <w:rsid w:val="6162479B"/>
    <w:rsid w:val="619B21C6"/>
    <w:rsid w:val="619D3920"/>
    <w:rsid w:val="619E6449"/>
    <w:rsid w:val="61B059C5"/>
    <w:rsid w:val="61B74EDC"/>
    <w:rsid w:val="61EF54EC"/>
    <w:rsid w:val="620D712D"/>
    <w:rsid w:val="622479FB"/>
    <w:rsid w:val="626D2F5A"/>
    <w:rsid w:val="627949D2"/>
    <w:rsid w:val="62E62DA1"/>
    <w:rsid w:val="62E82817"/>
    <w:rsid w:val="632A0FB6"/>
    <w:rsid w:val="634D571F"/>
    <w:rsid w:val="63530848"/>
    <w:rsid w:val="635B07A8"/>
    <w:rsid w:val="6378045E"/>
    <w:rsid w:val="637D2882"/>
    <w:rsid w:val="639B4B25"/>
    <w:rsid w:val="63A26E63"/>
    <w:rsid w:val="63DB4ACD"/>
    <w:rsid w:val="6408534D"/>
    <w:rsid w:val="640C3356"/>
    <w:rsid w:val="640F611A"/>
    <w:rsid w:val="641B4CC4"/>
    <w:rsid w:val="64247F48"/>
    <w:rsid w:val="643C4A6D"/>
    <w:rsid w:val="645664F6"/>
    <w:rsid w:val="645C7BF7"/>
    <w:rsid w:val="64656676"/>
    <w:rsid w:val="64663ED5"/>
    <w:rsid w:val="64791C6B"/>
    <w:rsid w:val="6480240C"/>
    <w:rsid w:val="648F6C3E"/>
    <w:rsid w:val="64970EDE"/>
    <w:rsid w:val="649E7B74"/>
    <w:rsid w:val="64B22C40"/>
    <w:rsid w:val="64B90A79"/>
    <w:rsid w:val="64F66256"/>
    <w:rsid w:val="64FC7F1E"/>
    <w:rsid w:val="65047FB9"/>
    <w:rsid w:val="652F3140"/>
    <w:rsid w:val="653B6F5F"/>
    <w:rsid w:val="6545595E"/>
    <w:rsid w:val="65723BAF"/>
    <w:rsid w:val="657725D0"/>
    <w:rsid w:val="658C60D2"/>
    <w:rsid w:val="65B10B24"/>
    <w:rsid w:val="65B33FB8"/>
    <w:rsid w:val="65D6694A"/>
    <w:rsid w:val="65E6640B"/>
    <w:rsid w:val="65EA105E"/>
    <w:rsid w:val="65FD2673"/>
    <w:rsid w:val="65FE04FF"/>
    <w:rsid w:val="66236BAF"/>
    <w:rsid w:val="662C5F33"/>
    <w:rsid w:val="662D1B74"/>
    <w:rsid w:val="663F4AEB"/>
    <w:rsid w:val="664164EA"/>
    <w:rsid w:val="66453ED0"/>
    <w:rsid w:val="669C3F20"/>
    <w:rsid w:val="669E49AF"/>
    <w:rsid w:val="66B07E2A"/>
    <w:rsid w:val="66B46923"/>
    <w:rsid w:val="66BB5630"/>
    <w:rsid w:val="66C22239"/>
    <w:rsid w:val="66CF7F72"/>
    <w:rsid w:val="66EA0BBC"/>
    <w:rsid w:val="6702362A"/>
    <w:rsid w:val="670A5919"/>
    <w:rsid w:val="67171FBD"/>
    <w:rsid w:val="672E48E8"/>
    <w:rsid w:val="67445AFE"/>
    <w:rsid w:val="678A3239"/>
    <w:rsid w:val="67BB50ED"/>
    <w:rsid w:val="67DA5715"/>
    <w:rsid w:val="67FD4568"/>
    <w:rsid w:val="680E3125"/>
    <w:rsid w:val="68110F61"/>
    <w:rsid w:val="68157644"/>
    <w:rsid w:val="68597D7E"/>
    <w:rsid w:val="685D243C"/>
    <w:rsid w:val="68640B39"/>
    <w:rsid w:val="688048E5"/>
    <w:rsid w:val="688A1F24"/>
    <w:rsid w:val="688B4F21"/>
    <w:rsid w:val="68905ED7"/>
    <w:rsid w:val="68A14C41"/>
    <w:rsid w:val="68AD61B7"/>
    <w:rsid w:val="68B36F46"/>
    <w:rsid w:val="68C11B19"/>
    <w:rsid w:val="68F92381"/>
    <w:rsid w:val="690C12B0"/>
    <w:rsid w:val="690F5AAB"/>
    <w:rsid w:val="69342F9F"/>
    <w:rsid w:val="69512B62"/>
    <w:rsid w:val="696804F6"/>
    <w:rsid w:val="698C699E"/>
    <w:rsid w:val="69976063"/>
    <w:rsid w:val="69BE286E"/>
    <w:rsid w:val="69BF1FC3"/>
    <w:rsid w:val="69CB2108"/>
    <w:rsid w:val="69F17C12"/>
    <w:rsid w:val="69F221BC"/>
    <w:rsid w:val="69F23BBC"/>
    <w:rsid w:val="69F34F9A"/>
    <w:rsid w:val="6A0F0042"/>
    <w:rsid w:val="6A125C9C"/>
    <w:rsid w:val="6A256613"/>
    <w:rsid w:val="6A274240"/>
    <w:rsid w:val="6A4619FE"/>
    <w:rsid w:val="6A4F02BF"/>
    <w:rsid w:val="6A6B5D14"/>
    <w:rsid w:val="6A8712CE"/>
    <w:rsid w:val="6A945E8C"/>
    <w:rsid w:val="6AB51908"/>
    <w:rsid w:val="6ABA563F"/>
    <w:rsid w:val="6ABE020B"/>
    <w:rsid w:val="6ABE2E96"/>
    <w:rsid w:val="6AF569E0"/>
    <w:rsid w:val="6AF954DA"/>
    <w:rsid w:val="6B064C55"/>
    <w:rsid w:val="6B0A1397"/>
    <w:rsid w:val="6B3C1F35"/>
    <w:rsid w:val="6B492597"/>
    <w:rsid w:val="6B5D00E3"/>
    <w:rsid w:val="6B676A04"/>
    <w:rsid w:val="6B7315F5"/>
    <w:rsid w:val="6B787E3E"/>
    <w:rsid w:val="6B860071"/>
    <w:rsid w:val="6BAA7027"/>
    <w:rsid w:val="6BAB54E5"/>
    <w:rsid w:val="6BBE377B"/>
    <w:rsid w:val="6BC45BFF"/>
    <w:rsid w:val="6BD01C15"/>
    <w:rsid w:val="6BD75C62"/>
    <w:rsid w:val="6C045A4A"/>
    <w:rsid w:val="6C134CEE"/>
    <w:rsid w:val="6C226B89"/>
    <w:rsid w:val="6C302C7C"/>
    <w:rsid w:val="6C352BB4"/>
    <w:rsid w:val="6C3864C2"/>
    <w:rsid w:val="6C4D4607"/>
    <w:rsid w:val="6C4F3CD2"/>
    <w:rsid w:val="6C513A1A"/>
    <w:rsid w:val="6C54198E"/>
    <w:rsid w:val="6C6076C1"/>
    <w:rsid w:val="6C843AB0"/>
    <w:rsid w:val="6C925361"/>
    <w:rsid w:val="6CAF1DA6"/>
    <w:rsid w:val="6CC8480B"/>
    <w:rsid w:val="6CE03726"/>
    <w:rsid w:val="6D0F77A8"/>
    <w:rsid w:val="6D181FEE"/>
    <w:rsid w:val="6D1F624D"/>
    <w:rsid w:val="6D6E639F"/>
    <w:rsid w:val="6D754351"/>
    <w:rsid w:val="6D8A509B"/>
    <w:rsid w:val="6D933727"/>
    <w:rsid w:val="6DA67540"/>
    <w:rsid w:val="6DC35334"/>
    <w:rsid w:val="6DE10025"/>
    <w:rsid w:val="6DE26853"/>
    <w:rsid w:val="6DE35D3F"/>
    <w:rsid w:val="6E051B2C"/>
    <w:rsid w:val="6E132C03"/>
    <w:rsid w:val="6E236F78"/>
    <w:rsid w:val="6E3A49D1"/>
    <w:rsid w:val="6E655E33"/>
    <w:rsid w:val="6E7A3A07"/>
    <w:rsid w:val="6E7E02D7"/>
    <w:rsid w:val="6E8C6968"/>
    <w:rsid w:val="6EB1090B"/>
    <w:rsid w:val="6EB500CE"/>
    <w:rsid w:val="6EB502A3"/>
    <w:rsid w:val="6EC20ECB"/>
    <w:rsid w:val="6EE169C7"/>
    <w:rsid w:val="6EEA04AF"/>
    <w:rsid w:val="6EFC43B6"/>
    <w:rsid w:val="6F054EC0"/>
    <w:rsid w:val="6F076267"/>
    <w:rsid w:val="6F0968C7"/>
    <w:rsid w:val="6F14029B"/>
    <w:rsid w:val="6F140980"/>
    <w:rsid w:val="6F893A8E"/>
    <w:rsid w:val="6F8A5256"/>
    <w:rsid w:val="6F920F25"/>
    <w:rsid w:val="6F947C8F"/>
    <w:rsid w:val="6F9D10B4"/>
    <w:rsid w:val="6FAD5BE9"/>
    <w:rsid w:val="6FFBDCE6"/>
    <w:rsid w:val="700E44E0"/>
    <w:rsid w:val="70191E15"/>
    <w:rsid w:val="7025688B"/>
    <w:rsid w:val="705843ED"/>
    <w:rsid w:val="708A719B"/>
    <w:rsid w:val="709A514E"/>
    <w:rsid w:val="70FD73F3"/>
    <w:rsid w:val="710F30E2"/>
    <w:rsid w:val="71504528"/>
    <w:rsid w:val="716153BD"/>
    <w:rsid w:val="71750DAB"/>
    <w:rsid w:val="71A067E0"/>
    <w:rsid w:val="71DE401A"/>
    <w:rsid w:val="71E836A9"/>
    <w:rsid w:val="71FB1C3B"/>
    <w:rsid w:val="72202B3A"/>
    <w:rsid w:val="72314271"/>
    <w:rsid w:val="723E1609"/>
    <w:rsid w:val="723F0699"/>
    <w:rsid w:val="72710846"/>
    <w:rsid w:val="727C6E5A"/>
    <w:rsid w:val="728E03B7"/>
    <w:rsid w:val="7290706D"/>
    <w:rsid w:val="729503BA"/>
    <w:rsid w:val="72A82924"/>
    <w:rsid w:val="72B02FFC"/>
    <w:rsid w:val="72B5711C"/>
    <w:rsid w:val="72ED2325"/>
    <w:rsid w:val="730B6E1D"/>
    <w:rsid w:val="730D73B3"/>
    <w:rsid w:val="731241DE"/>
    <w:rsid w:val="73327A5A"/>
    <w:rsid w:val="73376AA4"/>
    <w:rsid w:val="733D36B0"/>
    <w:rsid w:val="733E344D"/>
    <w:rsid w:val="734A171C"/>
    <w:rsid w:val="73580935"/>
    <w:rsid w:val="737E1BE8"/>
    <w:rsid w:val="7382134C"/>
    <w:rsid w:val="73900585"/>
    <w:rsid w:val="7393042D"/>
    <w:rsid w:val="73CB5CB3"/>
    <w:rsid w:val="73FFFABA"/>
    <w:rsid w:val="740D6CDB"/>
    <w:rsid w:val="7430799D"/>
    <w:rsid w:val="74570687"/>
    <w:rsid w:val="74962F34"/>
    <w:rsid w:val="74BD3D4C"/>
    <w:rsid w:val="74C17579"/>
    <w:rsid w:val="74C75B6A"/>
    <w:rsid w:val="74EA5049"/>
    <w:rsid w:val="74F16AE1"/>
    <w:rsid w:val="750F142B"/>
    <w:rsid w:val="7510565E"/>
    <w:rsid w:val="7521626C"/>
    <w:rsid w:val="7527476D"/>
    <w:rsid w:val="75341F60"/>
    <w:rsid w:val="75704171"/>
    <w:rsid w:val="75935C41"/>
    <w:rsid w:val="75B760EC"/>
    <w:rsid w:val="75B866AC"/>
    <w:rsid w:val="75C3369F"/>
    <w:rsid w:val="76044B2F"/>
    <w:rsid w:val="7622192B"/>
    <w:rsid w:val="762308BD"/>
    <w:rsid w:val="765865C2"/>
    <w:rsid w:val="76612305"/>
    <w:rsid w:val="7674605A"/>
    <w:rsid w:val="76CD5A78"/>
    <w:rsid w:val="76D836BC"/>
    <w:rsid w:val="76D92107"/>
    <w:rsid w:val="76DA2405"/>
    <w:rsid w:val="76DE4E4B"/>
    <w:rsid w:val="76EF4F69"/>
    <w:rsid w:val="76F17ED0"/>
    <w:rsid w:val="770F4B9B"/>
    <w:rsid w:val="77223693"/>
    <w:rsid w:val="7727430A"/>
    <w:rsid w:val="77335F2F"/>
    <w:rsid w:val="773C5C57"/>
    <w:rsid w:val="77681B6F"/>
    <w:rsid w:val="776F042C"/>
    <w:rsid w:val="77780F84"/>
    <w:rsid w:val="77880372"/>
    <w:rsid w:val="778C2AB1"/>
    <w:rsid w:val="779C3778"/>
    <w:rsid w:val="77AA2316"/>
    <w:rsid w:val="77B115BC"/>
    <w:rsid w:val="77B22AF2"/>
    <w:rsid w:val="77D33681"/>
    <w:rsid w:val="77F83713"/>
    <w:rsid w:val="77FD27EB"/>
    <w:rsid w:val="780A3FD4"/>
    <w:rsid w:val="781D38F7"/>
    <w:rsid w:val="78216CF8"/>
    <w:rsid w:val="782C38C0"/>
    <w:rsid w:val="782D35AE"/>
    <w:rsid w:val="7863280F"/>
    <w:rsid w:val="786551BE"/>
    <w:rsid w:val="7882367F"/>
    <w:rsid w:val="78925311"/>
    <w:rsid w:val="78AB60E9"/>
    <w:rsid w:val="78B61A71"/>
    <w:rsid w:val="78C773D8"/>
    <w:rsid w:val="790C624E"/>
    <w:rsid w:val="792C180C"/>
    <w:rsid w:val="793471E9"/>
    <w:rsid w:val="79407961"/>
    <w:rsid w:val="79550E17"/>
    <w:rsid w:val="79672D2B"/>
    <w:rsid w:val="799F6319"/>
    <w:rsid w:val="79A009F9"/>
    <w:rsid w:val="79BA7BCB"/>
    <w:rsid w:val="79D3077A"/>
    <w:rsid w:val="7A1C595B"/>
    <w:rsid w:val="7A5F18C3"/>
    <w:rsid w:val="7A962D66"/>
    <w:rsid w:val="7AA1619D"/>
    <w:rsid w:val="7ABB77CE"/>
    <w:rsid w:val="7AC86AA6"/>
    <w:rsid w:val="7ADB1F2D"/>
    <w:rsid w:val="7ADE38A3"/>
    <w:rsid w:val="7AE15FAD"/>
    <w:rsid w:val="7AE91767"/>
    <w:rsid w:val="7AF75BDF"/>
    <w:rsid w:val="7B1A13C5"/>
    <w:rsid w:val="7B440C08"/>
    <w:rsid w:val="7B49399D"/>
    <w:rsid w:val="7B49455E"/>
    <w:rsid w:val="7B524756"/>
    <w:rsid w:val="7B626B39"/>
    <w:rsid w:val="7B676392"/>
    <w:rsid w:val="7B6B3A2F"/>
    <w:rsid w:val="7B851EBC"/>
    <w:rsid w:val="7B931E11"/>
    <w:rsid w:val="7B973087"/>
    <w:rsid w:val="7B9B79C8"/>
    <w:rsid w:val="7BBF7011"/>
    <w:rsid w:val="7BC20B12"/>
    <w:rsid w:val="7BD27813"/>
    <w:rsid w:val="7BD61A78"/>
    <w:rsid w:val="7BD921C4"/>
    <w:rsid w:val="7BF13F48"/>
    <w:rsid w:val="7C1C0246"/>
    <w:rsid w:val="7C261553"/>
    <w:rsid w:val="7C3340AB"/>
    <w:rsid w:val="7C3838B6"/>
    <w:rsid w:val="7C672311"/>
    <w:rsid w:val="7C684DE8"/>
    <w:rsid w:val="7C6F32E7"/>
    <w:rsid w:val="7C861A2B"/>
    <w:rsid w:val="7C930F19"/>
    <w:rsid w:val="7C986DD0"/>
    <w:rsid w:val="7CB02DF1"/>
    <w:rsid w:val="7CB04DD8"/>
    <w:rsid w:val="7CF633F4"/>
    <w:rsid w:val="7CFC46F6"/>
    <w:rsid w:val="7D304862"/>
    <w:rsid w:val="7D3E757D"/>
    <w:rsid w:val="7D457F2A"/>
    <w:rsid w:val="7D7C0E5A"/>
    <w:rsid w:val="7D7C3D72"/>
    <w:rsid w:val="7DB84FB5"/>
    <w:rsid w:val="7DBA5337"/>
    <w:rsid w:val="7DD24E09"/>
    <w:rsid w:val="7DD96BBB"/>
    <w:rsid w:val="7DF976BC"/>
    <w:rsid w:val="7E474443"/>
    <w:rsid w:val="7E5F5739"/>
    <w:rsid w:val="7E7F0DCC"/>
    <w:rsid w:val="7E8C7040"/>
    <w:rsid w:val="7EB07417"/>
    <w:rsid w:val="7EB25276"/>
    <w:rsid w:val="7ECF1163"/>
    <w:rsid w:val="7EE927A2"/>
    <w:rsid w:val="7EEC012D"/>
    <w:rsid w:val="7EED0F08"/>
    <w:rsid w:val="7EFEC9F3"/>
    <w:rsid w:val="7F07132F"/>
    <w:rsid w:val="7F0A2FA7"/>
    <w:rsid w:val="7F0A526A"/>
    <w:rsid w:val="7F185016"/>
    <w:rsid w:val="7F264977"/>
    <w:rsid w:val="7F463007"/>
    <w:rsid w:val="7F473551"/>
    <w:rsid w:val="7F505011"/>
    <w:rsid w:val="7F5E01B0"/>
    <w:rsid w:val="7F7ED02D"/>
    <w:rsid w:val="7F832C6A"/>
    <w:rsid w:val="7F9B0056"/>
    <w:rsid w:val="7FA55604"/>
    <w:rsid w:val="7FBD34D0"/>
    <w:rsid w:val="7FBD58FC"/>
    <w:rsid w:val="7FC7667C"/>
    <w:rsid w:val="7FDC7CFE"/>
    <w:rsid w:val="7FED342B"/>
    <w:rsid w:val="7FF37E10"/>
    <w:rsid w:val="BE7F5F5E"/>
    <w:rsid w:val="BFFF68D1"/>
    <w:rsid w:val="C32F8D77"/>
    <w:rsid w:val="CF1F350B"/>
    <w:rsid w:val="D1F911BA"/>
    <w:rsid w:val="DE7E9A05"/>
    <w:rsid w:val="EBB891AA"/>
    <w:rsid w:val="EFFC8FAB"/>
    <w:rsid w:val="FB7CBDD9"/>
    <w:rsid w:val="FDAFE5F5"/>
    <w:rsid w:val="FEFBCFEC"/>
    <w:rsid w:val="FFF3053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70" w:lineRule="exact"/>
      <w:ind w:firstLine="824" w:firstLineChars="200"/>
      <w:jc w:val="both"/>
    </w:pPr>
    <w:rPr>
      <w:rFonts w:ascii="方正仿宋_GBK" w:hAnsi="方正仿宋_GBK" w:eastAsia="方正仿宋_GBK" w:cs="方正仿宋_GBK"/>
      <w:spacing w:val="6"/>
      <w:kern w:val="2"/>
      <w:sz w:val="32"/>
      <w:szCs w:val="32"/>
      <w:lang w:val="en-US" w:eastAsia="zh-CN" w:bidi="ar-SA"/>
    </w:rPr>
  </w:style>
  <w:style w:type="paragraph" w:styleId="3">
    <w:name w:val="heading 1"/>
    <w:basedOn w:val="1"/>
    <w:next w:val="1"/>
    <w:qFormat/>
    <w:uiPriority w:val="0"/>
    <w:pPr>
      <w:spacing w:line="620" w:lineRule="exact"/>
      <w:jc w:val="center"/>
      <w:outlineLvl w:val="0"/>
    </w:pPr>
    <w:rPr>
      <w:rFonts w:eastAsia="方正小标宋简体"/>
      <w:kern w:val="0"/>
      <w:sz w:val="44"/>
      <w:szCs w:val="20"/>
    </w:rPr>
  </w:style>
  <w:style w:type="paragraph" w:styleId="4">
    <w:name w:val="heading 2"/>
    <w:basedOn w:val="1"/>
    <w:next w:val="1"/>
    <w:qFormat/>
    <w:uiPriority w:val="0"/>
    <w:pPr>
      <w:keepNext/>
      <w:keepLines/>
      <w:spacing w:line="416" w:lineRule="auto"/>
      <w:outlineLvl w:val="1"/>
    </w:pPr>
    <w:rPr>
      <w:rFonts w:ascii="Arial" w:hAnsi="Arial" w:eastAsia="黑体" w:cs="Times New Roman"/>
      <w:b/>
      <w:bCs/>
    </w:rPr>
  </w:style>
  <w:style w:type="paragraph" w:styleId="2">
    <w:name w:val="heading 3"/>
    <w:basedOn w:val="1"/>
    <w:next w:val="1"/>
    <w:qFormat/>
    <w:uiPriority w:val="0"/>
    <w:pPr>
      <w:keepNext/>
      <w:keepLines/>
      <w:spacing w:line="416" w:lineRule="auto"/>
      <w:outlineLvl w:val="2"/>
    </w:pPr>
    <w:rPr>
      <w:b/>
      <w:bCs/>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5">
    <w:name w:val="Body Text"/>
    <w:basedOn w:val="1"/>
    <w:next w:val="1"/>
    <w:qFormat/>
    <w:uiPriority w:val="0"/>
    <w:rPr>
      <w:rFonts w:ascii="仿宋_GB2312" w:hAnsi="仿宋_GB2312" w:eastAsia="仿宋_GB2312" w:cs="仿宋_GB2312"/>
      <w:lang w:val="zh-CN" w:bidi="zh-CN"/>
    </w:rPr>
  </w:style>
  <w:style w:type="paragraph" w:styleId="6">
    <w:name w:val="Body Text Indent"/>
    <w:basedOn w:val="1"/>
    <w:unhideWhenUsed/>
    <w:qFormat/>
    <w:uiPriority w:val="0"/>
    <w:pPr>
      <w:spacing w:line="520" w:lineRule="exact"/>
      <w:ind w:firstLine="658"/>
    </w:pPr>
    <w:rPr>
      <w:rFonts w:hint="eastAsia" w:ascii="楷体_GB2312" w:hAnsi="楷体_GB2312" w:eastAsia="楷体_GB2312"/>
      <w:b/>
      <w:color w:val="000000"/>
      <w:spacing w:val="4"/>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9">
    <w:name w:val="footnote text"/>
    <w:basedOn w:val="1"/>
    <w:next w:val="1"/>
    <w:qFormat/>
    <w:uiPriority w:val="0"/>
    <w:pPr>
      <w:snapToGrid w:val="0"/>
      <w:jc w:val="left"/>
    </w:pPr>
    <w:rPr>
      <w:sz w:val="18"/>
      <w:szCs w:val="18"/>
    </w:rPr>
  </w:style>
  <w:style w:type="paragraph" w:styleId="10">
    <w:name w:val="Normal (Web)"/>
    <w:basedOn w:val="1"/>
    <w:qFormat/>
    <w:uiPriority w:val="0"/>
    <w:pPr>
      <w:spacing w:before="100" w:beforeAutospacing="1" w:after="100" w:afterAutospacing="1"/>
      <w:jc w:val="left"/>
    </w:pPr>
    <w:rPr>
      <w:rFonts w:cs="Times New Roman"/>
      <w:kern w:val="0"/>
      <w:sz w:val="24"/>
    </w:rPr>
  </w:style>
  <w:style w:type="paragraph" w:styleId="11">
    <w:name w:val="Body Text First Indent 2"/>
    <w:basedOn w:val="6"/>
    <w:next w:val="1"/>
    <w:qFormat/>
    <w:uiPriority w:val="0"/>
    <w:pPr>
      <w:ind w:firstLine="420"/>
    </w:pPr>
  </w:style>
  <w:style w:type="character" w:styleId="14">
    <w:name w:val="Strong"/>
    <w:basedOn w:val="13"/>
    <w:qFormat/>
    <w:uiPriority w:val="0"/>
  </w:style>
  <w:style w:type="character" w:styleId="15">
    <w:name w:val="page number"/>
    <w:basedOn w:val="13"/>
    <w:qFormat/>
    <w:uiPriority w:val="0"/>
  </w:style>
  <w:style w:type="paragraph" w:customStyle="1" w:styleId="16">
    <w:name w:val="Char Char Char Char Char Char Char"/>
    <w:basedOn w:val="1"/>
    <w:qFormat/>
    <w:uiPriority w:val="0"/>
    <w:pPr>
      <w:spacing w:after="160" w:line="240" w:lineRule="exact"/>
      <w:jc w:val="left"/>
    </w:pPr>
    <w:rPr>
      <w:rFonts w:ascii="Arial" w:hAnsi="Arial" w:cs="Arial"/>
      <w:b/>
      <w:bCs/>
      <w:kern w:val="0"/>
      <w:sz w:val="24"/>
      <w:szCs w:val="24"/>
      <w:lang w:eastAsia="en-US"/>
    </w:rPr>
  </w:style>
  <w:style w:type="character" w:customStyle="1" w:styleId="17">
    <w:name w:val="16"/>
    <w:basedOn w:val="13"/>
    <w:qFormat/>
    <w:uiPriority w:val="0"/>
  </w:style>
  <w:style w:type="paragraph" w:customStyle="1" w:styleId="18">
    <w:name w:val="正文文本 (18)"/>
    <w:basedOn w:val="1"/>
    <w:qFormat/>
    <w:uiPriority w:val="0"/>
    <w:pPr>
      <w:shd w:val="clear" w:color="auto" w:fill="FFFFFF"/>
      <w:spacing w:line="638" w:lineRule="exact"/>
      <w:jc w:val="distribute"/>
    </w:pPr>
    <w:rPr>
      <w:rFonts w:ascii="MingLiU" w:hAnsi="MingLiU" w:eastAsia="MingLiU"/>
      <w:spacing w:val="-10"/>
      <w:kern w:val="0"/>
      <w:sz w:val="36"/>
      <w:szCs w:val="36"/>
    </w:rPr>
  </w:style>
  <w:style w:type="paragraph" w:customStyle="1" w:styleId="19">
    <w:name w:val="正文 New New"/>
    <w:qFormat/>
    <w:uiPriority w:val="0"/>
    <w:pPr>
      <w:widowControl w:val="0"/>
      <w:jc w:val="both"/>
    </w:pPr>
    <w:rPr>
      <w:rFonts w:ascii="Calibri" w:hAnsi="Calibri" w:eastAsia="宋体" w:cs="Times New Roman"/>
      <w:kern w:val="2"/>
      <w:sz w:val="21"/>
      <w:szCs w:val="22"/>
      <w:lang w:val="en-US" w:eastAsia="zh-CN" w:bidi="ar-SA"/>
    </w:rPr>
  </w:style>
  <w:style w:type="character" w:customStyle="1" w:styleId="20">
    <w:name w:val="政府公文正文 字符"/>
    <w:basedOn w:val="13"/>
    <w:link w:val="21"/>
    <w:qFormat/>
    <w:uiPriority w:val="0"/>
    <w:rPr>
      <w:rFonts w:ascii="仿宋" w:hAnsi="仿宋" w:eastAsia="仿宋" w:cs="黑体"/>
      <w:szCs w:val="32"/>
    </w:rPr>
  </w:style>
  <w:style w:type="paragraph" w:customStyle="1" w:styleId="21">
    <w:name w:val="政府公文正文"/>
    <w:basedOn w:val="1"/>
    <w:link w:val="20"/>
    <w:qFormat/>
    <w:uiPriority w:val="0"/>
    <w:pPr>
      <w:spacing w:line="600" w:lineRule="exact"/>
      <w:ind w:firstLine="640"/>
      <w:jc w:val="left"/>
    </w:pPr>
    <w:rPr>
      <w:rFonts w:ascii="仿宋" w:hAnsi="仿宋" w:eastAsia="仿宋" w:cs="黑体"/>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19</Pages>
  <Words>1588</Words>
  <Characters>9053</Characters>
  <Lines>75</Lines>
  <Paragraphs>21</Paragraphs>
  <TotalTime>27</TotalTime>
  <ScaleCrop>false</ScaleCrop>
  <LinksUpToDate>false</LinksUpToDate>
  <CharactersWithSpaces>10620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2021-09-24T09:55:00Z</dcterms:created>
  <dc:creator>熊在路上</dc:creator>
  <cp:lastModifiedBy>喀什地区办公室</cp:lastModifiedBy>
  <cp:lastPrinted>2023-10-24T11:10:36Z</cp:lastPrinted>
  <dcterms:modified xsi:type="dcterms:W3CDTF">2023-10-24T11:11:25Z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