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E6" w:rsidRPr="00050D2B" w:rsidRDefault="00FB7899">
      <w:pPr>
        <w:adjustRightInd w:val="0"/>
        <w:snapToGrid w:val="0"/>
        <w:spacing w:line="560" w:lineRule="exact"/>
        <w:jc w:val="center"/>
        <w:rPr>
          <w:rFonts w:ascii="Times New Roman" w:eastAsia="方正小标宋_GBK" w:hAnsi="Times New Roman" w:cs="Times New Roman"/>
          <w:sz w:val="40"/>
          <w:szCs w:val="40"/>
        </w:rPr>
      </w:pPr>
      <w:r w:rsidRPr="00050D2B">
        <w:rPr>
          <w:rFonts w:ascii="Times New Roman" w:eastAsia="方正小标宋_GBK" w:hAnsi="Times New Roman" w:cs="Times New Roman"/>
          <w:sz w:val="40"/>
          <w:szCs w:val="40"/>
        </w:rPr>
        <w:t>202</w:t>
      </w:r>
      <w:r w:rsidR="004B4E62" w:rsidRPr="00050D2B">
        <w:rPr>
          <w:rFonts w:ascii="Times New Roman" w:eastAsia="方正小标宋_GBK" w:hAnsi="Times New Roman" w:cs="Times New Roman"/>
          <w:sz w:val="40"/>
          <w:szCs w:val="40"/>
        </w:rPr>
        <w:t>2</w:t>
      </w:r>
      <w:r w:rsidRPr="00050D2B">
        <w:rPr>
          <w:rFonts w:ascii="Times New Roman" w:eastAsia="方正小标宋_GBK" w:hAnsi="Times New Roman" w:cs="Times New Roman"/>
          <w:sz w:val="40"/>
          <w:szCs w:val="40"/>
        </w:rPr>
        <w:t>年度</w:t>
      </w:r>
      <w:r w:rsidR="004B4E62" w:rsidRPr="00050D2B">
        <w:rPr>
          <w:rFonts w:ascii="Times New Roman" w:eastAsia="方正小标宋_GBK" w:hAnsi="Times New Roman" w:cs="Times New Roman"/>
          <w:sz w:val="40"/>
          <w:szCs w:val="40"/>
        </w:rPr>
        <w:t>喀什地区</w:t>
      </w:r>
      <w:r w:rsidRPr="00050D2B">
        <w:rPr>
          <w:rFonts w:ascii="Times New Roman" w:eastAsia="方正小标宋_GBK" w:hAnsi="Times New Roman" w:cs="Times New Roman"/>
          <w:sz w:val="40"/>
          <w:szCs w:val="40"/>
        </w:rPr>
        <w:t>政府债务决算情况说明</w:t>
      </w:r>
    </w:p>
    <w:p w:rsidR="003561E6" w:rsidRPr="00050D2B" w:rsidRDefault="003561E6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050D2B">
        <w:rPr>
          <w:rFonts w:ascii="Times New Roman" w:eastAsia="方正黑体_GBK" w:hAnsi="Times New Roman" w:cs="Times New Roman"/>
          <w:sz w:val="32"/>
          <w:szCs w:val="32"/>
        </w:rPr>
        <w:t>一、</w:t>
      </w:r>
      <w:r w:rsidR="00050D2B" w:rsidRPr="00050D2B">
        <w:rPr>
          <w:rFonts w:ascii="Times New Roman" w:eastAsia="方正黑体_GBK" w:hAnsi="Times New Roman" w:cs="Times New Roman"/>
          <w:sz w:val="32"/>
          <w:szCs w:val="32"/>
        </w:rPr>
        <w:t>2022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年度政府债务限额总体情况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4B4E62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4B4E62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政府债务限额总额为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629.593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16.9668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612.626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楷体_GBK" w:hAnsi="Times New Roman" w:cs="Times New Roman"/>
          <w:b/>
          <w:bCs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（一）政府债务限额分类型情况。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1.</w:t>
      </w: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一般债务限额总额情况。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政府一般债务限额总额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304.617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本级政府一般债务限额为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12.5109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亿元，所属县（市、区）政府一般债务限额为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292.106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2.</w:t>
      </w: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专项债务限额总额情况。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政府专项债务限额总额为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324.976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本级政府专项债务限额为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4.4559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亿元，所属县（市、区）政府专项债务限额为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320.52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楷体_GBK" w:hAnsi="Times New Roman" w:cs="Times New Roman"/>
          <w:b/>
          <w:bCs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（二）新增债务限额情况。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1.</w:t>
      </w: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新增一般债务限额情况。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政府新增一般债务限额总额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27.8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本级政府新增一般债务限额为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2.6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亿元，所属县（市、区）政府新增一般债务限额为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25.2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2.</w:t>
      </w:r>
      <w:r w:rsidRPr="00050D2B">
        <w:rPr>
          <w:rFonts w:ascii="Times New Roman" w:eastAsia="方正仿宋_GBK" w:hAnsi="Times New Roman" w:cs="Times New Roman"/>
          <w:b/>
          <w:bCs/>
          <w:sz w:val="32"/>
          <w:szCs w:val="32"/>
        </w:rPr>
        <w:t>新增专项债务限额情况。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政府新增专项债务限额总额为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150.4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本级政府新增专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lastRenderedPageBreak/>
        <w:t>项债务限额为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2.6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亿元，所属县（市、区）新增政府专项债务限额为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147.8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050D2B">
        <w:rPr>
          <w:rFonts w:ascii="Times New Roman" w:eastAsia="方正黑体_GBK" w:hAnsi="Times New Roman" w:cs="Times New Roman"/>
          <w:sz w:val="32"/>
          <w:szCs w:val="32"/>
        </w:rPr>
        <w:t>二、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202</w:t>
      </w:r>
      <w:r w:rsidR="00A30A71" w:rsidRPr="00050D2B">
        <w:rPr>
          <w:rFonts w:ascii="Times New Roman" w:eastAsia="方正黑体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年度政府债务余额情况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政府债务余额决算数为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602.1727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亿元，政府债务余额全部严格控制在限额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629.593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亿元内，其中：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本级政府债务余额决算数为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13.44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亿元，所属县（市、区）政府债务余额决算数为</w:t>
      </w:r>
      <w:r w:rsidR="00A30A71" w:rsidRPr="00050D2B">
        <w:rPr>
          <w:rFonts w:ascii="Times New Roman" w:eastAsia="方正仿宋_GBK" w:hAnsi="Times New Roman" w:cs="Times New Roman"/>
          <w:sz w:val="32"/>
          <w:szCs w:val="32"/>
        </w:rPr>
        <w:t>588.7327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（一）一般债务余额决算数。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政府一般债务余额决算数为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280.55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本级政府一般债务余额决算数为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9.04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亿元，所属县（市、区）政府一般债务余额决算数为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271.51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（二）专项债务余额决算数。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0F4E76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政府专项债务余额决算数为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321.62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本级政府专项债务余额决算数为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4.4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亿元，所属县（市、区）政府专项债务余额决算数为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317.22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050D2B">
        <w:rPr>
          <w:rFonts w:ascii="Times New Roman" w:eastAsia="方正黑体_GBK" w:hAnsi="Times New Roman" w:cs="Times New Roman"/>
          <w:sz w:val="32"/>
          <w:szCs w:val="32"/>
        </w:rPr>
        <w:t>三、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202</w:t>
      </w:r>
      <w:r w:rsidR="00AD4853" w:rsidRPr="00050D2B">
        <w:rPr>
          <w:rFonts w:ascii="Times New Roman" w:eastAsia="方正黑体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年度政府债券发行使用情况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发行政府债券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186.1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亿元（新增债券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178.2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亿元、再融资债券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7.9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亿元），其中：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本级发行政府债券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5.2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亿元（新增债券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5.2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亿元、再融资债券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亿元），所属县（市、区）发行政府债券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180.9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亿元（新增债券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173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亿元、再融资债券</w:t>
      </w:r>
      <w:r w:rsidR="00AD4853" w:rsidRPr="00050D2B">
        <w:rPr>
          <w:rFonts w:ascii="Times New Roman" w:eastAsia="方正仿宋_GBK" w:hAnsi="Times New Roman" w:cs="Times New Roman"/>
          <w:sz w:val="32"/>
          <w:szCs w:val="32"/>
        </w:rPr>
        <w:t>7.9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（一）新增一般债券发行使用情况。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发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lastRenderedPageBreak/>
        <w:t>行新增一般债券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27.8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本级发行新增一般债券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2.6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亿元，所属县（市、区）发行新增一般债券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25.2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亿元。上述债券资金主要用于义务教育、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乡村振兴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、农林水利、市政基础设施等领域（详见附件</w:t>
      </w:r>
      <w:r w:rsidR="000F7F78">
        <w:rPr>
          <w:rFonts w:ascii="Times New Roman" w:eastAsia="方正仿宋_GBK" w:hAnsi="Times New Roman" w:cs="Times New Roman" w:hint="eastAsia"/>
          <w:sz w:val="32"/>
          <w:szCs w:val="32"/>
        </w:rPr>
        <w:t>3-6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）。债券期限分别是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15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年期，债券平均利率为</w:t>
      </w:r>
      <w:r w:rsidR="006F20DE" w:rsidRPr="00050D2B">
        <w:rPr>
          <w:rFonts w:ascii="Times New Roman" w:eastAsia="方正仿宋_GBK" w:hAnsi="Times New Roman" w:cs="Times New Roman"/>
          <w:sz w:val="32"/>
          <w:szCs w:val="32"/>
        </w:rPr>
        <w:t>3.14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，债券还本付息通过一般公共预算收入偿还。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（二）新增专项债券发行使用情况。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9964F5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9964F5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发行新增专项债券</w:t>
      </w:r>
      <w:r w:rsidR="009964F5" w:rsidRPr="00050D2B">
        <w:rPr>
          <w:rFonts w:ascii="Times New Roman" w:eastAsia="方正仿宋_GBK" w:hAnsi="Times New Roman" w:cs="Times New Roman"/>
          <w:sz w:val="32"/>
          <w:szCs w:val="32"/>
        </w:rPr>
        <w:t>150.4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亿元，其中：</w:t>
      </w:r>
      <w:r w:rsidR="009964F5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本级发行新增专项债券</w:t>
      </w:r>
      <w:r w:rsidR="009964F5" w:rsidRPr="00050D2B">
        <w:rPr>
          <w:rFonts w:ascii="Times New Roman" w:eastAsia="方正仿宋_GBK" w:hAnsi="Times New Roman" w:cs="Times New Roman"/>
          <w:sz w:val="32"/>
          <w:szCs w:val="32"/>
        </w:rPr>
        <w:t>2.6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亿元，所属县（市、区）发行新增专项债券</w:t>
      </w:r>
      <w:r w:rsidR="009964F5" w:rsidRPr="00050D2B">
        <w:rPr>
          <w:rFonts w:ascii="Times New Roman" w:eastAsia="方正仿宋_GBK" w:hAnsi="Times New Roman" w:cs="Times New Roman"/>
          <w:sz w:val="32"/>
          <w:szCs w:val="32"/>
        </w:rPr>
        <w:t>147.6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亿元。上述债券资金主要用于交通、能源、农林水利、生态环保、社会事业、城乡冷链物流基础设施、市政和产业园区基础设施、保障性安居工程等重点领域（详见附件</w:t>
      </w:r>
      <w:r w:rsidR="000F7F78">
        <w:rPr>
          <w:rFonts w:ascii="Times New Roman" w:eastAsia="方正仿宋_GBK" w:hAnsi="Times New Roman" w:cs="Times New Roman" w:hint="eastAsia"/>
          <w:sz w:val="32"/>
          <w:szCs w:val="32"/>
        </w:rPr>
        <w:t>3-6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）。债券期限分别是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7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10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15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年期，债券平均利率为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3.19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，债券还本付息通过对应项目取得的政府性基金或专项收入等偿还。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（三）再融资债券发行使用情况。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发行再融资债券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7.9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亿元（再融资一般债券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7.7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亿元、再融资专项债券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0.2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亿元），其中：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本级发行再融资债券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亿元（再融资一般债券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亿元、再融资专项债券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亿元），所属县（市、区）发行再融资债券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7.9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亿元（再融资一般债券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7.7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亿元、再融资专项债券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0.2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亿元）。上述债券资金全部用于偿还到期政府债券本金，债券期限分别是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7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年期，债券平均利率为</w:t>
      </w:r>
      <w:r w:rsidR="00B60BA9" w:rsidRPr="00050D2B">
        <w:rPr>
          <w:rFonts w:ascii="Times New Roman" w:eastAsia="方正仿宋_GBK" w:hAnsi="Times New Roman" w:cs="Times New Roman"/>
          <w:sz w:val="32"/>
          <w:szCs w:val="32"/>
        </w:rPr>
        <w:t>2.94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050D2B">
        <w:rPr>
          <w:rFonts w:ascii="Times New Roman" w:eastAsia="方正黑体_GBK" w:hAnsi="Times New Roman" w:cs="Times New Roman"/>
          <w:sz w:val="32"/>
          <w:szCs w:val="32"/>
        </w:rPr>
        <w:t>四、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202</w:t>
      </w:r>
      <w:r w:rsidR="00181815" w:rsidRPr="00050D2B">
        <w:rPr>
          <w:rFonts w:ascii="Times New Roman" w:eastAsia="方正黑体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黑体_GBK" w:hAnsi="Times New Roman" w:cs="Times New Roman"/>
          <w:sz w:val="32"/>
          <w:szCs w:val="32"/>
        </w:rPr>
        <w:t>年度政府债券还本付息情况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仿宋_GBK" w:hAnsi="Times New Roman" w:cs="Times New Roman"/>
          <w:sz w:val="32"/>
          <w:szCs w:val="32"/>
        </w:rPr>
        <w:lastRenderedPageBreak/>
        <w:t>202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政府债券还本付息总额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27.92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10.03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2.13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7.9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17.89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亿元），其中：</w:t>
      </w:r>
      <w:r w:rsidR="00181815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本级政府债券还本付息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0.38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0.38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亿元），所属县（市、区）政府债券还本付息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27.54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10.03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2.13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7.9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D201FB" w:rsidRPr="00050D2B">
        <w:rPr>
          <w:rFonts w:ascii="Times New Roman" w:eastAsia="方正仿宋_GBK" w:hAnsi="Times New Roman" w:cs="Times New Roman"/>
          <w:sz w:val="32"/>
          <w:szCs w:val="32"/>
        </w:rPr>
        <w:t>17.51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（一）一般债券还本付息情况。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政府一般债券还本付息总额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19.37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9.76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2.06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7.7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9.61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亿元），其中：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本级政府一般债券还本付息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0.28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0.28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亿元），所属县（市、区）政府一般债券还本付息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19.9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9.76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2.06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7.7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9.33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亿元）。</w:t>
      </w:r>
    </w:p>
    <w:p w:rsidR="003561E6" w:rsidRPr="00050D2B" w:rsidRDefault="00FB7899" w:rsidP="00050D2B">
      <w:pPr>
        <w:adjustRightInd w:val="0"/>
        <w:snapToGrid w:val="0"/>
        <w:spacing w:line="57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50D2B">
        <w:rPr>
          <w:rFonts w:ascii="Times New Roman" w:eastAsia="方正楷体_GBK" w:hAnsi="Times New Roman" w:cs="Times New Roman"/>
          <w:b/>
          <w:bCs/>
          <w:sz w:val="32"/>
          <w:szCs w:val="32"/>
        </w:rPr>
        <w:t>（二）专项债券还本付息情况。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政府专项债券还本付息总额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8.54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0.26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0.06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8.28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亿元），其中：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喀什地区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本级政府专项债券还本付息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0.1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lastRenderedPageBreak/>
        <w:t>亿元；财政预算安排付息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0.1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亿元），所属县（市、区）政府专项债券还本付息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8.43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亿元（本金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0.26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亿元，财政预算安排还本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0.06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亿元，再融资债券还本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0.2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亿元；财政预算安排付息</w:t>
      </w:r>
      <w:r w:rsidR="00C548A2" w:rsidRPr="00050D2B">
        <w:rPr>
          <w:rFonts w:ascii="Times New Roman" w:eastAsia="方正仿宋_GBK" w:hAnsi="Times New Roman" w:cs="Times New Roman"/>
          <w:sz w:val="32"/>
          <w:szCs w:val="32"/>
        </w:rPr>
        <w:t>8.17</w:t>
      </w:r>
      <w:r w:rsidRPr="00050D2B">
        <w:rPr>
          <w:rFonts w:ascii="Times New Roman" w:eastAsia="方正仿宋_GBK" w:hAnsi="Times New Roman" w:cs="Times New Roman"/>
          <w:sz w:val="32"/>
          <w:szCs w:val="32"/>
        </w:rPr>
        <w:t>亿元）。</w:t>
      </w:r>
    </w:p>
    <w:p w:rsidR="003561E6" w:rsidRPr="00050D2B" w:rsidRDefault="003561E6" w:rsidP="00050D2B">
      <w:pPr>
        <w:adjustRightInd w:val="0"/>
        <w:snapToGrid w:val="0"/>
        <w:spacing w:line="570" w:lineRule="exact"/>
        <w:ind w:firstLine="200"/>
        <w:rPr>
          <w:rFonts w:ascii="Times New Roman" w:eastAsia="仿宋_GB2312" w:hAnsi="Times New Roman" w:cs="Times New Roman"/>
          <w:sz w:val="30"/>
          <w:szCs w:val="30"/>
        </w:rPr>
      </w:pPr>
    </w:p>
    <w:p w:rsidR="00BF0B1D" w:rsidRPr="00D455F8" w:rsidRDefault="00FB7899" w:rsidP="00D455F8">
      <w:pPr>
        <w:adjustRightInd w:val="0"/>
        <w:snapToGrid w:val="0"/>
        <w:spacing w:line="570" w:lineRule="exact"/>
        <w:ind w:firstLineChars="200" w:firstLine="456"/>
        <w:rPr>
          <w:rFonts w:ascii="Times New Roman" w:eastAsia="仿宋" w:hAnsi="Times New Roman" w:cs="Times New Roman"/>
          <w:spacing w:val="-6"/>
          <w:sz w:val="24"/>
        </w:rPr>
      </w:pPr>
      <w:r w:rsidRPr="00D455F8">
        <w:rPr>
          <w:rFonts w:ascii="Times New Roman" w:eastAsia="仿宋" w:hAnsi="仿宋" w:cs="Times New Roman"/>
          <w:spacing w:val="-6"/>
          <w:sz w:val="24"/>
        </w:rPr>
        <w:t>附件：</w:t>
      </w:r>
      <w:r w:rsidR="00D455F8" w:rsidRPr="00D455F8">
        <w:rPr>
          <w:rFonts w:ascii="Times New Roman" w:eastAsia="仿宋" w:hAnsi="Times New Roman" w:cs="Times New Roman"/>
          <w:spacing w:val="-6"/>
          <w:sz w:val="24"/>
        </w:rPr>
        <w:t>3-1.</w:t>
      </w:r>
      <w:r w:rsidRPr="00D455F8">
        <w:rPr>
          <w:rFonts w:ascii="Times New Roman" w:eastAsia="仿宋" w:hAnsi="Times New Roman" w:cs="Times New Roman"/>
          <w:spacing w:val="-6"/>
          <w:sz w:val="24"/>
        </w:rPr>
        <w:t xml:space="preserve"> </w:t>
      </w:r>
      <w:r w:rsidR="00BF0B1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BF0B1D" w:rsidRPr="00D455F8">
        <w:rPr>
          <w:rFonts w:ascii="Times New Roman" w:eastAsia="仿宋" w:hAnsi="仿宋" w:cs="Times New Roman"/>
          <w:spacing w:val="-6"/>
          <w:sz w:val="24"/>
        </w:rPr>
        <w:t>年度喀什地区及本级政府一般债务限额、余额情况表</w:t>
      </w:r>
    </w:p>
    <w:p w:rsidR="00BF0B1D" w:rsidRPr="00D455F8" w:rsidRDefault="00D455F8" w:rsidP="0003260A">
      <w:pPr>
        <w:adjustRightInd w:val="0"/>
        <w:snapToGrid w:val="0"/>
        <w:spacing w:line="570" w:lineRule="exact"/>
        <w:ind w:firstLineChars="500" w:firstLine="1140"/>
        <w:rPr>
          <w:rFonts w:ascii="Times New Roman" w:eastAsia="仿宋" w:hAnsi="Times New Roman" w:cs="Times New Roman"/>
          <w:spacing w:val="-6"/>
          <w:sz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</w:rPr>
        <w:t>3-2.</w:t>
      </w:r>
      <w:r w:rsidR="00BF0B1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BF0B1D" w:rsidRPr="00D455F8">
        <w:rPr>
          <w:rFonts w:ascii="Times New Roman" w:eastAsia="仿宋" w:hAnsi="仿宋" w:cs="Times New Roman"/>
          <w:spacing w:val="-6"/>
          <w:sz w:val="24"/>
        </w:rPr>
        <w:t>年度喀什地区及本级政府专项债务限额、余额情况表</w:t>
      </w:r>
    </w:p>
    <w:p w:rsidR="00BF0B1D" w:rsidRPr="00D455F8" w:rsidRDefault="00D455F8" w:rsidP="0003260A">
      <w:pPr>
        <w:adjustRightInd w:val="0"/>
        <w:snapToGrid w:val="0"/>
        <w:spacing w:line="570" w:lineRule="exact"/>
        <w:ind w:firstLineChars="500" w:firstLine="1140"/>
        <w:rPr>
          <w:rFonts w:ascii="Times New Roman" w:eastAsia="仿宋" w:hAnsi="Times New Roman" w:cs="Times New Roman"/>
          <w:spacing w:val="-6"/>
          <w:sz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</w:rPr>
        <w:t>3-3.</w:t>
      </w:r>
      <w:r w:rsidR="00BF0B1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BF0B1D" w:rsidRPr="00D455F8">
        <w:rPr>
          <w:rFonts w:ascii="Times New Roman" w:eastAsia="仿宋" w:hAnsi="仿宋" w:cs="Times New Roman"/>
          <w:spacing w:val="-6"/>
          <w:sz w:val="24"/>
        </w:rPr>
        <w:t>年度喀什地区及本级政府债务限额、余额（含一般债务限额、余额和专项债务限额、余额）情况表</w:t>
      </w:r>
    </w:p>
    <w:p w:rsidR="003561E6" w:rsidRPr="00D455F8" w:rsidRDefault="00D455F8" w:rsidP="0003260A">
      <w:pPr>
        <w:adjustRightInd w:val="0"/>
        <w:snapToGrid w:val="0"/>
        <w:spacing w:line="570" w:lineRule="exact"/>
        <w:ind w:firstLineChars="500" w:firstLine="1140"/>
        <w:rPr>
          <w:rFonts w:ascii="Times New Roman" w:eastAsia="仿宋" w:hAnsi="Times New Roman" w:cs="Times New Roman"/>
          <w:spacing w:val="-6"/>
          <w:sz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</w:rPr>
        <w:t>3-4.</w:t>
      </w:r>
      <w:r w:rsidR="001A6E2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1A6E2D" w:rsidRPr="00D455F8">
        <w:rPr>
          <w:rFonts w:ascii="Times New Roman" w:eastAsia="仿宋" w:hAnsi="仿宋" w:cs="Times New Roman"/>
          <w:spacing w:val="-6"/>
          <w:sz w:val="24"/>
        </w:rPr>
        <w:t>年度喀什地区及本级</w:t>
      </w:r>
      <w:r w:rsidR="00FB7899" w:rsidRPr="00D455F8">
        <w:rPr>
          <w:rFonts w:ascii="Times New Roman" w:eastAsia="仿宋" w:hAnsi="仿宋" w:cs="Times New Roman"/>
          <w:spacing w:val="-6"/>
          <w:sz w:val="24"/>
        </w:rPr>
        <w:t>债券发行情况表</w:t>
      </w:r>
    </w:p>
    <w:p w:rsidR="003561E6" w:rsidRPr="00D455F8" w:rsidRDefault="00D455F8" w:rsidP="0003260A">
      <w:pPr>
        <w:adjustRightInd w:val="0"/>
        <w:snapToGrid w:val="0"/>
        <w:spacing w:line="570" w:lineRule="exact"/>
        <w:ind w:firstLineChars="500" w:firstLine="1140"/>
        <w:rPr>
          <w:rFonts w:ascii="Times New Roman" w:eastAsia="仿宋" w:hAnsi="Times New Roman" w:cs="Times New Roman"/>
          <w:spacing w:val="-6"/>
          <w:sz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</w:rPr>
        <w:t>3-5.</w:t>
      </w:r>
      <w:r w:rsidR="00FB7899" w:rsidRPr="00D455F8">
        <w:rPr>
          <w:rFonts w:ascii="Times New Roman" w:eastAsia="仿宋" w:hAnsi="Times New Roman" w:cs="Times New Roman"/>
          <w:spacing w:val="-6"/>
          <w:sz w:val="24"/>
        </w:rPr>
        <w:t xml:space="preserve"> </w:t>
      </w:r>
      <w:r w:rsidR="001A6E2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1A6E2D" w:rsidRPr="00D455F8">
        <w:rPr>
          <w:rFonts w:ascii="Times New Roman" w:eastAsia="仿宋" w:hAnsi="仿宋" w:cs="Times New Roman"/>
          <w:spacing w:val="-6"/>
          <w:sz w:val="24"/>
        </w:rPr>
        <w:t>年度喀什地区及本级</w:t>
      </w:r>
      <w:r w:rsidR="00FB7899" w:rsidRPr="00D455F8">
        <w:rPr>
          <w:rFonts w:ascii="Times New Roman" w:eastAsia="仿宋" w:hAnsi="仿宋" w:cs="Times New Roman"/>
          <w:spacing w:val="-6"/>
          <w:sz w:val="24"/>
        </w:rPr>
        <w:t>债券发行情况明细表</w:t>
      </w:r>
    </w:p>
    <w:p w:rsidR="003561E6" w:rsidRPr="00D455F8" w:rsidRDefault="00326550" w:rsidP="0003260A">
      <w:pPr>
        <w:adjustRightInd w:val="0"/>
        <w:snapToGrid w:val="0"/>
        <w:spacing w:line="570" w:lineRule="exact"/>
        <w:ind w:firstLineChars="500" w:firstLine="1140"/>
        <w:rPr>
          <w:rFonts w:ascii="Times New Roman" w:eastAsia="仿宋" w:hAnsi="Times New Roman" w:cs="Times New Roman"/>
          <w:spacing w:val="-6"/>
          <w:sz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</w:rPr>
        <w:t>3-6.</w:t>
      </w:r>
      <w:r w:rsidR="00FB7899" w:rsidRPr="00D455F8">
        <w:rPr>
          <w:rFonts w:ascii="Times New Roman" w:eastAsia="仿宋" w:hAnsi="Times New Roman" w:cs="Times New Roman"/>
          <w:spacing w:val="-6"/>
          <w:sz w:val="24"/>
        </w:rPr>
        <w:t xml:space="preserve"> </w:t>
      </w:r>
      <w:r w:rsidR="001A6E2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1A6E2D" w:rsidRPr="00D455F8">
        <w:rPr>
          <w:rFonts w:ascii="Times New Roman" w:eastAsia="仿宋" w:hAnsi="仿宋" w:cs="Times New Roman"/>
          <w:spacing w:val="-6"/>
          <w:sz w:val="24"/>
        </w:rPr>
        <w:t>年度喀什地区及本级</w:t>
      </w:r>
      <w:r w:rsidR="00FB7899" w:rsidRPr="00D455F8">
        <w:rPr>
          <w:rFonts w:ascii="Times New Roman" w:eastAsia="仿宋" w:hAnsi="仿宋" w:cs="Times New Roman"/>
          <w:spacing w:val="-6"/>
          <w:sz w:val="24"/>
        </w:rPr>
        <w:t>新增债券使用情况表</w:t>
      </w:r>
    </w:p>
    <w:p w:rsidR="003561E6" w:rsidRPr="00D455F8" w:rsidRDefault="00326550" w:rsidP="0003260A">
      <w:pPr>
        <w:adjustRightInd w:val="0"/>
        <w:snapToGrid w:val="0"/>
        <w:spacing w:line="570" w:lineRule="exact"/>
        <w:ind w:firstLineChars="500" w:firstLine="1140"/>
        <w:rPr>
          <w:rFonts w:ascii="Times New Roman" w:eastAsia="仿宋" w:hAnsi="Times New Roman" w:cs="Times New Roman"/>
          <w:spacing w:val="-6"/>
          <w:sz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</w:rPr>
        <w:t>3-7.</w:t>
      </w:r>
      <w:r w:rsidR="001A6E2D" w:rsidRPr="00D455F8">
        <w:rPr>
          <w:rFonts w:ascii="Times New Roman" w:eastAsia="仿宋" w:hAnsi="Times New Roman" w:cs="Times New Roman"/>
          <w:spacing w:val="-6"/>
          <w:sz w:val="24"/>
        </w:rPr>
        <w:t>2022</w:t>
      </w:r>
      <w:r w:rsidR="001A6E2D" w:rsidRPr="00D455F8">
        <w:rPr>
          <w:rFonts w:ascii="Times New Roman" w:eastAsia="仿宋" w:hAnsi="仿宋" w:cs="Times New Roman"/>
          <w:spacing w:val="-6"/>
          <w:sz w:val="24"/>
        </w:rPr>
        <w:t>年度喀什地区及本级</w:t>
      </w:r>
      <w:r w:rsidR="00FB7899" w:rsidRPr="00D455F8">
        <w:rPr>
          <w:rFonts w:ascii="Times New Roman" w:eastAsia="仿宋" w:hAnsi="仿宋" w:cs="Times New Roman"/>
          <w:spacing w:val="-6"/>
          <w:sz w:val="24"/>
        </w:rPr>
        <w:t>还本付息决算情况表</w:t>
      </w:r>
    </w:p>
    <w:sectPr w:rsidR="003561E6" w:rsidRPr="00D455F8" w:rsidSect="003561E6">
      <w:footerReference w:type="default" r:id="rId7"/>
      <w:pgSz w:w="11906" w:h="16838"/>
      <w:pgMar w:top="2098" w:right="1587" w:bottom="1871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81A" w:rsidRDefault="0079381A" w:rsidP="003561E6">
      <w:r>
        <w:separator/>
      </w:r>
    </w:p>
  </w:endnote>
  <w:endnote w:type="continuationSeparator" w:id="1">
    <w:p w:rsidR="0079381A" w:rsidRDefault="0079381A" w:rsidP="00356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1E6" w:rsidRDefault="00C4254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3561E6" w:rsidRDefault="00C42547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B789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3260A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81A" w:rsidRDefault="0079381A" w:rsidP="003561E6">
      <w:r>
        <w:separator/>
      </w:r>
    </w:p>
  </w:footnote>
  <w:footnote w:type="continuationSeparator" w:id="1">
    <w:p w:rsidR="0079381A" w:rsidRDefault="0079381A" w:rsidP="003561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1E6"/>
    <w:rsid w:val="0003260A"/>
    <w:rsid w:val="00050D2B"/>
    <w:rsid w:val="000F4E76"/>
    <w:rsid w:val="000F7F78"/>
    <w:rsid w:val="00181815"/>
    <w:rsid w:val="001A6E2D"/>
    <w:rsid w:val="001D1C07"/>
    <w:rsid w:val="00326550"/>
    <w:rsid w:val="003561E6"/>
    <w:rsid w:val="004B4E62"/>
    <w:rsid w:val="006F20DE"/>
    <w:rsid w:val="0079381A"/>
    <w:rsid w:val="009964F5"/>
    <w:rsid w:val="009E5020"/>
    <w:rsid w:val="00A30A71"/>
    <w:rsid w:val="00AD4853"/>
    <w:rsid w:val="00B17B29"/>
    <w:rsid w:val="00B60BA9"/>
    <w:rsid w:val="00BF0B1D"/>
    <w:rsid w:val="00C42547"/>
    <w:rsid w:val="00C548A2"/>
    <w:rsid w:val="00D201FB"/>
    <w:rsid w:val="00D455F8"/>
    <w:rsid w:val="00EA07ED"/>
    <w:rsid w:val="00FB7899"/>
    <w:rsid w:val="01B36FE2"/>
    <w:rsid w:val="04AD2225"/>
    <w:rsid w:val="063F2F9D"/>
    <w:rsid w:val="090B4E5B"/>
    <w:rsid w:val="0E25722D"/>
    <w:rsid w:val="0E8D4F6B"/>
    <w:rsid w:val="182373F8"/>
    <w:rsid w:val="18823C8F"/>
    <w:rsid w:val="18D86125"/>
    <w:rsid w:val="1C460386"/>
    <w:rsid w:val="1D57227F"/>
    <w:rsid w:val="2AB37734"/>
    <w:rsid w:val="2B0F4298"/>
    <w:rsid w:val="2FBE46FB"/>
    <w:rsid w:val="31D13988"/>
    <w:rsid w:val="325A2235"/>
    <w:rsid w:val="353C53B6"/>
    <w:rsid w:val="36B666B6"/>
    <w:rsid w:val="388F1457"/>
    <w:rsid w:val="47B72475"/>
    <w:rsid w:val="485E7AB6"/>
    <w:rsid w:val="4B080752"/>
    <w:rsid w:val="4DB47F12"/>
    <w:rsid w:val="50CE11ED"/>
    <w:rsid w:val="51D77DB9"/>
    <w:rsid w:val="53013412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7BB7AC7"/>
    <w:rsid w:val="791768FB"/>
    <w:rsid w:val="7DB52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1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56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3561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390</Words>
  <Characters>2223</Characters>
  <Application>Microsoft Office Word</Application>
  <DocSecurity>0</DocSecurity>
  <Lines>18</Lines>
  <Paragraphs>5</Paragraphs>
  <ScaleCrop>false</ScaleCrop>
  <Company>微软中国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许梦如</cp:lastModifiedBy>
  <cp:revision>28</cp:revision>
  <cp:lastPrinted>2023-09-19T02:05:00Z</cp:lastPrinted>
  <dcterms:created xsi:type="dcterms:W3CDTF">2021-07-28T09:41:00Z</dcterms:created>
  <dcterms:modified xsi:type="dcterms:W3CDTF">2023-09-19T08:38:00Z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