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9F" w:rsidRPr="0053459F" w:rsidRDefault="0053459F" w:rsidP="0053459F">
      <w:pPr>
        <w:ind w:firstLine="664"/>
        <w:jc w:val="center"/>
        <w:rPr>
          <w:rFonts w:ascii="Times New Roman" w:eastAsia="方正小标宋_GBK" w:hAnsi="Times New Roman" w:cs="Times New Roman"/>
          <w:b/>
          <w:bCs/>
          <w:sz w:val="40"/>
          <w:szCs w:val="40"/>
        </w:rPr>
      </w:pPr>
      <w:r w:rsidRPr="0053459F">
        <w:rPr>
          <w:rFonts w:ascii="Times New Roman" w:eastAsia="方正小标宋_GBK" w:hAnsi="Times New Roman" w:cs="Times New Roman"/>
          <w:b/>
          <w:bCs/>
          <w:sz w:val="40"/>
          <w:szCs w:val="40"/>
        </w:rPr>
        <w:t>2022</w:t>
      </w:r>
      <w:r w:rsidRPr="0053459F">
        <w:rPr>
          <w:rFonts w:ascii="Times New Roman" w:eastAsia="方正小标宋_GBK" w:hAnsi="Times New Roman" w:cs="Times New Roman"/>
          <w:b/>
          <w:bCs/>
          <w:sz w:val="40"/>
          <w:szCs w:val="40"/>
        </w:rPr>
        <w:t>年度喀什地区及本级国有资本经营</w:t>
      </w:r>
      <w:r w:rsidRPr="0053459F">
        <w:rPr>
          <w:rFonts w:ascii="Times New Roman" w:eastAsia="方正小标宋_GBK" w:hAnsi="Times New Roman" w:cs="Times New Roman"/>
          <w:b/>
          <w:bCs/>
          <w:sz w:val="40"/>
          <w:szCs w:val="40"/>
        </w:rPr>
        <w:t xml:space="preserve">     </w:t>
      </w:r>
      <w:r w:rsidRPr="0053459F">
        <w:rPr>
          <w:rFonts w:ascii="Times New Roman" w:eastAsia="方正小标宋_GBK" w:hAnsi="Times New Roman" w:cs="Times New Roman"/>
          <w:b/>
          <w:bCs/>
          <w:sz w:val="40"/>
          <w:szCs w:val="40"/>
        </w:rPr>
        <w:t>预算决算情况说明</w:t>
      </w:r>
    </w:p>
    <w:p w:rsidR="0053459F" w:rsidRPr="0053459F" w:rsidRDefault="0053459F" w:rsidP="0053459F">
      <w:pPr>
        <w:ind w:firstLine="664"/>
        <w:jc w:val="center"/>
        <w:rPr>
          <w:rFonts w:ascii="Times New Roman" w:eastAsia="黑体" w:hAnsi="Times New Roman" w:cs="Times New Roman"/>
          <w:b/>
          <w:bCs/>
          <w:sz w:val="32"/>
          <w:szCs w:val="32"/>
        </w:rPr>
      </w:pPr>
    </w:p>
    <w:p w:rsidR="00A52860" w:rsidRPr="0053459F" w:rsidRDefault="000C5BAD" w:rsidP="0053459F">
      <w:pPr>
        <w:spacing w:line="570" w:lineRule="exact"/>
        <w:ind w:firstLineChars="196" w:firstLine="627"/>
        <w:rPr>
          <w:rFonts w:ascii="Times New Roman" w:eastAsia="方正黑体_GBK" w:hAnsi="Times New Roman" w:cs="Times New Roman"/>
          <w:sz w:val="32"/>
          <w:szCs w:val="32"/>
        </w:rPr>
      </w:pP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一、</w:t>
      </w: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2022</w:t>
      </w: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年全地区国有资本经营预</w:t>
      </w:r>
      <w:r w:rsidRPr="0053459F">
        <w:rPr>
          <w:rFonts w:ascii="Times New Roman" w:eastAsia="方正黑体_GBK" w:hAnsi="Times New Roman" w:cs="Times New Roman"/>
          <w:sz w:val="32"/>
          <w:szCs w:val="32"/>
        </w:rPr>
        <w:t>算执行情况</w:t>
      </w:r>
    </w:p>
    <w:p w:rsidR="00A52860" w:rsidRPr="0053459F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t>收入情况：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国有资本经营预算收入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15046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万元，为预算数的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196.12%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，增长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70.94%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。主要是企业利润增加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620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万元，股利、股息收入增加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678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万元，其他国有资本经营预算收入增加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6194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A52860" w:rsidRPr="0053459F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t>支出情况：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国有资本经营预算支出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8103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万元，完成调整预算的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97.31%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。增长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140.95%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，主要是国有企业资本金注入增加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4670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A52860" w:rsidRPr="0053459F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t>收支平衡情况：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收入总计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16707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万元，其中：当年收入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15046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万元，上级补助收入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130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万元，上</w:t>
      </w:r>
      <w:r w:rsidRPr="00233349">
        <w:rPr>
          <w:rFonts w:ascii="Times New Roman" w:eastAsia="方正仿宋_GBK" w:hAnsi="Times New Roman" w:cs="Times New Roman"/>
          <w:sz w:val="32"/>
          <w:szCs w:val="32"/>
        </w:rPr>
        <w:t>年结余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1531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万元。支出总计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16420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万元，其中：当年支出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8103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万元，调出到一般公共预算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8317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万元。收支相抵，年终结余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287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A52860" w:rsidRPr="0053459F" w:rsidRDefault="000C5BAD" w:rsidP="0053459F">
      <w:pPr>
        <w:spacing w:line="570" w:lineRule="exact"/>
        <w:ind w:firstLineChars="196" w:firstLine="627"/>
        <w:rPr>
          <w:rFonts w:ascii="Times New Roman" w:eastAsia="方正黑体_GBK" w:hAnsi="Times New Roman" w:cs="Times New Roman"/>
          <w:sz w:val="32"/>
          <w:szCs w:val="32"/>
        </w:rPr>
      </w:pP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二、</w:t>
      </w: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2022</w:t>
      </w:r>
      <w:r w:rsidRPr="0053459F">
        <w:rPr>
          <w:rFonts w:ascii="Times New Roman" w:eastAsia="方正黑体_GBK" w:hAnsi="Times New Roman" w:cs="Times New Roman"/>
          <w:bCs/>
          <w:sz w:val="32"/>
          <w:szCs w:val="32"/>
        </w:rPr>
        <w:t>年地区本级国有资本经营预</w:t>
      </w:r>
      <w:r w:rsidRPr="0053459F">
        <w:rPr>
          <w:rFonts w:ascii="Times New Roman" w:eastAsia="方正黑体_GBK" w:hAnsi="Times New Roman" w:cs="Times New Roman"/>
          <w:sz w:val="32"/>
          <w:szCs w:val="32"/>
        </w:rPr>
        <w:t>算执行情况</w:t>
      </w:r>
    </w:p>
    <w:p w:rsidR="00A52860" w:rsidRPr="0053459F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t>收入情况：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国有资本经营预算收入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1385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万元，为预算数的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127.06%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，下降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44.8%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。主要是清算收入减少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1548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A52860" w:rsidRPr="0053459F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lastRenderedPageBreak/>
        <w:t>支出情况：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国有资本经营预算支出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1771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万元，完成调整预算的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89.49%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。增长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223.18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，主要是国有企业资本金注入增加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1318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A52860" w:rsidRDefault="000C5BAD" w:rsidP="0053459F">
      <w:pPr>
        <w:spacing w:line="570" w:lineRule="exact"/>
        <w:ind w:firstLineChars="196" w:firstLine="630"/>
        <w:rPr>
          <w:rFonts w:ascii="Times New Roman" w:eastAsia="方正仿宋_GBK" w:hAnsi="Times New Roman" w:cs="Times New Roman"/>
          <w:sz w:val="32"/>
          <w:szCs w:val="32"/>
        </w:rPr>
      </w:pPr>
      <w:r w:rsidRPr="0053459F">
        <w:rPr>
          <w:rFonts w:ascii="Times New Roman" w:eastAsia="方正仿宋_GBK" w:hAnsi="Times New Roman" w:cs="Times New Roman"/>
          <w:b/>
          <w:bCs/>
          <w:sz w:val="32"/>
          <w:szCs w:val="32"/>
        </w:rPr>
        <w:t>收支平衡情况：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收入总计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2689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万元，其中：当年收入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1385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万元，上级补助收入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万元，上年结余收入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1303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万元。支出总计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2481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万元，其中：当年支出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1771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万元，对下级支出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120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万元，调出到一般公共预算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590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万元。收支相抵，年终结余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208</w:t>
      </w:r>
      <w:r w:rsidRPr="0053459F">
        <w:rPr>
          <w:rFonts w:ascii="Times New Roman" w:eastAsia="方正仿宋_GBK" w:hAnsi="Times New Roman" w:cs="Times New Roman"/>
          <w:sz w:val="32"/>
          <w:szCs w:val="32"/>
        </w:rPr>
        <w:t>万元。</w:t>
      </w:r>
    </w:p>
    <w:p w:rsidR="0053459F" w:rsidRDefault="0053459F" w:rsidP="0053459F">
      <w:pPr>
        <w:spacing w:line="570" w:lineRule="exact"/>
        <w:ind w:firstLineChars="196" w:firstLine="627"/>
        <w:rPr>
          <w:rFonts w:ascii="Times New Roman" w:eastAsia="方正仿宋_GBK" w:hAnsi="Times New Roman" w:cs="Times New Roman"/>
          <w:sz w:val="32"/>
          <w:szCs w:val="32"/>
        </w:rPr>
      </w:pPr>
    </w:p>
    <w:p w:rsidR="0053459F" w:rsidRDefault="0053459F" w:rsidP="0053459F">
      <w:pPr>
        <w:spacing w:line="570" w:lineRule="exact"/>
        <w:ind w:firstLineChars="196" w:firstLine="627"/>
        <w:rPr>
          <w:rFonts w:ascii="Times New Roman" w:eastAsia="方正仿宋_GBK" w:hAnsi="Times New Roman" w:cs="Times New Roman"/>
          <w:sz w:val="32"/>
          <w:szCs w:val="32"/>
        </w:rPr>
      </w:pPr>
    </w:p>
    <w:p w:rsidR="0053459F" w:rsidRDefault="0053459F" w:rsidP="0053459F">
      <w:pPr>
        <w:spacing w:line="570" w:lineRule="exact"/>
        <w:ind w:firstLineChars="196" w:firstLine="627"/>
        <w:rPr>
          <w:rFonts w:ascii="Times New Roman" w:eastAsia="方正仿宋_GBK" w:hAnsi="Times New Roman" w:cs="Times New Roman"/>
          <w:sz w:val="32"/>
          <w:szCs w:val="32"/>
        </w:rPr>
      </w:pPr>
    </w:p>
    <w:p w:rsidR="0053459F" w:rsidRPr="0003082C" w:rsidRDefault="0053459F" w:rsidP="0053459F">
      <w:pPr>
        <w:spacing w:line="570" w:lineRule="exact"/>
        <w:ind w:firstLineChars="196" w:firstLine="627"/>
        <w:rPr>
          <w:rFonts w:ascii="Times New Roman" w:eastAsia="方正仿宋_GBK" w:hAnsi="Times New Roman" w:cs="Times New Roman"/>
          <w:sz w:val="32"/>
          <w:szCs w:val="32"/>
        </w:rPr>
      </w:pPr>
      <w:r w:rsidRPr="0003082C">
        <w:rPr>
          <w:rFonts w:ascii="Times New Roman" w:eastAsia="方正仿宋_GBK" w:hAnsi="Times New Roman" w:cs="Times New Roman"/>
          <w:sz w:val="32"/>
          <w:szCs w:val="32"/>
        </w:rPr>
        <w:t>附件：</w:t>
      </w:r>
      <w:r w:rsidRPr="0003082C">
        <w:rPr>
          <w:rFonts w:ascii="Times New Roman" w:eastAsia="方正仿宋_GBK" w:hAnsi="Times New Roman" w:cs="Times New Roman"/>
          <w:sz w:val="32"/>
          <w:szCs w:val="32"/>
        </w:rPr>
        <w:t>8-1</w:t>
      </w:r>
      <w:r w:rsidR="00233349" w:rsidRPr="0003082C">
        <w:rPr>
          <w:rFonts w:ascii="Times New Roman" w:eastAsia="方正仿宋_GBK" w:hAnsi="Times New Roman" w:cs="Times New Roman"/>
          <w:sz w:val="32"/>
          <w:szCs w:val="32"/>
        </w:rPr>
        <w:t>.2022</w:t>
      </w:r>
      <w:r w:rsidR="00233349" w:rsidRPr="0003082C">
        <w:rPr>
          <w:rFonts w:ascii="Times New Roman" w:eastAsia="方正仿宋_GBK" w:hAnsi="Times New Roman" w:cs="Times New Roman"/>
          <w:sz w:val="32"/>
          <w:szCs w:val="32"/>
        </w:rPr>
        <w:t>年度喀什地区及本级国有资本经营预算决算情况表</w:t>
      </w:r>
    </w:p>
    <w:p w:rsidR="00233349" w:rsidRPr="0003082C" w:rsidRDefault="00233349" w:rsidP="00233349">
      <w:pPr>
        <w:spacing w:line="570" w:lineRule="exact"/>
        <w:ind w:firstLineChars="495" w:firstLine="1584"/>
        <w:rPr>
          <w:rFonts w:ascii="Times New Roman" w:eastAsia="方正仿宋_GBK" w:hAnsi="Times New Roman" w:cs="Times New Roman"/>
          <w:sz w:val="32"/>
          <w:szCs w:val="32"/>
        </w:rPr>
      </w:pPr>
      <w:r w:rsidRPr="0003082C">
        <w:rPr>
          <w:rFonts w:ascii="Times New Roman" w:eastAsia="方正仿宋_GBK" w:hAnsi="Times New Roman" w:cs="Times New Roman"/>
          <w:sz w:val="32"/>
          <w:szCs w:val="32"/>
        </w:rPr>
        <w:t>8-2.</w:t>
      </w:r>
      <w:r w:rsidRPr="0003082C">
        <w:rPr>
          <w:rFonts w:ascii="Times New Roman" w:eastAsia="方正仿宋_GBK" w:hAnsi="Times New Roman" w:cs="Times New Roman"/>
          <w:sz w:val="32"/>
          <w:szCs w:val="32"/>
        </w:rPr>
        <w:t>对各县市国有资本经营预算转移支付表</w:t>
      </w:r>
    </w:p>
    <w:p w:rsidR="00A52860" w:rsidRPr="0053459F" w:rsidRDefault="00A52860">
      <w:pPr>
        <w:ind w:firstLine="664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A52860" w:rsidRPr="0053459F" w:rsidSect="00A528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C0B" w:rsidRDefault="00E21C0B" w:rsidP="0053459F">
      <w:pPr>
        <w:spacing w:after="0"/>
      </w:pPr>
      <w:r>
        <w:separator/>
      </w:r>
    </w:p>
  </w:endnote>
  <w:endnote w:type="continuationSeparator" w:id="1">
    <w:p w:rsidR="00E21C0B" w:rsidRDefault="00E21C0B" w:rsidP="005345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C0B" w:rsidRDefault="00E21C0B" w:rsidP="0053459F">
      <w:pPr>
        <w:spacing w:after="0"/>
      </w:pPr>
      <w:r>
        <w:separator/>
      </w:r>
    </w:p>
  </w:footnote>
  <w:footnote w:type="continuationSeparator" w:id="1">
    <w:p w:rsidR="00E21C0B" w:rsidRDefault="00E21C0B" w:rsidP="005345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082C"/>
    <w:rsid w:val="00065C85"/>
    <w:rsid w:val="000C5BAD"/>
    <w:rsid w:val="00181DD0"/>
    <w:rsid w:val="001D2346"/>
    <w:rsid w:val="00233349"/>
    <w:rsid w:val="00323B43"/>
    <w:rsid w:val="003D37D8"/>
    <w:rsid w:val="00422914"/>
    <w:rsid w:val="00426133"/>
    <w:rsid w:val="004358AB"/>
    <w:rsid w:val="004B26CD"/>
    <w:rsid w:val="0053459F"/>
    <w:rsid w:val="00606976"/>
    <w:rsid w:val="008B7726"/>
    <w:rsid w:val="00A52860"/>
    <w:rsid w:val="00B16D99"/>
    <w:rsid w:val="00B73C35"/>
    <w:rsid w:val="00D2564F"/>
    <w:rsid w:val="00D31D50"/>
    <w:rsid w:val="00D75E49"/>
    <w:rsid w:val="00E21C0B"/>
    <w:rsid w:val="00EA357F"/>
    <w:rsid w:val="39AE7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6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5286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528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2860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5286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100</Words>
  <Characters>572</Characters>
  <Application>Microsoft Office Word</Application>
  <DocSecurity>0</DocSecurity>
  <Lines>4</Lines>
  <Paragraphs>1</Paragraphs>
  <ScaleCrop>false</ScaleCrop>
  <Company>微软中国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许梦如</cp:lastModifiedBy>
  <cp:revision>6</cp:revision>
  <cp:lastPrinted>2022-09-15T03:43:00Z</cp:lastPrinted>
  <dcterms:created xsi:type="dcterms:W3CDTF">2008-09-11T17:20:00Z</dcterms:created>
  <dcterms:modified xsi:type="dcterms:W3CDTF">2023-09-14T07:59:00Z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