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bookmarkStart w:id="54" w:name="_GoBack"/>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新疆喀什地区应急管理局2019年度部门决算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bookmarkEnd w:id="54"/>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4"/>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2"/>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4"/>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5"/>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负责地区应急管理工作，指导各县市、各部门应对安全类、自然灾害类等突发事件和综合防灾减灾救灾工作。负责安全综合监督管理和工矿商贸行业安全监督管理工作。2.组织编制应急体系建设、安全和综合防灾减灾规划，组织制定应急管理、安全类规范性文件并监督实施。3.负责安全类、自然灾害类应急预案体系建设，建立完善事故灾难和自然灾害分级应对制度，组织编制本地区总体应急预案和安全类、自然灾害类专项预案，综合协调应急预案衔接工作，组织开展预案演练，推动应急避难设施建设。4.牵头建立地区统一的应急管理信息系统，负责编制和落实信息传输渠道的规划和布局，建立监测预警和灾情报告制度,健全自然灾害信息资源获取和共享机制，依法统一发布灾情。5.组织指导协调安全类、自然灾害类等突发事件应急救援,承担地区应对较大灾害指挥部工作，综合研判突发事件发展态势并提出应对建议，协助地委、行署组织重大灾害应急处置工作。6.统一协调指挥各类应急专业队伍，建立应急协调联动机制,推进指挥平台对接,衔接解放军和武警部队参与应急救援工作。7.统筹应急救援力量建设，负责组织消防、森林火灾扑救、抗洪抢险、地震和地质灾害救援、生产安全事故救援等专业应急救援力量建设,管理指挥地区综合性应急救援队伍，指导各县（市）及社会应急救援力量建设。8.负责消防管理工作，指导县市消防监督、火灾预防、火灾扑救等工作。9.指导协调森林和草原火灾、水旱灾害、地震和地质灾害等防治工作，负责自然灾害综合监测预警工作，指导开展自然灾害综合风险评估工作。10.组织协调本地区灾害救助工作，组织指导灾情核查、损失评估、救灾捐赠工作，管理、分配自治区、地区救灾款物并监督使用。11.依法行使安全综合监督管理职权，指导协调、监督检查各县市人民政府和地区有关部门安全工作，组织开展安全巡查、考核工作。12.按照分级、属地原则，依法监督检查工矿商贸生产经营单位贯彻执行安全法律法规及其安全条件和有关设备（特种设备除外）、材料、劳动防护用品的安全管理工作。负责监督管理工矿商贸行业安全工作。依法组织并指导监督实施安全准入制度。负责危险化学品安全监督管理综合工作和烟花爆竹经营单位安全监督管理工作。负责非煤矿山安全监督管理工作。13.依法组织指导生产安全事故调查处理，监督事故查处和责任追究落实情况。组织开展自然灾害类突发事件的调查评估工作。14.制定应急物资储备和应急救援装备规划并组织实施,会同地区粮食和物资储备局等部门建立健全应急物资信息平台和调拨制度，在救灾时统一调度。15.负责应急管理、安全宣传教育和培训工作，组织指导地区应急管理、安全的科学技术研究、推广应用和信息化建设工作。开展应急管理方面的对外合作与交流。16.完成地委、行署交办的其他任务。17.职能转变。地区应急管理局应加强、优化、统筹地区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地区应急管理水平和防灾减灾救灾能力，防范化解重特大安全风险。二是坚持以人为本，把确保人民群众生命安全放在首位，确保受灾群众基本生活，加强应急预案演练，增强全民防灾减灾意识，提升公众知识普及和自救互救技能，切实减少人员伤亡和财产损失。三是树立安全发展理念，坚持生命至上、安全第一，完善安全责任制，坚决遏制重特大安全事故。</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新疆喀什地区应急管理局2</w:t>
      </w:r>
      <w:r>
        <w:rPr>
          <w:rFonts w:ascii="仿宋_GB2312" w:eastAsia="仿宋_GB2312"/>
          <w:sz w:val="32"/>
          <w:szCs w:val="32"/>
        </w:rPr>
        <w:t>019</w:t>
      </w:r>
      <w:r>
        <w:rPr>
          <w:rFonts w:hint="eastAsia" w:ascii="仿宋_GB2312" w:eastAsia="仿宋_GB2312"/>
          <w:sz w:val="32"/>
          <w:szCs w:val="32"/>
        </w:rPr>
        <w:t>年度，实有人数42人，其中：在职人员34人，离休人员0人，退休人员8人。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从部门决算单位构成看，新疆喀什地区应急管理局部门决算包括：新疆喀什地区应急管理局决算。</w:t>
      </w:r>
    </w:p>
    <w:p>
      <w:pPr>
        <w:ind w:firstLine="640" w:firstLineChars="200"/>
        <w:jc w:val="center"/>
        <w:outlineLvl w:val="0"/>
        <w:rPr>
          <w:rFonts w:ascii="黑体" w:hAnsi="黑体" w:eastAsia="黑体"/>
          <w:sz w:val="32"/>
          <w:szCs w:val="32"/>
        </w:rPr>
      </w:pPr>
      <w:bookmarkStart w:id="6" w:name="_Toc3092"/>
      <w:bookmarkStart w:id="7" w:name="_Toc29374"/>
      <w:r>
        <w:rPr>
          <w:rFonts w:hint="eastAsia" w:ascii="黑体" w:hAnsi="黑体" w:eastAsia="黑体"/>
          <w:sz w:val="32"/>
          <w:szCs w:val="32"/>
        </w:rPr>
        <w:t>第二部分部门决算情况说明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2019年度本年收入620.61万元，与上年相比，增加130.23万元，增长26.56%，主要原因是：</w:t>
      </w:r>
      <w:r>
        <w:rPr>
          <w:rFonts w:hint="eastAsia" w:ascii="仿宋_GB2312" w:eastAsia="仿宋_GB2312"/>
          <w:color w:val="000000" w:themeColor="text1"/>
          <w:sz w:val="32"/>
          <w:szCs w:val="32"/>
          <w14:textFill>
            <w14:solidFill>
              <w14:schemeClr w14:val="tx1"/>
            </w14:solidFill>
          </w14:textFill>
        </w:rPr>
        <w:t>财政拨款收入增加。</w:t>
      </w:r>
      <w:r>
        <w:rPr>
          <w:rFonts w:hint="eastAsia" w:ascii="仿宋_GB2312" w:eastAsia="仿宋_GB2312"/>
          <w:sz w:val="32"/>
          <w:szCs w:val="32"/>
        </w:rPr>
        <w:t>本年支出619.98万元，与上年相比，增加129.11万元，增长26.3%，主要原因是：</w:t>
      </w:r>
      <w:r>
        <w:rPr>
          <w:rFonts w:hint="eastAsia" w:ascii="仿宋_GB2312" w:eastAsia="仿宋_GB2312"/>
          <w:color w:val="000000" w:themeColor="text1"/>
          <w:sz w:val="32"/>
          <w:szCs w:val="32"/>
          <w14:textFill>
            <w14:solidFill>
              <w14:schemeClr w14:val="tx1"/>
            </w14:solidFill>
          </w14:textFill>
        </w:rPr>
        <w:t>1.项目个数增加3个，分别是（1）办公场所搬迁相关经费项目、（2）地直横向密码通信网接入网、（3）机关运行经费项目；2.人员调资，个人工资福利支出增加。</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年度本年收入620.61万元，其中：财政拨款收入620.61万元，占100%；上级补助收入0万元，占0%；事业收入0万元，占0%；经营收入0万元，占0%；附属单位上缴收入0万元，占0%；其他收入0万元，占0%。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2019年度本年支出619.98万元，其中：基本支出516.53万元，占83.31%；项目支出103.45万元，占16.69%；上缴上级支出0万元，占0%；经营支出0万元，占0%；对附属单位补助支出0万元，占0%。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620.61万元，与上年相比，增加130.23万元，增长26.56%，主要原因是：1.财政拨款安排项目增加；2.机构改革人员增加，相应工资福利、人员经费等增加。财政拨款支出619.98万元，与上年相比，增加129.11万元，增长26.3%，主要原因是：</w:t>
      </w:r>
      <w:r>
        <w:rPr>
          <w:rFonts w:ascii="仿宋_GB2312" w:eastAsia="仿宋_GB2312"/>
          <w:sz w:val="32"/>
          <w:szCs w:val="32"/>
        </w:rPr>
        <w:t>人员经费中工资福利支出增加，机构改革人员转隶人员。</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715.90</w:t>
      </w:r>
      <w:r>
        <w:rPr>
          <w:rFonts w:hint="eastAsia" w:ascii="仿宋_GB2312" w:eastAsia="仿宋_GB2312"/>
          <w:sz w:val="32"/>
          <w:szCs w:val="32"/>
        </w:rPr>
        <w:t>万元，决算数620.61万元</w:t>
      </w:r>
      <w:r>
        <w:rPr>
          <w:rFonts w:ascii="仿宋_GB2312" w:eastAsia="仿宋_GB2312"/>
          <w:color w:val="000000" w:themeColor="text1"/>
          <w:sz w:val="32"/>
          <w:szCs w:val="32"/>
          <w14:textFill>
            <w14:solidFill>
              <w14:schemeClr w14:val="tx1"/>
            </w14:solidFill>
          </w14:textFill>
        </w:rPr>
        <w:t>，预决算差异率-13.31%，主要原因是：救灾应急储备项目未形成支出。</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715.90</w:t>
      </w:r>
      <w:r>
        <w:rPr>
          <w:rFonts w:hint="eastAsia" w:ascii="仿宋_GB2312" w:eastAsia="仿宋_GB2312"/>
          <w:sz w:val="32"/>
          <w:szCs w:val="32"/>
        </w:rPr>
        <w:t>万元，决算数619.98万元</w:t>
      </w:r>
      <w:r>
        <w:rPr>
          <w:rFonts w:ascii="仿宋_GB2312" w:eastAsia="仿宋_GB2312"/>
          <w:color w:val="000000" w:themeColor="text1"/>
          <w:sz w:val="32"/>
          <w:szCs w:val="32"/>
          <w14:textFill>
            <w14:solidFill>
              <w14:schemeClr w14:val="tx1"/>
            </w14:solidFill>
          </w14:textFill>
        </w:rPr>
        <w:t>，预决算差异率-13.4%，主要原因是：人员经费中工资福利支出增加，机构改革人员转隶划转人员和基本公用92.98万元列入年初预算。</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年度一般公共预算财政拨款支出619.98万元。按功能分类科目项级科目公开，其中：</w:t>
      </w:r>
    </w:p>
    <w:p>
      <w:pPr>
        <w:rPr>
          <w:rFonts w:ascii="仿宋_GB2312" w:eastAsia="仿宋_GB2312"/>
          <w:sz w:val="32"/>
          <w:szCs w:val="32"/>
        </w:rPr>
      </w:pPr>
      <w:r>
        <w:rPr>
          <w:rFonts w:ascii="仿宋_GB2312" w:eastAsia="仿宋_GB2312"/>
          <w:sz w:val="32"/>
          <w:szCs w:val="32"/>
        </w:rPr>
        <w:t xml:space="preserve">   2080505机关事业单位基本养老保险缴费支出44.47万元；</w:t>
      </w:r>
      <w:r>
        <w:rPr>
          <w:rFonts w:ascii="仿宋_GB2312" w:eastAsia="仿宋_GB2312"/>
          <w:sz w:val="32"/>
          <w:szCs w:val="32"/>
        </w:rPr>
        <w:br w:type="textWrapping"/>
      </w:r>
      <w:r>
        <w:rPr>
          <w:rFonts w:ascii="仿宋_GB2312" w:eastAsia="仿宋_GB2312"/>
          <w:sz w:val="32"/>
          <w:szCs w:val="32"/>
        </w:rPr>
        <w:t>2080506机关事业单位职业年金缴费支出1.32万元；</w:t>
      </w:r>
      <w:r>
        <w:rPr>
          <w:rFonts w:ascii="仿宋_GB2312" w:eastAsia="仿宋_GB2312"/>
          <w:sz w:val="32"/>
          <w:szCs w:val="32"/>
        </w:rPr>
        <w:br w:type="textWrapping"/>
      </w:r>
      <w:r>
        <w:rPr>
          <w:rFonts w:ascii="仿宋_GB2312" w:eastAsia="仿宋_GB2312"/>
          <w:sz w:val="32"/>
          <w:szCs w:val="32"/>
        </w:rPr>
        <w:t xml:space="preserve">   2210201住房公积金支出34.76万元；</w:t>
      </w:r>
      <w:r>
        <w:rPr>
          <w:rFonts w:ascii="仿宋_GB2312" w:eastAsia="仿宋_GB2312"/>
          <w:sz w:val="32"/>
          <w:szCs w:val="32"/>
        </w:rPr>
        <w:br w:type="textWrapping"/>
      </w:r>
      <w:r>
        <w:rPr>
          <w:rFonts w:ascii="仿宋_GB2312" w:eastAsia="仿宋_GB2312"/>
          <w:sz w:val="32"/>
          <w:szCs w:val="32"/>
        </w:rPr>
        <w:t xml:space="preserve">   2240101行政运行支出435.99万元；</w:t>
      </w:r>
      <w:r>
        <w:rPr>
          <w:rFonts w:ascii="仿宋_GB2312" w:eastAsia="仿宋_GB2312"/>
          <w:sz w:val="32"/>
          <w:szCs w:val="32"/>
        </w:rPr>
        <w:br w:type="textWrapping"/>
      </w:r>
      <w:r>
        <w:rPr>
          <w:rFonts w:ascii="仿宋_GB2312" w:eastAsia="仿宋_GB2312"/>
          <w:sz w:val="32"/>
          <w:szCs w:val="32"/>
        </w:rPr>
        <w:t xml:space="preserve">   2240102一般行政管理事务支出20万元；</w:t>
      </w:r>
      <w:r>
        <w:rPr>
          <w:rFonts w:ascii="仿宋_GB2312" w:eastAsia="仿宋_GB2312"/>
          <w:sz w:val="32"/>
          <w:szCs w:val="32"/>
        </w:rPr>
        <w:br w:type="textWrapping"/>
      </w:r>
      <w:r>
        <w:rPr>
          <w:rFonts w:ascii="仿宋_GB2312" w:eastAsia="仿宋_GB2312"/>
          <w:sz w:val="32"/>
          <w:szCs w:val="32"/>
        </w:rPr>
        <w:t xml:space="preserve">   2240106安全监管支出69.46万元；</w:t>
      </w:r>
      <w:r>
        <w:rPr>
          <w:rFonts w:ascii="仿宋_GB2312" w:eastAsia="仿宋_GB2312"/>
          <w:sz w:val="32"/>
          <w:szCs w:val="32"/>
        </w:rPr>
        <w:br w:type="textWrapping"/>
      </w:r>
      <w:r>
        <w:rPr>
          <w:rFonts w:ascii="仿宋_GB2312" w:eastAsia="仿宋_GB2312"/>
          <w:sz w:val="32"/>
          <w:szCs w:val="32"/>
        </w:rPr>
        <w:t xml:space="preserve">   2299901其他支出13.99万元。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年度一般公共预算财政拨款基本支出516.53万元，其中：</w:t>
      </w:r>
    </w:p>
    <w:p>
      <w:pPr>
        <w:ind w:firstLine="640" w:firstLineChars="200"/>
        <w:rPr>
          <w:rFonts w:ascii="仿宋_GB2312" w:eastAsia="仿宋_GB2312"/>
          <w:sz w:val="32"/>
          <w:szCs w:val="32"/>
        </w:rPr>
      </w:pPr>
      <w:r>
        <w:rPr>
          <w:rFonts w:hint="eastAsia" w:ascii="仿宋_GB2312" w:eastAsia="仿宋_GB2312"/>
          <w:sz w:val="32"/>
          <w:szCs w:val="32"/>
        </w:rPr>
        <w:t>人员经费493.73万元，包括：基本工资、津贴补贴、奖金、伙食补助费、机关事业单位基本养老保险缴费、职业年金缴费、公务员医疗补助缴费、其他社会保障缴费、住房公积金、其他工资福利支出、退休费、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公用经费22.80万元，包括：办公费、印刷费、手续费、邮电费、取暖费、差旅费、公务用车运行维护费、其他交通费用、其他商品和服务支出。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5.46万元，比上年增加1.86万元，增长51.67%，主要原因是：机构改革从林草局划转1辆车、相应划转到我单位公车运行维护费18605元。其中，因公出国（境）费支出0万元，占0%，比上年增加0万元，增长0%，主要原因是：与上年相比无变动，与上年一致；公务用车购置及运行维护费支出5.46万元，占100%，比上年增加1.86万元，增长51.67%，主要原因是：机构改革从林草局划转1辆车、相应划转到我单位公车运行维护费18605元；公务接待费支出0万元，占0%，比上年增加0万元，增长0%，主要原因是：与上年相比无变动，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hint="eastAsia" w:ascii="仿宋_GB2312" w:hAnsi="仿宋_GB2312" w:eastAsia="仿宋_GB2312" w:cs="仿宋_GB2312"/>
          <w:sz w:val="32"/>
          <w:szCs w:val="32"/>
        </w:rPr>
        <w:t>预算未安排，无此项支出</w:t>
      </w:r>
      <w:r>
        <w:rPr>
          <w:rFonts w:ascii="仿宋_GB2312" w:eastAsia="仿宋_GB2312"/>
          <w:color w:val="000000" w:themeColor="text1"/>
          <w:sz w:val="32"/>
          <w:szCs w:val="32"/>
          <w14:textFill>
            <w14:solidFill>
              <w14:schemeClr w14:val="tx1"/>
            </w14:solidFill>
          </w14:textFill>
        </w:rPr>
        <w:t>。</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5.46万元，其中，公务用车购置费0万元，公务用车运行维护费5.46万元。公务用车运行维护费开支内容包括汽车油料、维修维护费，过路费，车辆保险等。公务用车购置数0辆，公务用车保有量3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w:t>
      </w:r>
      <w:r>
        <w:rPr>
          <w:rFonts w:hint="eastAsia" w:ascii="仿宋_GB2312" w:hAnsi="仿宋_GB2312" w:eastAsia="仿宋_GB2312" w:cs="仿宋_GB2312"/>
          <w:sz w:val="32"/>
          <w:szCs w:val="32"/>
        </w:rPr>
        <w:t>预算未安排，无此项支出</w:t>
      </w:r>
      <w:r>
        <w:rPr>
          <w:rFonts w:hint="eastAsia" w:ascii="仿宋_GB2312" w:eastAsia="仿宋_GB2312"/>
          <w:sz w:val="32"/>
          <w:szCs w:val="32"/>
        </w:rPr>
        <w:t>。单位全年安排的国内公务接待0批次，0人次。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7.56</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5.46</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，预决算差异率-27.78%，主要原因是：年初预算做的4辆车，年末决算为3辆车</w:t>
      </w:r>
      <w:r>
        <w:rPr>
          <w:rFonts w:hint="eastAsia" w:ascii="仿宋_GB2312" w:eastAsia="仿宋_GB2312"/>
          <w:color w:val="000000" w:themeColor="text1"/>
          <w:sz w:val="32"/>
          <w:szCs w:val="32"/>
          <w14:textFill>
            <w14:solidFill>
              <w14:schemeClr w14:val="tx1"/>
            </w14:solidFill>
          </w14:textFill>
        </w:rPr>
        <w:t>，年末财政局收回了未使用的一辆公车运行维护费指标</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hAnsi="仿宋_GB2312" w:eastAsia="仿宋_GB2312" w:cs="仿宋_GB2312"/>
          <w:sz w:val="32"/>
          <w:szCs w:val="32"/>
        </w:rPr>
        <w:t>预算未安排，无此项支出</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hAnsi="仿宋_GB2312" w:eastAsia="仿宋_GB2312" w:cs="仿宋_GB2312"/>
          <w:sz w:val="32"/>
          <w:szCs w:val="32"/>
        </w:rPr>
        <w:t>预算未安排，无此项支出</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7.56</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5.46</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，预决算差异率-27.78%，主要原因是：压缩开支，节省公务用车运行维护费；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w:t>
      </w:r>
      <w:r>
        <w:rPr>
          <w:rFonts w:hint="eastAsia" w:ascii="仿宋_GB2312" w:hAnsi="仿宋_GB2312" w:eastAsia="仿宋_GB2312" w:cs="仿宋_GB2312"/>
          <w:sz w:val="32"/>
          <w:szCs w:val="32"/>
        </w:rPr>
        <w:t>预算未安排，无此项支出</w:t>
      </w:r>
      <w:r>
        <w:rPr>
          <w:rFonts w:ascii="仿宋_GB2312" w:eastAsia="仿宋_GB2312"/>
          <w:color w:val="000000" w:themeColor="text1"/>
          <w:sz w:val="32"/>
          <w:szCs w:val="32"/>
          <w14:textFill>
            <w14:solidFill>
              <w14:schemeClr w14:val="tx1"/>
            </w14:solidFill>
          </w14:textFill>
        </w:rPr>
        <w:t>。</w:t>
      </w:r>
    </w:p>
    <w:p>
      <w:pPr>
        <w:ind w:firstLine="640" w:firstLineChars="200"/>
        <w:outlineLvl w:val="1"/>
        <w:rPr>
          <w:rFonts w:ascii="黑体" w:hAnsi="黑体" w:eastAsia="黑体" w:cs="宋体"/>
          <w:bCs/>
          <w:kern w:val="0"/>
          <w:sz w:val="32"/>
          <w:szCs w:val="32"/>
        </w:rPr>
      </w:pPr>
      <w:bookmarkStart w:id="22" w:name="_Toc7927"/>
      <w:bookmarkStart w:id="23" w:name="_Toc5810"/>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2019年度新疆喀什地区应急管理局机关运行经费支出22.80万元，比上年增加10.55万元，增长86.12%，主要原因是机构改革，</w:t>
      </w:r>
      <w:r>
        <w:rPr>
          <w:rFonts w:hint="eastAsia" w:ascii="仿宋_GB2312" w:hAnsi="仿宋" w:eastAsia="仿宋_GB2312" w:cs="仿宋"/>
          <w:sz w:val="32"/>
          <w:szCs w:val="32"/>
        </w:rPr>
        <w:t>从其他单位转隶到我单位6人，</w:t>
      </w:r>
      <w:r>
        <w:rPr>
          <w:rFonts w:hint="eastAsia" w:ascii="仿宋_GB2312" w:eastAsia="仿宋_GB2312"/>
          <w:color w:val="000000" w:themeColor="text1"/>
          <w:sz w:val="32"/>
          <w:szCs w:val="32"/>
          <w14:textFill>
            <w14:solidFill>
              <w14:schemeClr w14:val="tx1"/>
            </w14:solidFill>
          </w14:textFill>
        </w:rPr>
        <w:t>公用经费及工资福利支出增加。</w:t>
      </w:r>
    </w:p>
    <w:p>
      <w:pPr>
        <w:ind w:firstLine="640" w:firstLineChars="200"/>
        <w:outlineLvl w:val="2"/>
        <w:rPr>
          <w:rFonts w:ascii="黑体" w:hAnsi="黑体" w:eastAsia="黑体"/>
          <w:sz w:val="32"/>
          <w:szCs w:val="32"/>
        </w:rPr>
      </w:pPr>
      <w:bookmarkStart w:id="28" w:name="_Toc227"/>
      <w:bookmarkStart w:id="29" w:name="_Toc26704"/>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年度政府采购支出总额24.99万元，其中：政府采购货物支出18.99万元、政府采购工程支出5万元、政府采购服务支出1万元。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授予中小企业合同金额23.99万元，占政府采购支出总额的96%，其中：授予小微企业合同金额18.99万元，占政府采购支出总额的75.99%。</w:t>
      </w:r>
    </w:p>
    <w:p>
      <w:pPr>
        <w:ind w:firstLine="640" w:firstLineChars="200"/>
        <w:outlineLvl w:val="2"/>
        <w:rPr>
          <w:rFonts w:ascii="黑体" w:hAnsi="黑体" w:eastAsia="黑体"/>
          <w:sz w:val="32"/>
          <w:szCs w:val="32"/>
        </w:rPr>
      </w:pPr>
      <w:bookmarkStart w:id="30" w:name="_Toc4591"/>
      <w:bookmarkStart w:id="31" w:name="_Toc83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年12月31日，单位共有房屋0（平方米），价值0万元。车辆3辆，价值86.65万元，其中：副部（省）级及以上领导用车0辆、主要领导干部用车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3</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安全督查检查、自然灾害救灾，保障机关正常运转；</w:t>
      </w:r>
      <w:r>
        <w:rPr>
          <w:rFonts w:hint="eastAsia" w:ascii="仿宋_GB2312" w:eastAsia="仿宋_GB2312"/>
          <w:sz w:val="32"/>
          <w:szCs w:val="32"/>
        </w:rPr>
        <w:t>单位价值50万元以上通用设备1台（套）、单位价值100万元以上专用设备0台（套）。</w:t>
      </w:r>
    </w:p>
    <w:p>
      <w:pPr>
        <w:ind w:firstLine="640" w:firstLineChars="200"/>
        <w:outlineLvl w:val="1"/>
        <w:rPr>
          <w:rFonts w:ascii="黑体" w:hAnsi="黑体" w:eastAsia="黑体" w:cs="宋体"/>
          <w:bCs/>
          <w:kern w:val="0"/>
          <w:sz w:val="32"/>
          <w:szCs w:val="32"/>
        </w:rPr>
      </w:pPr>
      <w:bookmarkStart w:id="32" w:name="_Toc435"/>
      <w:bookmarkStart w:id="33" w:name="_Toc11283"/>
      <w:r>
        <w:rPr>
          <w:rFonts w:hint="eastAsia" w:ascii="黑体" w:hAnsi="黑体" w:eastAsia="黑体" w:cs="宋体"/>
          <w:bCs/>
          <w:kern w:val="0"/>
          <w:sz w:val="32"/>
          <w:szCs w:val="32"/>
        </w:rPr>
        <w:t>十、预算绩效的情况说明</w:t>
      </w:r>
      <w:bookmarkEnd w:id="32"/>
      <w:bookmarkEnd w:id="33"/>
    </w:p>
    <w:p>
      <w:pPr>
        <w:ind w:firstLine="640" w:firstLineChars="200"/>
        <w:jc w:val="left"/>
        <w:outlineLvl w:val="0"/>
        <w:rPr>
          <w:rFonts w:ascii="仿宋_GB2312" w:eastAsia="仿宋_GB2312"/>
          <w:sz w:val="32"/>
          <w:szCs w:val="32"/>
        </w:rPr>
      </w:pPr>
      <w:bookmarkStart w:id="34" w:name="_Toc24143"/>
      <w:bookmarkStart w:id="35" w:name="_Toc3250"/>
      <w:r>
        <w:rPr>
          <w:rFonts w:hint="eastAsia" w:ascii="仿宋_GB2312" w:eastAsia="仿宋_GB2312"/>
          <w:sz w:val="32"/>
          <w:szCs w:val="32"/>
        </w:rPr>
        <w:t>根据预算绩效管理要求，我单位2019年度开展预算绩效评价项目8个，共涉及资金101.53万元。预算绩效管理取得的成效：一是门年度任务在预算资金额度内完成，并通过规范的招投标及严格的资金管理及项目管理及其他创新的管理措施实现了资金的节约。三公经费在预算范围内开支，开支范围较上年的变化，有节约；二是各项工作计划按预期计划按时完成，效益按预期时间产生；三是预期的经济效益、社会效益、可持续的影响产生，相关人员的满意度持续提高。发现的问题及原因：部门整体安排较好，实现了预期目标。通过预算绩效管理，发现了工作中存在的不足，由于项目资金有限，部分群众可能无法覆盖，在2020年的工作中有待进一步加强。下一步改进措施：年初做好资金计划，按照项目进度及时拨付资金，使资金使用效益最大化，减少不必要的浪费，节约成本。具体项目自评情况附项目支出绩效自评表。</w:t>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30364"/>
      <w:bookmarkStart w:id="41" w:name="_Toc24532"/>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29106"/>
      <w:bookmarkStart w:id="51" w:name="_Toc32663"/>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ffectLst/>
                    </wps:spPr>
                    <wps:txbx>
                      <w:txbxContent>
                        <w:p>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M6pebnPAAAA&#10;BQEAAA8AAAAAAAAAAQAgAAAAIgAAAGRycy9kb3ducmV2LnhtbFBLAQIUABQAAAAIAIdO4kDGMM0G&#10;7QEAAMQDAAAOAAAAAAAAAAEAIAAAAB4BAABkcnMvZTJvRG9jLnhtbFBLBQYAAAAABgAGAFkBAAB9&#10;BQAAAAA=&#10;">
              <v:path/>
              <v:fill on="f" focussize="0,0"/>
              <v:stroke on="f" joinstyle="miter"/>
              <v:imagedata o:title=""/>
              <o:lock v:ext="edit"/>
              <v:textbox inset="0mm,0mm,0mm,0mm" style="mso-fit-shape-to-text:t;">
                <w:txbxContent>
                  <w:p>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7618B3"/>
    <w:rsid w:val="52761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Layout w:type="fixed"/>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footer"/>
    <w:basedOn w:val="1"/>
    <w:qFormat/>
    <w:uiPriority w:val="0"/>
    <w:pPr>
      <w:tabs>
        <w:tab w:val="center" w:pos="4153"/>
        <w:tab w:val="right" w:pos="8306"/>
      </w:tabs>
      <w:snapToGrid w:val="0"/>
      <w:jc w:val="left"/>
    </w:pPr>
    <w:rPr>
      <w:sz w:val="18"/>
    </w:rPr>
  </w:style>
  <w:style w:type="paragraph" w:styleId="4">
    <w:name w:val="toc 1"/>
    <w:basedOn w:val="1"/>
    <w:next w:val="1"/>
    <w:qFormat/>
    <w:uiPriority w:val="0"/>
  </w:style>
  <w:style w:type="paragraph" w:styleId="5">
    <w:name w:val="toc 2"/>
    <w:basedOn w:val="1"/>
    <w:next w:val="1"/>
    <w:qFormat/>
    <w:uiPriority w:val="0"/>
    <w:pPr>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2023-11-08T11:14:00Z</dcterms:created>
  <dc:creator>Administrator</dc:creator>
  <cp:lastModifiedBy>Administrator</cp:lastModifiedBy>
  <dcterms:modified xsi:type="dcterms:W3CDTF">2023-11-08T11:14:47Z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