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项目名称：访汇聚工作经费项目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实施单位（公章）：中共喀什地委党校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项目负责人（签章）：胡本新</w:t>
      </w:r>
    </w:p>
    <w:p>
      <w:pPr>
        <w:spacing w:line="700" w:lineRule="exact"/>
        <w:ind w:firstLine="849" w:firstLineChars="236"/>
        <w:jc w:val="left"/>
        <w:rPr>
          <w:rFonts w:hint="eastAsia" w:ascii="黑体" w:hAnsi="黑体" w:eastAsia="仿宋_GB2312" w:cs="宋体"/>
          <w:b/>
          <w:kern w:val="0"/>
          <w:sz w:val="36"/>
          <w:szCs w:val="36"/>
          <w:highlight w:val="none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highlight w:val="none"/>
        </w:rPr>
        <w:t>2018 年 12 月15日</w:t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936" w:firstLineChars="3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楷体" w:eastAsia="楷体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112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人，实有人数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82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人，其中参照公务员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16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人，事业人员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66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人，公务用车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40" w:lineRule="exact"/>
        <w:ind w:firstLine="640" w:firstLineChars="200"/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1.预期目标：2支，每人购买生活用品标准500元/人，每队工作经费1.5万元，每支为群众解决困难问题≥30件，工作成效影响时间≥1年，困难群众满意度为≥95%，员满意度≥98%。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777" w:firstLineChars="243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解决党校工作对经费和为民办实事经费问题,保障工作办公经费和为群众解决实际困难问题。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查旅费项目预算安排总额为3.4万元，其中财政资金3.4万元，自筹资金0万元，2018年实际收到预算资金2.94万元。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本项目实际支付资金3.4万元，预算执行率86.5%，结余资金0.46万元（此资金在财政局账户）。项目资金主要用于支付访汇聚办公经费0.94万元，为民办实事工作经费2万元。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支出符合中共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项目的实施过程中严格遵守相关法律法规和业务管理规定，项目资料齐全并及时归档。不定期对项目进度情况进行督导检查，对检查过程中发现的问题及时督促整改，确保了项目按时保质完成。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highlight w:val="none"/>
          <w:lang w:eastAsia="zh-CN"/>
        </w:rPr>
      </w:pP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2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  <w:lang w:val="en-US" w:eastAsia="zh-CN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13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12</w:t>
      </w:r>
      <w:r>
        <w:rPr>
          <w:rFonts w:ascii="仿宋" w:hAnsi="仿宋" w:eastAsia="仿宋"/>
          <w:bCs/>
          <w:spacing w:val="-4"/>
          <w:sz w:val="32"/>
          <w:szCs w:val="32"/>
          <w:highlight w:val="none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，指标完成率为92%</w:t>
      </w: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经济性：此项目提高了访汇聚的工作效率。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效率性：此项目在实施过程中按照原定目标有序实施，完成质量高。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效益性：此项目为每支为群众解决困难问题45件。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hint="eastAsia" w:ascii="楷体" w:eastAsia="楷体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  <w:highlight w:val="none"/>
          <w:lang w:val="en-US" w:eastAsia="zh-CN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此项目为一次性项目，无后续工作计划。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1.主要经验及做法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此项目按照规定程序进行报销，做到报销及时。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2.存在问题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此项目在推进过程中，不存在问题。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3.建议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此项目无建议。</w:t>
      </w:r>
    </w:p>
    <w:p>
      <w:pPr>
        <w:adjustRightInd w:val="0"/>
        <w:snapToGrid w:val="0"/>
        <w:spacing w:line="560" w:lineRule="exact"/>
        <w:ind w:firstLine="307" w:firstLineChars="98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本项目通过文件研读、实地调研、数据分析等方式，全面了解访汇聚工作经费项目资金的使用效率和效果，项目管理过程规范，完成了预期绩效目标等。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rPr>
        <w:rFonts w:hint="eastAsia"/>
      </w:rPr>
      <w:t>1</w:t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A2366"/>
    <w:rsid w:val="00106B2D"/>
    <w:rsid w:val="0012208E"/>
    <w:rsid w:val="00135256"/>
    <w:rsid w:val="001A4E1F"/>
    <w:rsid w:val="001A57B9"/>
    <w:rsid w:val="001C3847"/>
    <w:rsid w:val="001F3031"/>
    <w:rsid w:val="00210A26"/>
    <w:rsid w:val="00246C72"/>
    <w:rsid w:val="002A2532"/>
    <w:rsid w:val="002B0C68"/>
    <w:rsid w:val="00365250"/>
    <w:rsid w:val="0036624C"/>
    <w:rsid w:val="00385849"/>
    <w:rsid w:val="00410D0B"/>
    <w:rsid w:val="004347D8"/>
    <w:rsid w:val="004D3D91"/>
    <w:rsid w:val="0050167F"/>
    <w:rsid w:val="00514506"/>
    <w:rsid w:val="005162F1"/>
    <w:rsid w:val="00535153"/>
    <w:rsid w:val="005400DE"/>
    <w:rsid w:val="005750B2"/>
    <w:rsid w:val="00575CFE"/>
    <w:rsid w:val="00592D09"/>
    <w:rsid w:val="0062500F"/>
    <w:rsid w:val="00653652"/>
    <w:rsid w:val="00675D58"/>
    <w:rsid w:val="006C3382"/>
    <w:rsid w:val="006F2E6D"/>
    <w:rsid w:val="007218B8"/>
    <w:rsid w:val="00741E93"/>
    <w:rsid w:val="00780473"/>
    <w:rsid w:val="00785FDE"/>
    <w:rsid w:val="007A0351"/>
    <w:rsid w:val="007A14BC"/>
    <w:rsid w:val="007B3ED0"/>
    <w:rsid w:val="007C1025"/>
    <w:rsid w:val="007E6845"/>
    <w:rsid w:val="007F5F8A"/>
    <w:rsid w:val="00826CA1"/>
    <w:rsid w:val="00835B7F"/>
    <w:rsid w:val="00852332"/>
    <w:rsid w:val="00855E3A"/>
    <w:rsid w:val="008B4805"/>
    <w:rsid w:val="008F61A9"/>
    <w:rsid w:val="00922CB9"/>
    <w:rsid w:val="009A0709"/>
    <w:rsid w:val="009B526F"/>
    <w:rsid w:val="009C1AFD"/>
    <w:rsid w:val="00A26421"/>
    <w:rsid w:val="00A4293B"/>
    <w:rsid w:val="00A65F8C"/>
    <w:rsid w:val="00A83BD5"/>
    <w:rsid w:val="00B06CA5"/>
    <w:rsid w:val="00B16A44"/>
    <w:rsid w:val="00B41F61"/>
    <w:rsid w:val="00B55332"/>
    <w:rsid w:val="00B64844"/>
    <w:rsid w:val="00B86E8C"/>
    <w:rsid w:val="00BE1A00"/>
    <w:rsid w:val="00C22CF0"/>
    <w:rsid w:val="00C26122"/>
    <w:rsid w:val="00C459C6"/>
    <w:rsid w:val="00C56806"/>
    <w:rsid w:val="00C56C72"/>
    <w:rsid w:val="00CA6457"/>
    <w:rsid w:val="00CC6E4D"/>
    <w:rsid w:val="00D17F2E"/>
    <w:rsid w:val="00D26931"/>
    <w:rsid w:val="00D46194"/>
    <w:rsid w:val="00E01293"/>
    <w:rsid w:val="00E1146E"/>
    <w:rsid w:val="00E73CD9"/>
    <w:rsid w:val="00E769FE"/>
    <w:rsid w:val="00EA2CBE"/>
    <w:rsid w:val="00F32FEE"/>
    <w:rsid w:val="026C3E03"/>
    <w:rsid w:val="04434D92"/>
    <w:rsid w:val="050C30DB"/>
    <w:rsid w:val="06C33E77"/>
    <w:rsid w:val="08E06D5A"/>
    <w:rsid w:val="09F835DD"/>
    <w:rsid w:val="0F7A6BFD"/>
    <w:rsid w:val="11E44D6D"/>
    <w:rsid w:val="135B3B62"/>
    <w:rsid w:val="175E3620"/>
    <w:rsid w:val="19006E97"/>
    <w:rsid w:val="1EA20111"/>
    <w:rsid w:val="20336939"/>
    <w:rsid w:val="23970EA0"/>
    <w:rsid w:val="265E7784"/>
    <w:rsid w:val="268071D8"/>
    <w:rsid w:val="2B6F13D0"/>
    <w:rsid w:val="2CB25A14"/>
    <w:rsid w:val="2F5616A3"/>
    <w:rsid w:val="309D4BA5"/>
    <w:rsid w:val="313D47FD"/>
    <w:rsid w:val="393B2EF4"/>
    <w:rsid w:val="3CF615D3"/>
    <w:rsid w:val="3E442CD8"/>
    <w:rsid w:val="41757A5E"/>
    <w:rsid w:val="427A71A3"/>
    <w:rsid w:val="44B26452"/>
    <w:rsid w:val="44EC013A"/>
    <w:rsid w:val="48B43946"/>
    <w:rsid w:val="581D77D3"/>
    <w:rsid w:val="5A360FC0"/>
    <w:rsid w:val="5A5478E3"/>
    <w:rsid w:val="5B2456D1"/>
    <w:rsid w:val="5DD14F73"/>
    <w:rsid w:val="638A66BC"/>
    <w:rsid w:val="656B41FC"/>
    <w:rsid w:val="676774B3"/>
    <w:rsid w:val="6A7B15E1"/>
    <w:rsid w:val="6AA77255"/>
    <w:rsid w:val="6B283C9F"/>
    <w:rsid w:val="6B2F3C32"/>
    <w:rsid w:val="6CC40C68"/>
    <w:rsid w:val="6E1F37AB"/>
    <w:rsid w:val="6E562732"/>
    <w:rsid w:val="76473B2F"/>
    <w:rsid w:val="77613B92"/>
    <w:rsid w:val="7778254D"/>
    <w:rsid w:val="77CC70E7"/>
    <w:rsid w:val="78D82D60"/>
    <w:rsid w:val="7DD42BB7"/>
    <w:rsid w:val="7DF34B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4BDC9E-4D1A-4953-9943-3D978F890C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214</Words>
  <Characters>1220</Characters>
  <Lines>10</Lines>
  <Paragraphs>2</Paragraphs>
  <TotalTime>4</TotalTime>
  <ScaleCrop>false</ScaleCrop>
  <LinksUpToDate>false</LinksUpToDate>
  <CharactersWithSpaces>1432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2019-10-10T04:38:00Z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