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>（   2018年度）</w:t>
      </w: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>
      <w:pPr>
        <w:spacing w:line="700" w:lineRule="exact"/>
        <w:ind w:left="1080" w:hanging="1080" w:hangingChars="3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 xml:space="preserve">      项目名称：第六次对口援疆工作会议期间相关经费</w:t>
      </w:r>
      <w:r>
        <w:rPr>
          <w:rFonts w:eastAsia="仿宋_GB2312" w:cs="宋体"/>
          <w:kern w:val="0"/>
          <w:sz w:val="36"/>
          <w:szCs w:val="36"/>
        </w:rPr>
        <w:t>项目</w:t>
      </w:r>
    </w:p>
    <w:p>
      <w:pPr>
        <w:spacing w:line="700" w:lineRule="exact"/>
        <w:ind w:left="900" w:hanging="900" w:hangingChars="25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 xml:space="preserve">      实施单位（公章）：中共喀什地委党校</w:t>
      </w:r>
    </w:p>
    <w:p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 xml:space="preserve">      自治区主管部门（公章）：</w:t>
      </w:r>
    </w:p>
    <w:p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 xml:space="preserve">      项目负责人（签章）：胡本新</w:t>
      </w:r>
    </w:p>
    <w:p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hint="eastAsia" w:eastAsia="仿宋_GB2312" w:cs="宋体"/>
          <w:kern w:val="0"/>
          <w:sz w:val="36"/>
          <w:szCs w:val="36"/>
        </w:rPr>
        <w:t xml:space="preserve">      填报时间：  2018年</w:t>
      </w:r>
      <w:r>
        <w:rPr>
          <w:rFonts w:hint="eastAsia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eastAsia="仿宋_GB2312" w:cs="宋体"/>
          <w:kern w:val="0"/>
          <w:sz w:val="36"/>
          <w:szCs w:val="36"/>
        </w:rPr>
        <w:t>月</w:t>
      </w:r>
      <w:r>
        <w:rPr>
          <w:rFonts w:hint="eastAsia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Style w:val="17"/>
          <w:rFonts w:ascii="楷体" w:eastAsia="楷体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  <w:t>112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人，实有人数</w:t>
      </w:r>
      <w:r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  <w:t>82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人，其中参照公务员</w:t>
      </w:r>
      <w:r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  <w:t>16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人，事业人员</w:t>
      </w:r>
      <w:r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  <w:t>66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人，公务用车</w:t>
      </w:r>
      <w:r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  <w:t>2</w:t>
      </w: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解决教职员工及参会人员经费问题，满足培训需求;参会人数800人; 房间数量126间;教师数量8间;伙食达标率大于等于95;及时报销有关经费;伙食费标准每人每天60元;8.培训费标准每人300元 住宿费标准每人每天12元;受益人数400人;有利于改善喀什干部队伍结构。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本项目主要用于支付会议期间会议费、伙食费等费用。范围：参会人员。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第六次对口援疆工作会议期间相关工作经费及伙食费项目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预算安排总额为45.3万元，其中财政资金45.3万元，自筹资金0万元，2018年实际收到预算资金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45.3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本项目实际支付资金45.3万元，预算执行率100%，项目结余资金额度0万元。项目主要用于支付伙食费42万元，住宿费3.3万元，培训费0万元。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该项目经费属于项目日常支出经费,无需招标,由本单位自行组织实施。实施过程均按照本单位制定的管理制度执行。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为保证项目质量和成本控制，项目实施完成后，由本项目相关人员于2018年12月20日完成检查验收，检查验收合格后按合同规定支付款项。</w:t>
      </w:r>
    </w:p>
    <w:p>
      <w:pPr>
        <w:spacing w:line="560" w:lineRule="exact"/>
        <w:ind w:firstLine="627" w:firstLineChars="200"/>
        <w:rPr>
          <w:rStyle w:val="17"/>
          <w:rFonts w:ascii="楷体" w:eastAsia="楷体"/>
          <w:spacing w:val="-4"/>
          <w:sz w:val="32"/>
          <w:szCs w:val="32"/>
        </w:rPr>
      </w:pPr>
      <w:r>
        <w:rPr>
          <w:rStyle w:val="17"/>
          <w:rFonts w:hint="eastAsia" w:asci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喀什地委党校建立了《财务制度》保障项目的顺利实施。项目的实施遵守相关法律法规和业务管理规定，项目资料齐全并及时归档。已建立《日常检查监督检查机制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7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Fonts w:hint="eastAsia" w:asci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，指标完成率为92%。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经济性：为参会人员提供优质的食品等，保障会议有序有进行。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效率性：参会项目度实施有序，完成质量优。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效益性：为喀什地区社会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和长治久安的总目标打下坚实的基础。</w:t>
      </w:r>
    </w:p>
    <w:p>
      <w:pPr>
        <w:spacing w:line="560" w:lineRule="exact"/>
        <w:ind w:firstLine="627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Fonts w:hint="eastAsia" w:asci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24" w:firstLineChars="200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  <w:highlight w:val="none"/>
          <w:lang w:val="en-US" w:eastAsia="zh-CN"/>
        </w:rPr>
        <w:t>2018年本项目绩效目标全部达成，不存在未完成原因分析。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7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Fonts w:hint="eastAsia" w:asci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pacing w:val="-4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此项目属于一次性项目，没有后续工作安排。</w:t>
      </w:r>
    </w:p>
    <w:p>
      <w:pPr>
        <w:spacing w:line="560" w:lineRule="exact"/>
        <w:ind w:firstLine="627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Fonts w:hint="eastAsia" w:asci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1.主要经验及做法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该项目属于日常公用经费项目，严格按照相关程序进行支付。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2.存在问题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该项目不存在问题。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3.建议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该项目没有建议。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Fonts w:ascii="楷体" w:eastAsia="楷体"/>
          <w:b/>
          <w:spacing w:val="-4"/>
          <w:sz w:val="32"/>
          <w:szCs w:val="32"/>
        </w:rPr>
      </w:pPr>
      <w:r>
        <w:rPr>
          <w:rFonts w:hint="eastAsia" w:ascii="楷体" w:eastAsia="楷体"/>
          <w:b/>
          <w:spacing w:val="-4"/>
          <w:sz w:val="32"/>
          <w:szCs w:val="32"/>
        </w:rPr>
        <w:t>其他</w:t>
      </w:r>
    </w:p>
    <w:p>
      <w:pPr>
        <w:spacing w:line="560" w:lineRule="exact"/>
        <w:ind w:firstLine="624" w:firstLineChars="200"/>
        <w:rPr>
          <w:rFonts w:ascii="仿宋" w:hAnsi="仿宋" w:eastAsia="仿宋" w:cs="楷体_GB2312"/>
          <w:bCs/>
          <w:spacing w:val="-4"/>
          <w:sz w:val="32"/>
          <w:szCs w:val="32"/>
        </w:rPr>
      </w:pPr>
      <w:r>
        <w:rPr>
          <w:rFonts w:hint="eastAsia" w:ascii="仿宋" w:hAnsi="仿宋" w:eastAsia="仿宋" w:cs="楷体_GB2312"/>
          <w:bCs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_GB2312" w:eastAsia="仿宋_GB2312"/>
          <w:b w:val="0"/>
          <w:spacing w:val="-4"/>
          <w:sz w:val="32"/>
          <w:szCs w:val="32"/>
        </w:rPr>
        <w:t>本次评价</w:t>
      </w:r>
      <w:r>
        <w:rPr>
          <w:rFonts w:hint="eastAsia" w:ascii="仿宋_GB2312" w:eastAsia="仿宋_GB2312"/>
          <w:spacing w:val="-4"/>
          <w:sz w:val="32"/>
          <w:szCs w:val="32"/>
        </w:rPr>
        <w:t>通过文件研读、实地调研、数据分析等方式，</w:t>
      </w:r>
      <w:r>
        <w:rPr>
          <w:rStyle w:val="17"/>
          <w:rFonts w:hint="eastAsia" w:ascii="仿宋_GB2312" w:eastAsia="仿宋_GB2312"/>
          <w:b w:val="0"/>
          <w:spacing w:val="-4"/>
          <w:sz w:val="32"/>
          <w:szCs w:val="32"/>
        </w:rPr>
        <w:t>全面了解</w:t>
      </w:r>
      <w:r>
        <w:rPr>
          <w:rFonts w:hint="eastAsia" w:ascii="仿宋" w:hAnsi="仿宋" w:eastAsia="仿宋" w:cs="宋体"/>
          <w:kern w:val="0"/>
          <w:sz w:val="32"/>
          <w:szCs w:val="32"/>
        </w:rPr>
        <w:t>第六次对口支援新疆工作会议期间相关工作经费项目</w:t>
      </w:r>
      <w:r>
        <w:rPr>
          <w:rStyle w:val="17"/>
          <w:rFonts w:hint="eastAsia" w:ascii="仿宋_GB2312" w:eastAsia="仿宋_GB2312"/>
          <w:b w:val="0"/>
          <w:spacing w:val="-4"/>
          <w:sz w:val="32"/>
          <w:szCs w:val="32"/>
        </w:rPr>
        <w:t>资金的使用效率和效果，项目管理过程规范，完成了预期绩效目标等。同时，通过开展自评价来总结经验和教训，为该项目今后的开展，提供可行性参考建议。</w:t>
      </w:r>
    </w:p>
    <w:p>
      <w:pPr>
        <w:spacing w:line="560" w:lineRule="exact"/>
        <w:ind w:firstLine="624" w:firstLineChars="200"/>
        <w:rPr>
          <w:rStyle w:val="17"/>
          <w:rFonts w:asci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24" w:firstLineChars="200"/>
        <w:rPr>
          <w:rStyle w:val="17"/>
          <w:rFonts w:asci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AC9CF"/>
    <w:multiLevelType w:val="singleLevel"/>
    <w:tmpl w:val="AA6AC9CF"/>
    <w:lvl w:ilvl="0" w:tentative="0">
      <w:start w:val="3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2"/>
  </w:compat>
  <w:rsids>
    <w:rsidRoot w:val="00915FD4"/>
    <w:rsid w:val="0003055D"/>
    <w:rsid w:val="0006485D"/>
    <w:rsid w:val="000764CC"/>
    <w:rsid w:val="000B0450"/>
    <w:rsid w:val="000D2647"/>
    <w:rsid w:val="000F6E16"/>
    <w:rsid w:val="002200FF"/>
    <w:rsid w:val="0026433B"/>
    <w:rsid w:val="00364EF0"/>
    <w:rsid w:val="003B0AB3"/>
    <w:rsid w:val="004D058D"/>
    <w:rsid w:val="00517DB8"/>
    <w:rsid w:val="00537DA3"/>
    <w:rsid w:val="005E5967"/>
    <w:rsid w:val="00624168"/>
    <w:rsid w:val="006431C1"/>
    <w:rsid w:val="006F4E9B"/>
    <w:rsid w:val="00703933"/>
    <w:rsid w:val="0071237A"/>
    <w:rsid w:val="00733D33"/>
    <w:rsid w:val="00774D25"/>
    <w:rsid w:val="0082635D"/>
    <w:rsid w:val="00915FD4"/>
    <w:rsid w:val="00980035"/>
    <w:rsid w:val="009A693F"/>
    <w:rsid w:val="009C50AB"/>
    <w:rsid w:val="00A115FE"/>
    <w:rsid w:val="00BB29CD"/>
    <w:rsid w:val="00C174F9"/>
    <w:rsid w:val="00C70E4F"/>
    <w:rsid w:val="00CA0739"/>
    <w:rsid w:val="00D563D7"/>
    <w:rsid w:val="00DA70B2"/>
    <w:rsid w:val="00DB2849"/>
    <w:rsid w:val="00DB505A"/>
    <w:rsid w:val="00E441B9"/>
    <w:rsid w:val="00F17BBD"/>
    <w:rsid w:val="0E6A1EB4"/>
    <w:rsid w:val="12B94C44"/>
    <w:rsid w:val="1EDC39F6"/>
    <w:rsid w:val="1EFA4F83"/>
    <w:rsid w:val="24A90AF7"/>
    <w:rsid w:val="265C3EBC"/>
    <w:rsid w:val="2A5A568F"/>
    <w:rsid w:val="2BA4616A"/>
    <w:rsid w:val="3A1B52C9"/>
    <w:rsid w:val="3EAF3C70"/>
    <w:rsid w:val="3FDA6CC3"/>
    <w:rsid w:val="4648152F"/>
    <w:rsid w:val="46692040"/>
    <w:rsid w:val="4F933949"/>
    <w:rsid w:val="5E006FD8"/>
    <w:rsid w:val="5E077936"/>
    <w:rsid w:val="6BD205AB"/>
    <w:rsid w:val="71C502AB"/>
    <w:rsid w:val="7843387F"/>
    <w:rsid w:val="78711E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qFormat/>
    <w:uiPriority w:val="0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qFormat/>
    <w:uiPriority w:val="0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qFormat/>
    <w:uiPriority w:val="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qFormat/>
    <w:uiPriority w:val="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qFormat/>
    <w:uiPriority w:val="0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qFormat/>
    <w:uiPriority w:val="0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4">
    <w:name w:val="Title"/>
    <w:basedOn w:val="1"/>
    <w:next w:val="1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0"/>
    <w:rPr>
      <w:rFonts w:ascii="Calibri" w:hAnsi="Calibri"/>
      <w:b/>
      <w:i/>
      <w:iCs/>
    </w:rPr>
  </w:style>
  <w:style w:type="paragraph" w:customStyle="1" w:styleId="19">
    <w:name w:val="无间隔1"/>
    <w:basedOn w:val="1"/>
    <w:qFormat/>
    <w:uiPriority w:val="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20">
    <w:name w:val="列出段落1"/>
    <w:basedOn w:val="1"/>
    <w:qFormat/>
    <w:uiPriority w:val="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21">
    <w:name w:val="引用1"/>
    <w:basedOn w:val="1"/>
    <w:next w:val="1"/>
    <w:qFormat/>
    <w:uiPriority w:val="0"/>
    <w:pPr>
      <w:widowControl/>
      <w:jc w:val="left"/>
    </w:pPr>
    <w:rPr>
      <w:rFonts w:ascii="Calibri" w:hAnsi="Calibri"/>
      <w:i/>
      <w:kern w:val="0"/>
      <w:sz w:val="24"/>
    </w:rPr>
  </w:style>
  <w:style w:type="paragraph" w:customStyle="1" w:styleId="22">
    <w:name w:val="明显引用1"/>
    <w:basedOn w:val="1"/>
    <w:next w:val="1"/>
    <w:qFormat/>
    <w:uiPriority w:val="0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23">
    <w:name w:val="不明显强调1"/>
    <w:qFormat/>
    <w:uiPriority w:val="0"/>
    <w:rPr>
      <w:i/>
      <w:color w:val="595959"/>
    </w:rPr>
  </w:style>
  <w:style w:type="character" w:customStyle="1" w:styleId="24">
    <w:name w:val="明显强调1"/>
    <w:basedOn w:val="16"/>
    <w:qFormat/>
    <w:uiPriority w:val="0"/>
    <w:rPr>
      <w:b/>
      <w:i/>
      <w:sz w:val="24"/>
      <w:szCs w:val="24"/>
      <w:u w:val="single"/>
    </w:rPr>
  </w:style>
  <w:style w:type="character" w:customStyle="1" w:styleId="25">
    <w:name w:val="不明显参考1"/>
    <w:basedOn w:val="16"/>
    <w:qFormat/>
    <w:uiPriority w:val="0"/>
    <w:rPr>
      <w:sz w:val="24"/>
      <w:szCs w:val="24"/>
      <w:u w:val="single"/>
    </w:rPr>
  </w:style>
  <w:style w:type="character" w:customStyle="1" w:styleId="26">
    <w:name w:val="明显参考1"/>
    <w:basedOn w:val="16"/>
    <w:qFormat/>
    <w:uiPriority w:val="0"/>
    <w:rPr>
      <w:b/>
      <w:sz w:val="24"/>
      <w:u w:val="single"/>
    </w:rPr>
  </w:style>
  <w:style w:type="character" w:customStyle="1" w:styleId="27">
    <w:name w:val="书籍标题1"/>
    <w:basedOn w:val="16"/>
    <w:qFormat/>
    <w:uiPriority w:val="0"/>
    <w:rPr>
      <w:rFonts w:ascii="Cambria" w:hAnsi="Cambria" w:eastAsia="宋体"/>
      <w:b/>
      <w:i/>
      <w:sz w:val="24"/>
      <w:szCs w:val="24"/>
    </w:rPr>
  </w:style>
  <w:style w:type="paragraph" w:customStyle="1" w:styleId="28">
    <w:name w:val="TOC 标题1"/>
    <w:basedOn w:val="2"/>
    <w:next w:val="1"/>
    <w:qFormat/>
    <w:uiPriority w:val="0"/>
    <w:pPr>
      <w:outlineLvl w:val="9"/>
    </w:pPr>
    <w:rPr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B564E5-DA1F-4C40-9DBB-681B669D02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239</Words>
  <Characters>1363</Characters>
  <Lines>11</Lines>
  <Paragraphs>3</Paragraphs>
  <TotalTime>2</TotalTime>
  <ScaleCrop>false</ScaleCrop>
  <LinksUpToDate>false</LinksUpToDate>
  <CharactersWithSpaces>1599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2018-12-25T09:50:00Z</cp:lastPrinted>
  <dcterms:modified xsi:type="dcterms:W3CDTF">2019-10-23T03:35:54Z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