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2018年度新疆维吾尔自治区喀什地区计量检定</w:t>
      </w:r>
      <w:proofErr w:type="gramStart"/>
      <w:r>
        <w:rPr>
          <w:rFonts w:ascii="方正小标宋_GBK" w:eastAsia="方正小标宋_GBK" w:hAnsi="宋体" w:hint="eastAsia"/>
          <w:sz w:val="44"/>
          <w:szCs w:val="44"/>
        </w:rPr>
        <w:t>所</w:t>
      </w:r>
      <w:r w:rsidR="00F703C3">
        <w:rPr>
          <w:rFonts w:ascii="方正小标宋_GBK" w:eastAsia="方正小标宋_GBK" w:hAnsi="宋体" w:hint="eastAsia"/>
          <w:sz w:val="44"/>
          <w:szCs w:val="44"/>
        </w:rPr>
        <w:t>部门</w:t>
      </w:r>
      <w:proofErr w:type="gramEnd"/>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喀什地区计量检定所是归属喀什地区质量技术监督局的计量检定机构，建立和保存喀什地区社会公用计量标准十大类、三十四项，已开展力学、长度、电学、无线电、时间频率、声学、光学、热学、理化、电离辐射等10大类计量检验工作，是喀什地区计量检测设备先进、技术力量强，唯一通过省级法定计量检定机构考核和计量授权的地区级计量检定机构。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lastRenderedPageBreak/>
        <w:t>从决算单位构成看，</w:t>
      </w:r>
      <w:r>
        <w:rPr>
          <w:rFonts w:ascii="仿宋_GB2312" w:eastAsia="仿宋_GB2312"/>
          <w:sz w:val="32"/>
          <w:szCs w:val="32"/>
        </w:rPr>
        <w:t>新疆维吾尔自治区喀什地区计量检定</w:t>
      </w:r>
      <w:proofErr w:type="gramStart"/>
      <w:r>
        <w:rPr>
          <w:rFonts w:ascii="仿宋_GB2312" w:eastAsia="仿宋_GB2312"/>
          <w:sz w:val="32"/>
          <w:szCs w:val="32"/>
        </w:rPr>
        <w:t>所</w:t>
      </w:r>
      <w:r>
        <w:rPr>
          <w:rFonts w:ascii="仿宋_GB2312" w:eastAsia="仿宋_GB2312" w:hint="eastAsia"/>
          <w:sz w:val="32"/>
          <w:szCs w:val="32"/>
        </w:rPr>
        <w:t>部门</w:t>
      </w:r>
      <w:proofErr w:type="gramEnd"/>
      <w:r>
        <w:rPr>
          <w:rFonts w:ascii="仿宋_GB2312" w:eastAsia="仿宋_GB2312" w:hint="eastAsia"/>
          <w:sz w:val="32"/>
          <w:szCs w:val="32"/>
        </w:rPr>
        <w:t>决算包括：</w:t>
      </w:r>
      <w:r>
        <w:rPr>
          <w:rFonts w:ascii="仿宋_GB2312" w:eastAsia="仿宋_GB2312"/>
          <w:sz w:val="32"/>
          <w:szCs w:val="32"/>
        </w:rPr>
        <w:t>新疆维吾尔自治区喀什地区计量检定</w:t>
      </w:r>
      <w:proofErr w:type="gramStart"/>
      <w:r>
        <w:rPr>
          <w:rFonts w:ascii="仿宋_GB2312" w:eastAsia="仿宋_GB2312"/>
          <w:sz w:val="32"/>
          <w:szCs w:val="32"/>
        </w:rPr>
        <w:t>所</w:t>
      </w:r>
      <w:r>
        <w:rPr>
          <w:rFonts w:ascii="仿宋_GB2312" w:eastAsia="仿宋_GB2312" w:hint="eastAsia"/>
          <w:sz w:val="32"/>
          <w:szCs w:val="32"/>
        </w:rPr>
        <w:t>部门</w:t>
      </w:r>
      <w:proofErr w:type="gramEnd"/>
      <w:r>
        <w:rPr>
          <w:rFonts w:ascii="仿宋_GB2312" w:eastAsia="仿宋_GB2312" w:hint="eastAsia"/>
          <w:sz w:val="32"/>
          <w:szCs w:val="32"/>
        </w:rPr>
        <w:t>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新疆维吾尔自治区喀什地区计量检定所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B86295">
        <w:tc>
          <w:tcPr>
            <w:tcW w:w="3056" w:type="dxa"/>
          </w:tcPr>
          <w:p w:rsidR="00B86295" w:rsidRDefault="007A5A29">
            <w:pPr>
              <w:spacing w:line="500" w:lineRule="exact"/>
              <w:ind w:firstLineChars="200" w:firstLine="640"/>
              <w:jc w:val="left"/>
            </w:pPr>
            <w:r>
              <w:rPr>
                <w:rFonts w:ascii="仿宋_GB2312" w:eastAsia="仿宋_GB2312"/>
                <w:position w:val="-1"/>
                <w:sz w:val="32"/>
              </w:rPr>
              <w:t>1</w:t>
            </w:r>
          </w:p>
        </w:tc>
        <w:tc>
          <w:tcPr>
            <w:tcW w:w="3870" w:type="dxa"/>
          </w:tcPr>
          <w:p w:rsidR="00B86295" w:rsidRDefault="007A5A29">
            <w:pPr>
              <w:spacing w:line="500" w:lineRule="exact"/>
              <w:ind w:firstLineChars="200" w:firstLine="640"/>
              <w:jc w:val="left"/>
            </w:pPr>
            <w:r>
              <w:rPr>
                <w:rFonts w:ascii="仿宋_GB2312" w:eastAsia="仿宋_GB2312"/>
                <w:position w:val="-1"/>
                <w:sz w:val="32"/>
              </w:rPr>
              <w:t>新疆维吾尔自治区喀什地区计量检定所</w:t>
            </w:r>
          </w:p>
        </w:tc>
        <w:tc>
          <w:tcPr>
            <w:tcW w:w="2538" w:type="dxa"/>
            <w:vAlign w:val="center"/>
          </w:tcPr>
          <w:p w:rsidR="00B86295" w:rsidRDefault="00B86295" w:rsidP="004D547E">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4D547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631.93</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，与上年相比，增加51.69万元，增长8.91%，增加的主要原因是：</w:t>
      </w:r>
      <w:r>
        <w:rPr>
          <w:rFonts w:ascii="仿宋_GB2312" w:eastAsia="仿宋_GB2312" w:hint="eastAsia"/>
          <w:color w:val="000000" w:themeColor="text1"/>
          <w:sz w:val="32"/>
          <w:szCs w:val="32"/>
        </w:rPr>
        <w:t>1、正常的人员职称晋升跟正常调资原因，2、收到上海</w:t>
      </w:r>
      <w:proofErr w:type="gramStart"/>
      <w:r>
        <w:rPr>
          <w:rFonts w:ascii="仿宋_GB2312" w:eastAsia="仿宋_GB2312" w:hint="eastAsia"/>
          <w:color w:val="000000" w:themeColor="text1"/>
          <w:sz w:val="32"/>
          <w:szCs w:val="32"/>
        </w:rPr>
        <w:t>援疆资金</w:t>
      </w:r>
      <w:proofErr w:type="gramEnd"/>
      <w:r>
        <w:rPr>
          <w:rFonts w:ascii="仿宋_GB2312" w:eastAsia="仿宋_GB2312" w:hint="eastAsia"/>
          <w:color w:val="000000" w:themeColor="text1"/>
          <w:sz w:val="32"/>
          <w:szCs w:val="32"/>
        </w:rPr>
        <w:t>50万元；</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631.93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，与上年相比，增加51.69万元，增长8.91%，增加的主要原因是：</w:t>
      </w:r>
      <w:r>
        <w:rPr>
          <w:rFonts w:ascii="仿宋_GB2312" w:eastAsia="仿宋_GB2312" w:hint="eastAsia"/>
          <w:color w:val="000000" w:themeColor="text1"/>
          <w:sz w:val="32"/>
          <w:szCs w:val="32"/>
        </w:rPr>
        <w:t>所里职工职称调整导致工资部分提升；2使用上海</w:t>
      </w:r>
      <w:proofErr w:type="gramStart"/>
      <w:r>
        <w:rPr>
          <w:rFonts w:ascii="仿宋_GB2312" w:eastAsia="仿宋_GB2312" w:hint="eastAsia"/>
          <w:color w:val="000000" w:themeColor="text1"/>
          <w:sz w:val="32"/>
          <w:szCs w:val="32"/>
        </w:rPr>
        <w:t>援疆资金</w:t>
      </w:r>
      <w:proofErr w:type="gramEnd"/>
      <w:r>
        <w:rPr>
          <w:rFonts w:ascii="仿宋_GB2312" w:eastAsia="仿宋_GB2312" w:hint="eastAsia"/>
          <w:color w:val="000000" w:themeColor="text1"/>
          <w:sz w:val="32"/>
          <w:szCs w:val="32"/>
        </w:rPr>
        <w:t>50万购买设备；</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8"/>
    </w:p>
    <w:p w:rsidR="00184AA3" w:rsidRDefault="00DB45E7" w:rsidP="004D547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本年收入合计</w:t>
      </w:r>
      <w:r>
        <w:rPr>
          <w:rFonts w:ascii="仿宋_GB2312" w:eastAsia="仿宋_GB2312" w:hint="eastAsia"/>
          <w:sz w:val="32"/>
          <w:szCs w:val="32"/>
        </w:rPr>
        <w:t>631.93</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581.93</w:t>
      </w:r>
      <w:r>
        <w:rPr>
          <w:rFonts w:ascii="仿宋_GB2312" w:eastAsia="仿宋_GB2312" w:hint="eastAsia"/>
          <w:color w:val="000000" w:themeColor="text1"/>
          <w:sz w:val="32"/>
          <w:szCs w:val="32"/>
        </w:rPr>
        <w:t>万元，占</w:t>
      </w:r>
      <w:r>
        <w:rPr>
          <w:rFonts w:ascii="仿宋_GB2312" w:eastAsia="仿宋_GB2312" w:hint="eastAsia"/>
          <w:sz w:val="32"/>
          <w:szCs w:val="32"/>
        </w:rPr>
        <w:t>92.09%</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50</w:t>
      </w:r>
      <w:r>
        <w:rPr>
          <w:rFonts w:ascii="仿宋_GB2312" w:eastAsia="仿宋_GB2312" w:hint="eastAsia"/>
          <w:color w:val="000000" w:themeColor="text1"/>
          <w:sz w:val="32"/>
          <w:szCs w:val="32"/>
        </w:rPr>
        <w:t>万元，占</w:t>
      </w:r>
      <w:r>
        <w:rPr>
          <w:rFonts w:ascii="仿宋_GB2312" w:eastAsia="仿宋_GB2312" w:hint="eastAsia"/>
          <w:sz w:val="32"/>
          <w:szCs w:val="32"/>
        </w:rPr>
        <w:t>7.91%</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况：本年收入年初预算数572.68万元</w:t>
      </w:r>
      <w:r>
        <w:rPr>
          <w:rFonts w:ascii="仿宋_GB2312" w:eastAsia="仿宋_GB2312" w:hint="eastAsia"/>
          <w:sz w:val="32"/>
          <w:szCs w:val="32"/>
        </w:rPr>
        <w:t>，决算数631.93万元</w:t>
      </w:r>
      <w:r>
        <w:rPr>
          <w:rFonts w:ascii="仿宋_GB2312" w:eastAsia="仿宋_GB2312"/>
          <w:sz w:val="32"/>
          <w:szCs w:val="32"/>
        </w:rPr>
        <w:t>，预决算差异率10.35%，差异主要原因是:1由于计量所人员职称正常晋升导致人员工资增加；2还由于年初员工社保基数、公积金基数等基数调整导致追加了部分相应的财政资金；3还由于2018年度拨付了</w:t>
      </w:r>
      <w:proofErr w:type="gramStart"/>
      <w:r>
        <w:rPr>
          <w:rFonts w:ascii="仿宋_GB2312" w:eastAsia="仿宋_GB2312"/>
          <w:sz w:val="32"/>
          <w:szCs w:val="32"/>
        </w:rPr>
        <w:t>上海援疆资金</w:t>
      </w:r>
      <w:proofErr w:type="gramEnd"/>
      <w:r>
        <w:rPr>
          <w:rFonts w:ascii="仿宋_GB2312" w:eastAsia="仿宋_GB2312"/>
          <w:sz w:val="32"/>
          <w:szCs w:val="32"/>
        </w:rPr>
        <w:t>，导致决算数大于年初预算数。</w:t>
      </w:r>
      <w:bookmarkEnd w:id="15"/>
    </w:p>
    <w:p w:rsidR="00184AA3" w:rsidRDefault="00DB45E7" w:rsidP="004D547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631.93</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462.93</w:t>
      </w:r>
      <w:r>
        <w:rPr>
          <w:rFonts w:ascii="仿宋_GB2312" w:eastAsia="仿宋_GB2312" w:hint="eastAsia"/>
          <w:color w:val="000000" w:themeColor="text1"/>
          <w:sz w:val="32"/>
          <w:szCs w:val="32"/>
        </w:rPr>
        <w:t>万元，占</w:t>
      </w:r>
      <w:r>
        <w:rPr>
          <w:rFonts w:ascii="仿宋_GB2312" w:eastAsia="仿宋_GB2312" w:hint="eastAsia"/>
          <w:sz w:val="32"/>
          <w:szCs w:val="32"/>
        </w:rPr>
        <w:t>73.26%</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169</w:t>
      </w:r>
      <w:r>
        <w:rPr>
          <w:rFonts w:ascii="仿宋_GB2312" w:eastAsia="仿宋_GB2312" w:hint="eastAsia"/>
          <w:color w:val="000000" w:themeColor="text1"/>
          <w:sz w:val="32"/>
          <w:szCs w:val="32"/>
        </w:rPr>
        <w:t>万元，占</w:t>
      </w:r>
      <w:r>
        <w:rPr>
          <w:rFonts w:ascii="仿宋_GB2312" w:eastAsia="仿宋_GB2312" w:hint="eastAsia"/>
          <w:sz w:val="32"/>
          <w:szCs w:val="32"/>
        </w:rPr>
        <w:t>26.74%</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与年初预算数相比情况：本年支出年初预算数572.68万元，</w:t>
      </w:r>
      <w:r>
        <w:rPr>
          <w:rFonts w:ascii="仿宋_GB2312" w:eastAsia="仿宋_GB2312" w:hint="eastAsia"/>
          <w:sz w:val="32"/>
          <w:szCs w:val="32"/>
        </w:rPr>
        <w:t>决算数631.93万元</w:t>
      </w:r>
      <w:r>
        <w:rPr>
          <w:rFonts w:ascii="仿宋_GB2312" w:eastAsia="仿宋_GB2312"/>
          <w:sz w:val="32"/>
          <w:szCs w:val="32"/>
        </w:rPr>
        <w:t>，预决算差异率10.35%，差异主要原因是:1由于计量所人员职称正常晋升导致人员工资增加；2还由于年初员工社保基数、公积金基数等基数调整导致追加了部分相应的财政资金；3还由于2018年度拨付了</w:t>
      </w:r>
      <w:proofErr w:type="gramStart"/>
      <w:r>
        <w:rPr>
          <w:rFonts w:ascii="仿宋_GB2312" w:eastAsia="仿宋_GB2312"/>
          <w:sz w:val="32"/>
          <w:szCs w:val="32"/>
        </w:rPr>
        <w:t>上海援疆资金</w:t>
      </w:r>
      <w:proofErr w:type="gramEnd"/>
      <w:r>
        <w:rPr>
          <w:rFonts w:ascii="仿宋_GB2312" w:eastAsia="仿宋_GB2312"/>
          <w:sz w:val="32"/>
          <w:szCs w:val="32"/>
        </w:rPr>
        <w:t>，导致决算数大于年初预算数。</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4D547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581.93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，与上年相比，增加55.79万元，增长10.6%，增加的主要原因是：由于2018年在职员工职称调整、社保基数、公积金基数等相关基数调整导致财政拨款收入较</w:t>
      </w:r>
      <w:r>
        <w:rPr>
          <w:rFonts w:ascii="仿宋_GB2312" w:eastAsia="仿宋_GB2312" w:hint="eastAsia"/>
          <w:sz w:val="32"/>
          <w:szCs w:val="32"/>
        </w:rPr>
        <w:lastRenderedPageBreak/>
        <w:t>上年有所增加。</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581.93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，与上年相比，增加55.79万元，增长10.6%，增加的主要原因是：</w:t>
      </w:r>
      <w:r>
        <w:rPr>
          <w:rFonts w:ascii="仿宋_GB2312" w:eastAsia="仿宋_GB2312"/>
          <w:sz w:val="32"/>
          <w:szCs w:val="32"/>
        </w:rPr>
        <w:t>由于2018年在职员工职称调整、社保基数、公积金基数等相关基数调整导致财政拨款收入较上年有所增加。</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462.93</w:t>
      </w:r>
      <w:r>
        <w:rPr>
          <w:rFonts w:ascii="仿宋_GB2312" w:eastAsia="仿宋_GB2312" w:hint="eastAsia"/>
          <w:color w:val="000000" w:themeColor="text1"/>
          <w:sz w:val="32"/>
          <w:szCs w:val="32"/>
        </w:rPr>
        <w:t>万元，项目支出</w:t>
      </w:r>
      <w:r>
        <w:rPr>
          <w:rFonts w:ascii="仿宋_GB2312" w:eastAsia="仿宋_GB2312" w:hint="eastAsia"/>
          <w:sz w:val="32"/>
          <w:szCs w:val="32"/>
        </w:rPr>
        <w:t>119</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572.68</w:t>
      </w:r>
      <w:r>
        <w:rPr>
          <w:rFonts w:ascii="仿宋_GB2312" w:eastAsia="仿宋_GB2312" w:hint="eastAsia"/>
          <w:color w:val="000000" w:themeColor="text1"/>
          <w:sz w:val="32"/>
          <w:szCs w:val="32"/>
        </w:rPr>
        <w:t>万元，决算数</w:t>
      </w:r>
      <w:r>
        <w:rPr>
          <w:rFonts w:ascii="仿宋_GB2312" w:eastAsia="仿宋_GB2312" w:hint="eastAsia"/>
          <w:sz w:val="32"/>
          <w:szCs w:val="32"/>
        </w:rPr>
        <w:t>581.93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，预决算差异率1.62%，差异主要原因是:由于人员职称、社保基数、公积金基数都有相对应的调增导致决算数较年初预算数有所增加。</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572.68</w:t>
      </w:r>
      <w:r>
        <w:rPr>
          <w:rFonts w:ascii="仿宋_GB2312" w:eastAsia="仿宋_GB2312" w:hint="eastAsia"/>
          <w:color w:val="000000" w:themeColor="text1"/>
          <w:sz w:val="32"/>
          <w:szCs w:val="32"/>
        </w:rPr>
        <w:t>万元，决算数</w:t>
      </w:r>
      <w:r>
        <w:rPr>
          <w:rFonts w:ascii="仿宋_GB2312" w:eastAsia="仿宋_GB2312" w:hint="eastAsia"/>
          <w:sz w:val="32"/>
          <w:szCs w:val="32"/>
        </w:rPr>
        <w:t>581.93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，预决算差异率1.62%，差异主要原因是:由于人员职称、社保基数、公积金基数都有相对应的调增导致决算数较年初预算数有所增加。</w:t>
      </w:r>
      <w:bookmarkEnd w:id="33"/>
    </w:p>
    <w:p w:rsidR="00184AA3" w:rsidRDefault="00DB45E7" w:rsidP="004D547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581.93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55.79万元，增长10.6%，增加的主要原因是：1由于计量所人员职称正常晋升导致人员工资增加；2还由于年初员工社保基数、公积金基数等基数调整导致追加了部分相应的财政资金；3还由于2018年度拨付了</w:t>
      </w:r>
      <w:proofErr w:type="gramStart"/>
      <w:r>
        <w:rPr>
          <w:rFonts w:ascii="仿宋_GB2312" w:eastAsia="仿宋_GB2312"/>
          <w:color w:val="000000" w:themeColor="text1"/>
          <w:sz w:val="32"/>
          <w:szCs w:val="32"/>
        </w:rPr>
        <w:t>上海援疆资金</w:t>
      </w:r>
      <w:proofErr w:type="gramEnd"/>
      <w:r>
        <w:rPr>
          <w:rFonts w:ascii="仿宋_GB2312" w:eastAsia="仿宋_GB2312"/>
          <w:color w:val="000000" w:themeColor="text1"/>
          <w:sz w:val="32"/>
          <w:szCs w:val="32"/>
        </w:rPr>
        <w:t>，导致财政拨款收入有所增加。</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581.93</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，与上年相比，增加55.79万元，增长10.6%，增加的主要原因是：1由于计量所人员职称正常晋升导致人员工资增加；2还由于年初</w:t>
      </w:r>
      <w:r w:rsidR="004D547E">
        <w:rPr>
          <w:rFonts w:ascii="仿宋_GB2312" w:eastAsia="仿宋_GB2312" w:hint="eastAsia"/>
          <w:sz w:val="32"/>
          <w:szCs w:val="32"/>
        </w:rPr>
        <w:t>员工社保基数、公积金基数等基数调整导致追加了部分相应的财政资金</w:t>
      </w:r>
      <w:r>
        <w:rPr>
          <w:rFonts w:ascii="仿宋_GB2312" w:eastAsia="仿宋_GB2312" w:hint="eastAsia"/>
          <w:sz w:val="32"/>
          <w:szCs w:val="32"/>
        </w:rPr>
        <w:t>，导致财政拨款支出有</w:t>
      </w:r>
      <w:r>
        <w:rPr>
          <w:rFonts w:ascii="仿宋_GB2312" w:eastAsia="仿宋_GB2312" w:hint="eastAsia"/>
          <w:sz w:val="32"/>
          <w:szCs w:val="32"/>
        </w:rPr>
        <w:lastRenderedPageBreak/>
        <w:t>所增加。</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住房保障支出28.6万元,一般公共服务支出509.12万元,社会保障和就业支出44.2万元。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工资福利支出383.92万元,商品和服务支出133.36万元,对个人和家庭的补助54.32万元,资本性支出10.32万元。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572.68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581.93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，预决算差异率1.62%，差异主要原因是:由于人员职称、社保基数、公积金基数都有相对应的调增导致决算数较年初预算数有所增加。</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572.68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581.93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，预决算差异率1.62%，差异主要原因是:由于人员职称、社保基数、公积金基数都有相对应的调增导致决算数较年初预算数有所增加。</w:t>
      </w:r>
      <w:bookmarkEnd w:id="43"/>
    </w:p>
    <w:p w:rsidR="00184AA3" w:rsidRDefault="00DB45E7" w:rsidP="004D547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，与上年相比，增加0万元，增长0%，主要原因是：无政府性预算财政拨款收入。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无政府性预算财政拨款收入。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，预决算差异率0%，差异主要原因是:无政府性基金预算拨款支出。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6.5</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6.5</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100%，与上年相比，增加0万元，增长0%，主要原因是：</w:t>
      </w:r>
      <w:r w:rsidR="0054006F">
        <w:rPr>
          <w:rFonts w:ascii="仿宋_GB2312" w:eastAsia="仿宋_GB2312" w:hint="eastAsia"/>
          <w:sz w:val="32"/>
          <w:szCs w:val="32"/>
        </w:rPr>
        <w:t>无公务用车；</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0%，与上年相比，增加0万元，增长0%，主要原因是：无公务接待费。</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新疆维吾尔自治区喀什地区计量检定</w:t>
      </w:r>
      <w:proofErr w:type="gramStart"/>
      <w:r>
        <w:rPr>
          <w:rFonts w:ascii="仿宋_GB2312" w:eastAsia="仿宋_GB2312" w:hint="eastAsia"/>
          <w:sz w:val="32"/>
          <w:szCs w:val="32"/>
        </w:rPr>
        <w:t>所</w:t>
      </w:r>
      <w:r>
        <w:rPr>
          <w:rFonts w:ascii="仿宋_GB2312" w:eastAsia="仿宋_GB2312" w:hint="eastAsia"/>
          <w:color w:val="000000" w:themeColor="text1"/>
          <w:sz w:val="32"/>
          <w:szCs w:val="32"/>
        </w:rPr>
        <w:t>单位</w:t>
      </w:r>
      <w:bookmarkStart w:id="67" w:name="OLE_LINK33"/>
      <w:proofErr w:type="gramEnd"/>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6.5</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6.5</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车辆用油、车辆维修。</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5</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新疆维吾尔自治区喀什地区计量检定</w:t>
      </w:r>
      <w:proofErr w:type="gramStart"/>
      <w:r>
        <w:rPr>
          <w:rFonts w:ascii="仿宋_GB2312" w:eastAsia="仿宋_GB2312" w:hint="eastAsia"/>
          <w:sz w:val="32"/>
          <w:szCs w:val="32"/>
        </w:rPr>
        <w:t>所</w:t>
      </w:r>
      <w:r>
        <w:rPr>
          <w:rFonts w:ascii="仿宋_GB2312" w:eastAsia="仿宋_GB2312" w:hint="eastAsia"/>
          <w:color w:val="000000" w:themeColor="text1"/>
          <w:sz w:val="32"/>
          <w:szCs w:val="32"/>
        </w:rPr>
        <w:t>单位</w:t>
      </w:r>
      <w:proofErr w:type="gramEnd"/>
      <w:r>
        <w:rPr>
          <w:rFonts w:ascii="仿宋_GB2312" w:eastAsia="仿宋_GB2312" w:hint="eastAsia"/>
          <w:color w:val="000000" w:themeColor="text1"/>
          <w:sz w:val="32"/>
          <w:szCs w:val="32"/>
        </w:rPr>
        <w:t>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w:t>
      </w:r>
      <w:r>
        <w:rPr>
          <w:rFonts w:ascii="仿宋_GB2312" w:eastAsia="仿宋_GB2312" w:hint="eastAsia"/>
          <w:color w:val="000000" w:themeColor="text1"/>
          <w:sz w:val="32"/>
          <w:szCs w:val="32"/>
        </w:rPr>
        <w:lastRenderedPageBreak/>
        <w:t>预算数</w:t>
      </w:r>
      <w:r>
        <w:rPr>
          <w:rFonts w:ascii="仿宋_GB2312" w:eastAsia="仿宋_GB2312"/>
          <w:color w:val="000000" w:themeColor="text1"/>
          <w:sz w:val="32"/>
          <w:szCs w:val="32"/>
        </w:rPr>
        <w:t>6.5</w:t>
      </w:r>
      <w:r>
        <w:rPr>
          <w:rFonts w:ascii="仿宋_GB2312" w:eastAsia="仿宋_GB2312" w:hint="eastAsia"/>
          <w:color w:val="000000" w:themeColor="text1"/>
          <w:sz w:val="32"/>
          <w:szCs w:val="32"/>
        </w:rPr>
        <w:t>万元，决算数6.5万元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w:t>
      </w:r>
      <w:bookmarkStart w:id="83" w:name="_GoBack"/>
      <w:bookmarkEnd w:id="83"/>
      <w:r>
        <w:rPr>
          <w:rFonts w:ascii="仿宋_GB2312" w:eastAsia="仿宋_GB2312"/>
          <w:color w:val="000000" w:themeColor="text1"/>
          <w:sz w:val="32"/>
          <w:szCs w:val="32"/>
        </w:rPr>
        <w:t>0%，差异主要原因是:无差异；</w:t>
      </w:r>
      <w:bookmarkStart w:id="84" w:name="OLE_LINK88"/>
      <w:bookmarkStart w:id="85"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4D547E">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6.5</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6.5</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4D547E">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新疆维吾尔自治区喀什地区计量检定所日常公用经费24.68万元，与上年相比，增加1.88万元，增长8.25%，增加的主要原因是：</w:t>
      </w:r>
      <w:r w:rsidR="00FE48DB">
        <w:rPr>
          <w:rFonts w:ascii="仿宋_GB2312" w:eastAsia="仿宋_GB2312" w:hint="eastAsia"/>
          <w:color w:val="000000" w:themeColor="text1"/>
          <w:sz w:val="32"/>
          <w:szCs w:val="32"/>
        </w:rPr>
        <w:t>由于本年度所里专用计量证书模板发生变化，多支付了新的证书办公中纸费用。</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59.86</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59.86</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4D547E">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5</w:t>
      </w:r>
      <w:r>
        <w:rPr>
          <w:rFonts w:ascii="仿宋_GB2312" w:eastAsia="仿宋_GB2312" w:hint="eastAsia"/>
          <w:color w:val="000000" w:themeColor="text1"/>
          <w:sz w:val="32"/>
          <w:szCs w:val="32"/>
        </w:rPr>
        <w:t>辆，价值</w:t>
      </w:r>
      <w:r>
        <w:rPr>
          <w:rFonts w:ascii="仿宋_GB2312" w:eastAsia="仿宋_GB2312" w:hint="eastAsia"/>
          <w:sz w:val="32"/>
          <w:szCs w:val="32"/>
        </w:rPr>
        <w:t>149.2</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5</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计量检定专业用车辆；</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w:t>
      </w:r>
      <w:r>
        <w:rPr>
          <w:rFonts w:ascii="仿宋_GB2312" w:eastAsia="仿宋_GB2312" w:hint="eastAsia"/>
          <w:color w:val="000000" w:themeColor="text1"/>
          <w:sz w:val="32"/>
          <w:szCs w:val="32"/>
        </w:rPr>
        <w:lastRenderedPageBreak/>
        <w:t>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rsidP="004D547E">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能及时准确的安排支出进度及时完成绩效目标。</w:t>
      </w:r>
    </w:p>
    <w:p w:rsidR="00B86295" w:rsidRDefault="007A5A29">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w:t>
      </w:r>
      <w:proofErr w:type="gramStart"/>
      <w:r>
        <w:rPr>
          <w:rFonts w:ascii="仿宋_GB2312" w:eastAsia="仿宋_GB2312" w:hAnsi="仿宋_GB2312" w:cs="仿宋_GB2312"/>
          <w:sz w:val="32"/>
        </w:rPr>
        <w:t>援疆资金</w:t>
      </w:r>
      <w:proofErr w:type="gramEnd"/>
      <w:r>
        <w:rPr>
          <w:rFonts w:ascii="仿宋_GB2312" w:eastAsia="仿宋_GB2312" w:hAnsi="仿宋_GB2312" w:cs="仿宋_GB2312"/>
          <w:sz w:val="32"/>
        </w:rPr>
        <w:t>购买设备项目绩效自评综述：根据年初设定的绩效目标，该项目绩效自评得分为</w:t>
      </w:r>
      <w:r>
        <w:rPr>
          <w:rFonts w:ascii="仿宋_GB2312" w:eastAsia="仿宋_GB2312" w:hAnsi="仿宋_GB2312" w:cs="仿宋_GB2312"/>
          <w:sz w:val="32"/>
        </w:rPr>
        <w:t>86.7</w:t>
      </w:r>
      <w:r>
        <w:rPr>
          <w:rFonts w:ascii="仿宋_GB2312" w:eastAsia="仿宋_GB2312" w:hAnsi="仿宋_GB2312" w:cs="仿宋_GB2312"/>
          <w:sz w:val="32"/>
        </w:rPr>
        <w:t>分。项目全年预算数为</w:t>
      </w:r>
      <w:r>
        <w:rPr>
          <w:rFonts w:ascii="仿宋_GB2312" w:eastAsia="仿宋_GB2312" w:hAnsi="仿宋_GB2312" w:cs="仿宋_GB2312"/>
          <w:sz w:val="32"/>
        </w:rPr>
        <w:t>50</w:t>
      </w:r>
      <w:r>
        <w:rPr>
          <w:rFonts w:ascii="仿宋_GB2312" w:eastAsia="仿宋_GB2312" w:hAnsi="仿宋_GB2312" w:cs="仿宋_GB2312"/>
          <w:sz w:val="32"/>
        </w:rPr>
        <w:t>万元，执行数为</w:t>
      </w:r>
      <w:r>
        <w:rPr>
          <w:rFonts w:ascii="仿宋_GB2312" w:eastAsia="仿宋_GB2312" w:hAnsi="仿宋_GB2312" w:cs="仿宋_GB2312"/>
          <w:sz w:val="32"/>
        </w:rPr>
        <w:t>50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。主要产出和效果：提高喀什地区计量检定所专业检定能力。发现的问题及原因：无存在问题。</w:t>
      </w:r>
      <w:r>
        <w:rPr>
          <w:rFonts w:ascii="仿宋_GB2312" w:eastAsia="仿宋_GB2312" w:hAnsi="仿宋_GB2312" w:cs="仿宋_GB2312"/>
          <w:sz w:val="32"/>
        </w:rPr>
        <w:t>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B86295" w:rsidRDefault="007A5A29">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、信息化建设项目绩效自评综述：根据年初设定的绩效目标，该项目绩效自评得分为</w:t>
      </w:r>
      <w:r>
        <w:rPr>
          <w:rFonts w:ascii="仿宋_GB2312" w:eastAsia="仿宋_GB2312" w:hAnsi="仿宋_GB2312" w:cs="仿宋_GB2312"/>
          <w:sz w:val="32"/>
        </w:rPr>
        <w:t>86.7</w:t>
      </w:r>
      <w:r>
        <w:rPr>
          <w:rFonts w:ascii="仿宋_GB2312" w:eastAsia="仿宋_GB2312" w:hAnsi="仿宋_GB2312" w:cs="仿宋_GB2312"/>
          <w:sz w:val="32"/>
        </w:rPr>
        <w:t>分。项目全年预算数为</w:t>
      </w:r>
      <w:r>
        <w:rPr>
          <w:rFonts w:ascii="仿宋_GB2312" w:eastAsia="仿宋_GB2312" w:hAnsi="仿宋_GB2312" w:cs="仿宋_GB2312"/>
          <w:sz w:val="32"/>
        </w:rPr>
        <w:t>9</w:t>
      </w:r>
      <w:r>
        <w:rPr>
          <w:rFonts w:ascii="仿宋_GB2312" w:eastAsia="仿宋_GB2312" w:hAnsi="仿宋_GB2312" w:cs="仿宋_GB2312"/>
          <w:sz w:val="32"/>
        </w:rPr>
        <w:t>万元，执行数为</w:t>
      </w:r>
      <w:r>
        <w:rPr>
          <w:rFonts w:ascii="仿宋_GB2312" w:eastAsia="仿宋_GB2312" w:hAnsi="仿宋_GB2312" w:cs="仿宋_GB2312"/>
          <w:sz w:val="32"/>
        </w:rPr>
        <w:t>9</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。主要产出和效果：提高</w:t>
      </w:r>
      <w:proofErr w:type="gramStart"/>
      <w:r>
        <w:rPr>
          <w:rFonts w:ascii="仿宋_GB2312" w:eastAsia="仿宋_GB2312" w:hAnsi="仿宋_GB2312" w:cs="仿宋_GB2312"/>
          <w:sz w:val="32"/>
        </w:rPr>
        <w:t>跟加强</w:t>
      </w:r>
      <w:proofErr w:type="gramEnd"/>
      <w:r>
        <w:rPr>
          <w:rFonts w:ascii="仿宋_GB2312" w:eastAsia="仿宋_GB2312" w:hAnsi="仿宋_GB2312" w:cs="仿宋_GB2312"/>
          <w:sz w:val="32"/>
        </w:rPr>
        <w:t>喀什地区计量检定所信息化能力。发现的问题及原因：无存在问题。下一步改进措施：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B86295" w:rsidRDefault="007A5A29">
      <w:pPr>
        <w:spacing w:line="540" w:lineRule="exact"/>
        <w:ind w:left="-1" w:right="-1" w:firstLine="646"/>
        <w:jc w:val="left"/>
      </w:pPr>
      <w:r>
        <w:rPr>
          <w:rFonts w:ascii="仿宋_GB2312" w:eastAsia="仿宋_GB2312" w:hAnsi="仿宋_GB2312" w:cs="仿宋_GB2312"/>
          <w:sz w:val="32"/>
        </w:rPr>
        <w:t>3</w:t>
      </w:r>
      <w:r>
        <w:rPr>
          <w:rFonts w:ascii="仿宋_GB2312" w:eastAsia="仿宋_GB2312" w:hAnsi="仿宋_GB2312" w:cs="仿宋_GB2312"/>
          <w:sz w:val="32"/>
        </w:rPr>
        <w:t>、计量检定成本性支出项目绩效自评综述：根据年初设定的绩效目标，该项目绩效自评得分为</w:t>
      </w:r>
      <w:r>
        <w:rPr>
          <w:rFonts w:ascii="仿宋_GB2312" w:eastAsia="仿宋_GB2312" w:hAnsi="仿宋_GB2312" w:cs="仿宋_GB2312"/>
          <w:sz w:val="32"/>
        </w:rPr>
        <w:t>87.7</w:t>
      </w:r>
      <w:r>
        <w:rPr>
          <w:rFonts w:ascii="仿宋_GB2312" w:eastAsia="仿宋_GB2312" w:hAnsi="仿宋_GB2312" w:cs="仿宋_GB2312"/>
          <w:sz w:val="32"/>
        </w:rPr>
        <w:t>分。项目全年预算数为</w:t>
      </w:r>
      <w:r>
        <w:rPr>
          <w:rFonts w:ascii="仿宋_GB2312" w:eastAsia="仿宋_GB2312" w:hAnsi="仿宋_GB2312" w:cs="仿宋_GB2312"/>
          <w:sz w:val="32"/>
        </w:rPr>
        <w:t>110</w:t>
      </w:r>
      <w:r>
        <w:rPr>
          <w:rFonts w:ascii="仿宋_GB2312" w:eastAsia="仿宋_GB2312" w:hAnsi="仿宋_GB2312" w:cs="仿宋_GB2312"/>
          <w:sz w:val="32"/>
        </w:rPr>
        <w:t>万元，执行数为</w:t>
      </w:r>
      <w:r>
        <w:rPr>
          <w:rFonts w:ascii="仿宋_GB2312" w:eastAsia="仿宋_GB2312" w:hAnsi="仿宋_GB2312" w:cs="仿宋_GB2312"/>
          <w:sz w:val="32"/>
        </w:rPr>
        <w:t>110</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。主要产出和效果：保证全地区计量数据准确，计量所正常运行。发</w:t>
      </w:r>
      <w:r>
        <w:rPr>
          <w:rFonts w:ascii="仿宋_GB2312" w:eastAsia="仿宋_GB2312" w:hAnsi="仿宋_GB2312" w:cs="仿宋_GB2312"/>
          <w:sz w:val="32"/>
        </w:rPr>
        <w:t>现的问题及原因：无存在问题。下一步改进措施：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无建议。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w:t>
      </w:r>
      <w:r>
        <w:rPr>
          <w:rFonts w:ascii="仿宋_GB2312" w:eastAsia="仿宋_GB2312" w:hint="eastAsia"/>
          <w:sz w:val="32"/>
          <w:szCs w:val="32"/>
        </w:rPr>
        <w:lastRenderedPageBreak/>
        <w:t>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w:t>
      </w:r>
      <w:r>
        <w:rPr>
          <w:rFonts w:ascii="仿宋_GB2312" w:eastAsia="仿宋_GB2312" w:hint="eastAsia"/>
          <w:sz w:val="32"/>
          <w:szCs w:val="32"/>
        </w:rPr>
        <w:lastRenderedPageBreak/>
        <w:t>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单位公务出国（境）的住宿费、旅费、伙食补助费、杂费、培训费等支出；公务用车购置及运行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单位公务用车购置费及租用费、燃料费、维修费、过路过桥费、保险费、安全奖励费用等支出；公务接待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201（类）17（款）06（项）指：质量技术监督行政执法及业务管理。221（类）02（款）01（项）指：住房公积金。201（类）17（款）50（项）指：事业运行。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lastRenderedPageBreak/>
        <w:t>其他有关说明内容</w:t>
      </w:r>
      <w:r>
        <w:rPr>
          <w:rFonts w:ascii="仿宋_GB2312" w:eastAsia="仿宋_GB2312" w:hAnsi="Calibri" w:hint="eastAsia"/>
          <w:sz w:val="32"/>
          <w:szCs w:val="32"/>
          <w:lang w:val="en-GB"/>
        </w:rPr>
        <w:t>。</w:t>
      </w:r>
    </w:p>
    <w:p w:rsidR="00184AA3" w:rsidRDefault="00184AA3" w:rsidP="004D547E">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A29" w:rsidRDefault="007A5A29" w:rsidP="00184AA3">
      <w:r>
        <w:separator/>
      </w:r>
    </w:p>
  </w:endnote>
  <w:endnote w:type="continuationSeparator" w:id="0">
    <w:p w:rsidR="007A5A29" w:rsidRDefault="007A5A29"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4D547E">
      <w:rPr>
        <w:rStyle w:val="a8"/>
        <w:rFonts w:ascii="宋体" w:eastAsia="宋体" w:hAnsi="宋体"/>
        <w:noProof/>
        <w:sz w:val="28"/>
      </w:rPr>
      <w:t>- 7 -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A29" w:rsidRDefault="007A5A29" w:rsidP="00184AA3">
      <w:r>
        <w:separator/>
      </w:r>
    </w:p>
  </w:footnote>
  <w:footnote w:type="continuationSeparator" w:id="0">
    <w:p w:rsidR="007A5A29" w:rsidRDefault="007A5A29"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7v2IczGZ5QO6nR0R/3l1v3kjJ1w=" w:salt="Z0BuyUr3O1mL+gh9C5kRG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47E"/>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5A29"/>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86295"/>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901</Words>
  <Characters>5142</Characters>
  <Application>Microsoft Office Word</Application>
  <DocSecurity>8</DocSecurity>
  <Lines>42</Lines>
  <Paragraphs>12</Paragraphs>
  <ScaleCrop>false</ScaleCrop>
  <Company/>
  <LinksUpToDate>false</LinksUpToDate>
  <CharactersWithSpaces>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817</cp:revision>
  <dcterms:created xsi:type="dcterms:W3CDTF">2019-05-30T09:42:00Z</dcterms:created>
  <dcterms:modified xsi:type="dcterms:W3CDTF">2020-04-03T12:02:00Z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