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新疆喀什地区特种设备检验检测所2019年度部门决算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pPr>
      <w:r>
        <w:rPr>
          <w:rFonts w:ascii="仿宋_GB2312" w:hAnsi="仿宋_GB2312" w:eastAsia="仿宋_GB2312" w:cs="仿宋_GB2312"/>
          <w:sz w:val="32"/>
        </w:rPr>
        <w:t>承担锅炉、压力容器、电梯、起重机械、场（厂）内机动车辆安装、维修、改造监督检验；承担压力管道安装监督检验；承担锅炉、压力容器、电梯、起重机械、场（厂）内机动车辆的定期检验；承担锅炉介质的定期检验；承担安全阀定期检验；各类气瓶检验。</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新疆喀什地区特种设备检验检测所2019年度，实有人数33人，其中：在职人员24人，离休人员0人，退休人员9人。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从部门决算单位构成看，新疆喀什地区特种设备检验检测所部门决算包括：新疆喀什地区特种设备检验检测所决算。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606.52万元，与上年相比，减少178.38万元，下降22.73%，主要原因是：2019年度压减项目经费、援疆资金减少，养老保险缴费降低比例、在职转退休、辞职1人所致。本年支出606.52万元，与上年相比，减少178.38万元，下降22.73%，主要原因是：2019年度压减项目经费、援疆资金减少，养老保险降低比例、在职转退休、辞职1人所致。</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2019年度本年收入606.52万元，其中：财政拨款收入606.52万元，占100%；上级补助收入0万元，占0%；事业收入0万元，占0%；经营收入0万元，占0%；附属单位上缴收入0万元，占0%；其他收入0万元，占0%。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2019年度本年支出606.52万元，其中：基本支出415.62万元，占68.53%；项目支出190.90万元，占31.47%；上缴上级支出0万元，占0%；经营支出0万元，占0%；对附属单位补助支出0万元，占0%。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606.52万元，与上年相比，减少78.38万元，下降11.44%，主要原因是：2019年度压减项目经费、养老保险降低比例、在职转退休、辞职1人所致。财政拨款支出606.52万元，与上年相比，减少78.38万元，下降11.44%，主要原因是：2019年度压减项目经费、养老保险降低比例、在职转退休、辞职1人所致。</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668.12万元，决算数606.52万元，预决算差异率-9.22%，主要原因是：在职人员转退休、养老保险缴费比例由20%降为16%、辞职1人所致。财政拨款支出年初预算数668.12万元，决算数606.52万元，预决算差异率-9.22%，主要原因是：在职人员转退休、养老保险缴费比例由20%降为16%、辞职1人所致。</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2019年度一般公共预算财政拨款支出606.52万元。按功能分类科目项级科目公开，其中：</w:t>
      </w:r>
    </w:p>
    <w:p>
      <w:pPr>
        <w:ind w:firstLine="480"/>
      </w:pPr>
      <w:r>
        <w:rPr>
          <w:rFonts w:ascii="仿宋_GB2312" w:hAnsi="仿宋_GB2312" w:eastAsia="仿宋_GB2312" w:cs="仿宋_GB2312"/>
          <w:sz w:val="32"/>
        </w:rPr>
        <w:t xml:space="preserve">   2013804市场监督管理专项支出190.90万元；</w:t>
      </w:r>
    </w:p>
    <w:p>
      <w:pPr>
        <w:ind w:firstLine="480"/>
      </w:pPr>
      <w:r>
        <w:rPr>
          <w:rFonts w:ascii="仿宋_GB2312" w:hAnsi="仿宋_GB2312" w:eastAsia="仿宋_GB2312" w:cs="仿宋_GB2312"/>
          <w:sz w:val="32"/>
        </w:rPr>
        <w:t xml:space="preserve">   2013850事业运行支出343.28万元；</w:t>
      </w:r>
    </w:p>
    <w:p>
      <w:pPr>
        <w:ind w:firstLine="480"/>
      </w:pPr>
      <w:r>
        <w:rPr>
          <w:rFonts w:ascii="仿宋_GB2312" w:hAnsi="仿宋_GB2312" w:eastAsia="仿宋_GB2312" w:cs="仿宋_GB2312"/>
          <w:sz w:val="32"/>
        </w:rPr>
        <w:t xml:space="preserve">   2080505机关事业单位基本养老保险缴费支出36.16万元；</w:t>
      </w:r>
    </w:p>
    <w:p>
      <w:pPr>
        <w:ind w:firstLine="480"/>
      </w:pPr>
      <w:r>
        <w:rPr>
          <w:rFonts w:ascii="仿宋_GB2312" w:hAnsi="仿宋_GB2312" w:eastAsia="仿宋_GB2312" w:cs="仿宋_GB2312"/>
          <w:sz w:val="32"/>
        </w:rPr>
        <w:t xml:space="preserve">   2080506机关事业单位职业年金缴费支出9.43万元；</w:t>
      </w:r>
    </w:p>
    <w:p>
      <w:pPr>
        <w:ind w:firstLine="480"/>
      </w:pPr>
      <w:r>
        <w:rPr>
          <w:rFonts w:ascii="仿宋_GB2312" w:hAnsi="仿宋_GB2312" w:eastAsia="仿宋_GB2312" w:cs="仿宋_GB2312"/>
          <w:sz w:val="32"/>
        </w:rPr>
        <w:t xml:space="preserve">   2210201住房公积金支出26.75万元。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2019年度一般公共预算财政拨款基本支出415.62万元，其中：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人员经费387.56万元，包括：基本工资、津贴补贴、奖金、绩效工资、机关事业单位基本养老保险缴费、职业年金缴费、其他社会保障缴费、住房公积金、退休费、生活补助、奖励金、其他对个人和家庭的补助。</w:t>
      </w:r>
    </w:p>
    <w:p>
      <w:pPr>
        <w:ind w:firstLine="640" w:firstLineChars="200"/>
        <w:rPr>
          <w:rFonts w:ascii="仿宋_GB2312" w:eastAsia="仿宋_GB2312"/>
          <w:sz w:val="32"/>
          <w:szCs w:val="32"/>
        </w:rPr>
      </w:pPr>
      <w:r>
        <w:rPr>
          <w:rFonts w:ascii="仿宋_GB2312" w:hAnsi="仿宋_GB2312" w:eastAsia="仿宋_GB2312" w:cs="仿宋_GB2312"/>
          <w:sz w:val="32"/>
        </w:rPr>
        <w:t>公用经费28.06万元，包括：办公费、水费、电费、邮电费、取暖费、差旅费、公务用车运行维护费、其他交通费用、其他商品和服务支出。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6.50万元，比上年增加0万元，增长0%，主要原因是与上年相比无变动，与上年一致。其中，因公出国（境）费支出0万元，占0%，比上年增加0万元，增长0%，主要原因是预算未安排，无此项支出；公务用车购置及运行维护费支出6.50万元，占100%，比上年增加0万元，增长0%，主要原因是与上年相比无变动，与上年一致；公务接待费支出0万元，占0%，比上年增加0万元，增长0%，主要原因是预算未安排，无此项支出。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6.50万元，其中，公务用车购置费0万元，公务用车运行维护费6.50万元。公务用车运行维护费开支内容包括汽车油料费、维护费、过路费、保险费。公务用车购置数0辆，公务用车保有量5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6.50万元，决算数6.50万元，预决算差异率0%，主要原因是：预决算相比无差异。其中：因公出国（境）费预算数0万元，决算数0万元，预决算差异率0%，主要原因是：预算未安排，无此项支出；公务用车购置费预算数0万元，决算数0万元，预决算差异率0%，主要原因是：预算未安排，无此项支出；公务用车运行费预算数6.50万元，决算数6.50万元，预决算差异率0%，主要原因是：预决算相比无差异；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新疆喀什地区特种设备检验检测所日常公用经费28.06万元，比上年减少2.08万元，降低6.9%，主要原因是</w:t>
      </w:r>
      <w:r>
        <w:rPr>
          <w:rFonts w:hint="eastAsia" w:ascii="仿宋_GB2312" w:hAnsi="仿宋_GB2312" w:eastAsia="仿宋_GB2312" w:cs="仿宋_GB2312"/>
          <w:sz w:val="32"/>
          <w:lang w:eastAsia="zh-CN"/>
        </w:rPr>
        <w:t>厉</w:t>
      </w:r>
      <w:r>
        <w:rPr>
          <w:rFonts w:ascii="仿宋_GB2312" w:hAnsi="仿宋_GB2312" w:eastAsia="仿宋_GB2312" w:cs="仿宋_GB2312"/>
          <w:sz w:val="32"/>
        </w:rPr>
        <w:t>行节约，压减公用支出。</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2019年度政府采购支出总额0.95万元，其中：政府采购货物支出0万元、政府采购工程支出0万元、政府采购服务支出0.95万元。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授予中小企业合同金额0.95万元，占政府采购支出总额的100%，其中：授予小微企业合同金额0万元，占政府采购支出总额的0%。</w:t>
      </w:r>
      <w:bookmarkStart w:id="54" w:name="_GoBack"/>
      <w:bookmarkEnd w:id="54"/>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8,420.88（平方米），价值1,845.47万元。车辆5辆，价值62.27万元，其中：副部（省）级及以上领导用车0辆、主要领导干部用车0辆、机要通信用车0辆、应急保障用车0辆、执法执勤用车0辆、特种专业技术用车0辆、离退休干部用车0辆、其他用车5辆，其他用车主要是：业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3个，共涉及资金190.9万元。预算绩效管理取得的成效：一是部门年度任务均在预算资金额度内完成，并通过规范的招投标及严格的资金管理及项目管理及其他创新的管理措施实现了资金的节约。三公经费均在预算范围内开支，开支范围较上年的变化节约28.16万元；二是各项工作计划均按预期计划按时完成，效益均按预期时间产生；三是预期的经济效益、社会效益、生态效益、可持续的影响均产生，相关人员的满意度达到预期目标。发现的问题及原因：一是本单位按照地委、行署的工作部署，设置了预算绩效管理工作小组，但由于时间紧任务重，绩效评价工作小组人员配置不齐全、岗位职责还没划分清晰、小组成员尚未进行专业的绩效管理相关培训，制定的年度绩效计划有部分偏差；二是资料整理不够规范，部分资料不完善。下一步改进措施：一是配置齐全工作小组人员、划分清晰岗位职责、进行专业系统的绩效管理相关培训，制定合理的年度绩效工作计划；二是进一步完善资料整理归档，做好做真做实档单管理工作。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2d7AJZRHKY4OA8ZDY+aPU0JcLM=" w:salt="jRIJuWwE33j3MYdiTownn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67A5A"/>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B2039"/>
    <w:rsid w:val="006D2B94"/>
    <w:rsid w:val="006D3853"/>
    <w:rsid w:val="006E0721"/>
    <w:rsid w:val="0070295D"/>
    <w:rsid w:val="00725755"/>
    <w:rsid w:val="0075023C"/>
    <w:rsid w:val="00750D8A"/>
    <w:rsid w:val="00764051"/>
    <w:rsid w:val="00772611"/>
    <w:rsid w:val="007741F8"/>
    <w:rsid w:val="007B0022"/>
    <w:rsid w:val="007B71CE"/>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236EA"/>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21DD"/>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8C25B2F"/>
    <w:rsid w:val="1DAF458D"/>
    <w:rsid w:val="253A0CA3"/>
    <w:rsid w:val="2A053397"/>
    <w:rsid w:val="2D1136DF"/>
    <w:rsid w:val="31C63837"/>
    <w:rsid w:val="3D5275AC"/>
    <w:rsid w:val="46901EEE"/>
    <w:rsid w:val="469C74D2"/>
    <w:rsid w:val="50DB5F45"/>
    <w:rsid w:val="620A50DC"/>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851</Words>
  <Characters>4853</Characters>
  <Lines>40</Lines>
  <Paragraphs>11</Paragraphs>
  <TotalTime>16</TotalTime>
  <ScaleCrop>false</ScaleCrop>
  <LinksUpToDate>false</LinksUpToDate>
  <CharactersWithSpaces>5693</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2023-07-11T11:39:26Z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