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beforeLines="50"/>
        <w:jc w:val="center"/>
        <w:rPr>
          <w:rFonts w:hint="eastAsia" w:ascii="方正小标宋简体" w:eastAsia="方正小标宋简体"/>
          <w:sz w:val="44"/>
          <w:szCs w:val="44"/>
        </w:rPr>
      </w:pPr>
      <w:bookmarkStart w:id="8" w:name="_GoBack"/>
      <w:bookmarkEnd w:id="8"/>
    </w:p>
    <w:p>
      <w:pPr>
        <w:spacing w:before="120"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="120"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="120" w:beforeLines="5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喀什地区地区民宗局工作经费（为民办实事经费）（第二批）项目支出绩效评价报告</w:t>
      </w:r>
    </w:p>
    <w:p>
      <w:pPr>
        <w:spacing w:before="120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="120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="120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="120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项目名称：工作经费（为民办实事经费）（第二批）项目</w:t>
      </w: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实施单位：新疆维吾尔自治区喀什地区民族宗教事务局</w:t>
      </w: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评价部门：新疆维吾尔自治区喀什地区民族宗教事务局</w:t>
      </w: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2136" w:firstLineChars="6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2848" w:firstLineChars="8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二零二零年四月</w:t>
      </w:r>
    </w:p>
    <w:p>
      <w:pPr>
        <w:spacing w:before="120" w:beforeLines="50" w:line="0" w:lineRule="atLeast"/>
        <w:jc w:val="left"/>
        <w:rPr>
          <w:sz w:val="28"/>
          <w:szCs w:val="28"/>
        </w:rPr>
      </w:pPr>
    </w:p>
    <w:p>
      <w:pPr>
        <w:spacing w:before="120" w:beforeLines="50" w:after="120" w:afterLines="50" w:line="600" w:lineRule="exact"/>
        <w:jc w:val="center"/>
        <w:rPr>
          <w:rFonts w:ascii="方正小标宋简体" w:hAnsi="仿宋_GB2312" w:eastAsia="方正小标宋简体" w:cs="仿宋_GB2312"/>
          <w:color w:val="FF0000"/>
          <w:kern w:val="0"/>
          <w:sz w:val="44"/>
          <w:szCs w:val="44"/>
          <w:shd w:val="clear" w:color="auto" w:fill="FFFFFF"/>
          <w:lang w:bidi="ar"/>
        </w:rPr>
      </w:pPr>
    </w:p>
    <w:p>
      <w:pPr>
        <w:spacing w:before="120" w:beforeLines="50" w:after="120" w:afterLines="50" w:line="600" w:lineRule="exact"/>
        <w:jc w:val="center"/>
        <w:rPr>
          <w:rFonts w:ascii="方正小标宋简体" w:hAnsi="仿宋_GB2312" w:eastAsia="方正小标宋简体" w:cs="仿宋_GB2312"/>
          <w:color w:val="FF0000"/>
          <w:kern w:val="0"/>
          <w:sz w:val="44"/>
          <w:szCs w:val="44"/>
          <w:shd w:val="clear" w:color="auto" w:fill="FFFFFF"/>
          <w:lang w:bidi="ar"/>
        </w:rPr>
      </w:pPr>
    </w:p>
    <w:p>
      <w:pPr>
        <w:spacing w:before="120" w:beforeLines="50" w:after="120" w:afterLines="50" w:line="600" w:lineRule="exact"/>
        <w:jc w:val="center"/>
        <w:rPr>
          <w:rFonts w:ascii="方正小标宋简体" w:hAnsi="仿宋_GB2312" w:eastAsia="方正小标宋简体" w:cs="仿宋_GB2312"/>
          <w:color w:val="FF0000"/>
          <w:kern w:val="0"/>
          <w:sz w:val="44"/>
          <w:szCs w:val="44"/>
          <w:shd w:val="clear" w:color="auto" w:fill="FFFFFF"/>
          <w:lang w:bidi="ar"/>
        </w:rPr>
      </w:pPr>
    </w:p>
    <w:p>
      <w:pPr>
        <w:pStyle w:val="21"/>
        <w:numPr>
          <w:ilvl w:val="0"/>
          <w:numId w:val="2"/>
        </w:numPr>
        <w:ind w:firstLineChars="0"/>
        <w:rPr>
          <w:color w:val="auto"/>
          <w:lang w:bidi="ar"/>
        </w:rPr>
      </w:pPr>
      <w:r>
        <w:rPr>
          <w:rFonts w:hint="eastAsia"/>
          <w:color w:val="auto"/>
          <w:lang w:bidi="ar"/>
        </w:rPr>
        <w:t>基本情况</w:t>
      </w:r>
    </w:p>
    <w:p>
      <w:pPr>
        <w:pStyle w:val="23"/>
        <w:ind w:left="0" w:firstLine="643" w:firstLineChars="200"/>
        <w:rPr>
          <w:color w:val="auto"/>
          <w:lang w:bidi="ar"/>
        </w:rPr>
      </w:pPr>
      <w:bookmarkStart w:id="0" w:name="_Toc26401549"/>
      <w:r>
        <w:rPr>
          <w:rFonts w:hint="eastAsia"/>
          <w:color w:val="auto"/>
          <w:lang w:bidi="ar"/>
        </w:rPr>
        <w:t>项目概况</w:t>
      </w:r>
      <w:bookmarkEnd w:id="0"/>
    </w:p>
    <w:p>
      <w:pPr>
        <w:spacing w:before="120" w:beforeLines="50" w:line="600" w:lineRule="exact"/>
        <w:ind w:firstLine="645"/>
        <w:rPr>
          <w:rFonts w:ascii="仿宋_GB2312" w:hAnsi="仿宋" w:eastAsia="仿宋_GB2312" w:cs="宋体"/>
          <w:color w:val="auto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lang w:bidi="ar"/>
        </w:rPr>
        <w:t>强化对的关心爱护，鼓励支持干事创业、奋发有为，更好的为困难群众办实事好事，引导聚焦脱贫攻坚、强化责任担当、确心、帮扶扎实、成效明显、群众满意。</w:t>
      </w:r>
      <w:r>
        <w:rPr>
          <w:rFonts w:ascii="仿宋_GB2312" w:hAnsi="仿宋" w:eastAsia="仿宋_GB2312" w:cs="宋体"/>
          <w:color w:val="auto"/>
          <w:sz w:val="32"/>
          <w:szCs w:val="32"/>
          <w:lang w:bidi="ar"/>
        </w:rPr>
        <w:t>(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bidi="ar"/>
        </w:rPr>
        <w:t>项目概况包括项目实施主体、主要内容以及立项依据、背景等内容)；</w:t>
      </w:r>
    </w:p>
    <w:p>
      <w:pPr>
        <w:pStyle w:val="17"/>
        <w:numPr>
          <w:ilvl w:val="0"/>
          <w:numId w:val="3"/>
        </w:numPr>
        <w:spacing w:before="120" w:beforeLines="50" w:line="600" w:lineRule="exact"/>
        <w:ind w:firstLineChars="0"/>
        <w:rPr>
          <w:rFonts w:ascii="仿宋_GB2312" w:hAnsi="仿宋" w:eastAsia="仿宋_GB2312" w:cs="宋体"/>
          <w:color w:val="auto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lang w:bidi="ar"/>
        </w:rPr>
        <w:t>项目背景及立项依据</w:t>
      </w:r>
    </w:p>
    <w:p>
      <w:pPr>
        <w:spacing w:before="120" w:beforeLines="50" w:line="600" w:lineRule="exact"/>
        <w:ind w:firstLine="645"/>
        <w:rPr>
          <w:rFonts w:ascii="仿宋_GB2312" w:hAnsi="仿宋" w:eastAsia="仿宋_GB2312" w:cs="宋体"/>
          <w:color w:val="auto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lang w:bidi="ar"/>
        </w:rPr>
        <w:t>本项目根据新财预（</w:t>
      </w:r>
      <w:r>
        <w:rPr>
          <w:rFonts w:ascii="仿宋_GB2312" w:hAnsi="仿宋" w:eastAsia="仿宋_GB2312" w:cs="宋体"/>
          <w:color w:val="auto"/>
          <w:sz w:val="32"/>
          <w:szCs w:val="32"/>
          <w:lang w:bidi="ar"/>
        </w:rPr>
        <w:t>2018）17 号、喀地财预（2019）51号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bidi="ar"/>
        </w:rPr>
        <w:t>文件立项，旨在我单位对口帮扶英吉沙县芒辛乡</w:t>
      </w:r>
      <w:r>
        <w:rPr>
          <w:rFonts w:ascii="仿宋_GB2312" w:hAnsi="仿宋" w:eastAsia="仿宋_GB2312" w:cs="宋体"/>
          <w:color w:val="auto"/>
          <w:sz w:val="32"/>
          <w:szCs w:val="32"/>
          <w:lang w:bidi="ar"/>
        </w:rPr>
        <w:t>1村贫困村1个，用于开展民族团结、为民办实事、脱贫攻坚等，在项目执行中及时支付拨付资金，确保措施落实到位，加快英吉沙县芒辛乡1村的脱贫进度，让村民早日走上致富道路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bidi="ar"/>
        </w:rPr>
        <w:t>。</w:t>
      </w:r>
    </w:p>
    <w:p>
      <w:pPr>
        <w:pStyle w:val="17"/>
        <w:numPr>
          <w:ilvl w:val="0"/>
          <w:numId w:val="3"/>
        </w:numPr>
        <w:spacing w:before="120" w:beforeLines="50" w:line="600" w:lineRule="exact"/>
        <w:ind w:firstLineChars="0"/>
        <w:rPr>
          <w:rFonts w:ascii="仿宋_GB2312" w:hAnsi="仿宋" w:eastAsia="仿宋_GB2312" w:cs="宋体"/>
          <w:color w:val="auto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lang w:bidi="ar"/>
        </w:rPr>
        <w:t>项目主要内容及实施情况</w:t>
      </w:r>
    </w:p>
    <w:p>
      <w:pPr>
        <w:spacing w:before="120" w:beforeLines="50" w:line="600" w:lineRule="exact"/>
        <w:ind w:firstLine="645"/>
        <w:rPr>
          <w:rFonts w:ascii="仿宋_GB2312" w:hAnsi="仿宋" w:eastAsia="仿宋_GB2312" w:cs="宋体"/>
          <w:color w:val="auto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lang w:bidi="ar"/>
        </w:rPr>
        <w:t>项目实施前进行充分调研，制定实施方案，项目实施过程中严格按照实施方案进行实施并及时进行监督管理，项目实施后进行及时验收及后期维护。</w:t>
      </w:r>
    </w:p>
    <w:p>
      <w:pPr>
        <w:tabs>
          <w:tab w:val="left" w:pos="7770"/>
        </w:tabs>
        <w:spacing w:before="120" w:beforeLines="50" w:line="600" w:lineRule="exact"/>
        <w:ind w:firstLine="645"/>
        <w:rPr>
          <w:rFonts w:ascii="仿宋_GB2312" w:hAnsi="仿宋" w:eastAsia="仿宋_GB2312" w:cs="宋体"/>
          <w:color w:val="auto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lang w:bidi="ar"/>
        </w:rPr>
        <w:t>3.项目负责人为张景恒，主要职责为负责项目的立项、实施、验收。</w:t>
      </w:r>
    </w:p>
    <w:p>
      <w:pPr>
        <w:pStyle w:val="23"/>
        <w:ind w:left="0" w:firstLine="643" w:firstLineChars="200"/>
        <w:rPr>
          <w:color w:val="auto"/>
          <w:lang w:bidi="ar"/>
        </w:rPr>
      </w:pPr>
      <w:bookmarkStart w:id="1" w:name="_Toc26401550"/>
      <w:r>
        <w:rPr>
          <w:rFonts w:hint="eastAsia"/>
          <w:color w:val="auto"/>
          <w:lang w:bidi="ar"/>
        </w:rPr>
        <w:t>资金</w:t>
      </w:r>
      <w:bookmarkEnd w:id="1"/>
      <w:r>
        <w:rPr>
          <w:rFonts w:hint="eastAsia"/>
          <w:color w:val="auto"/>
          <w:lang w:bidi="ar"/>
        </w:rPr>
        <w:t>投入和使用情况</w:t>
      </w:r>
    </w:p>
    <w:p>
      <w:pPr>
        <w:spacing w:before="120" w:beforeLines="50" w:line="600" w:lineRule="exact"/>
        <w:ind w:firstLine="645"/>
        <w:rPr>
          <w:rFonts w:ascii="仿宋_GB2312" w:hAnsi="仿宋" w:eastAsia="仿宋_GB2312" w:cs="宋体"/>
          <w:color w:val="auto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lang w:bidi="ar"/>
        </w:rPr>
        <w:t>项目资金情况包括项目预算、资金组成以及预算执行、结果等；本项目总投资5元，资金来源为本级部门预算资金5元。</w:t>
      </w:r>
    </w:p>
    <w:p>
      <w:pPr>
        <w:autoSpaceDE w:val="0"/>
        <w:autoSpaceDN w:val="0"/>
        <w:spacing w:line="540" w:lineRule="exact"/>
        <w:ind w:firstLine="632" w:firstLineChars="200"/>
        <w:rPr>
          <w:rFonts w:ascii="仿宋_GB2312" w:hAnsi="仿宋" w:eastAsia="仿宋_GB2312" w:cs="Times New Roman"/>
          <w:color w:val="auto"/>
          <w:spacing w:val="-2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pacing w:val="-2"/>
          <w:sz w:val="32"/>
          <w:szCs w:val="32"/>
        </w:rPr>
        <w:t>工作经费（为民办实事经费）（第二批）项目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bidi="ar"/>
        </w:rPr>
        <w:t>项资金的使用范围：根据《关于印发&lt;工作为民办实事工作经费使用管理办法（试行）的通知&gt;》规定的范围管理使用资金，专款专用，专账核算，确保资金安全有效地运行。</w:t>
      </w:r>
    </w:p>
    <w:p>
      <w:pPr>
        <w:spacing w:before="120" w:beforeLines="50" w:line="600" w:lineRule="exact"/>
        <w:ind w:firstLine="645"/>
        <w:rPr>
          <w:rFonts w:ascii="仿宋_GB2312" w:hAnsi="仿宋" w:eastAsia="仿宋_GB2312" w:cs="宋体"/>
          <w:color w:val="auto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lang w:bidi="ar"/>
        </w:rPr>
        <w:t>地区民宗局单位制定了工作为民办实事工作经费资金管理办法，按照地区相关文件进行使用</w:t>
      </w:r>
    </w:p>
    <w:p>
      <w:pPr>
        <w:pStyle w:val="23"/>
        <w:ind w:left="0" w:firstLine="643" w:firstLineChars="200"/>
        <w:rPr>
          <w:color w:val="auto"/>
          <w:lang w:bidi="ar"/>
        </w:rPr>
      </w:pPr>
      <w:bookmarkStart w:id="2" w:name="_Toc26401551"/>
      <w:r>
        <w:rPr>
          <w:rFonts w:hint="eastAsia"/>
          <w:color w:val="auto"/>
          <w:lang w:bidi="ar"/>
        </w:rPr>
        <w:t>绩效目标</w:t>
      </w:r>
      <w:bookmarkEnd w:id="2"/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color w:val="auto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lang w:bidi="ar"/>
        </w:rPr>
        <w:t>总体目标为：按照每个访汇聚中村</w:t>
      </w:r>
      <w:r>
        <w:rPr>
          <w:rFonts w:ascii="仿宋_GB2312" w:hAnsi="仿宋" w:eastAsia="仿宋_GB2312" w:cs="宋体"/>
          <w:color w:val="auto"/>
          <w:sz w:val="32"/>
          <w:szCs w:val="32"/>
          <w:lang w:bidi="ar"/>
        </w:rPr>
        <w:t>5万元的标准，拨付为民办实事经费，主要安排1个，用于合理使用支配工作经费，为所农民群众办实事好事，解决群众困难诉求，帮扶贫困户，长期为群众提供公共服务及文化娱乐活动等，通过该项目后期达到丰富农民文化生活、改善农民生活质量，增加农民文化素质，聚焦脱贫攻坚，助力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eastAsia="zh-CN" w:bidi="ar"/>
        </w:rPr>
        <w:t>贫困户</w:t>
      </w:r>
      <w:r>
        <w:rPr>
          <w:rFonts w:ascii="仿宋_GB2312" w:hAnsi="仿宋" w:eastAsia="仿宋_GB2312" w:cs="宋体"/>
          <w:color w:val="auto"/>
          <w:sz w:val="32"/>
          <w:szCs w:val="32"/>
          <w:lang w:bidi="ar"/>
        </w:rPr>
        <w:t>脱贫。</w:t>
      </w:r>
    </w:p>
    <w:p>
      <w:pPr>
        <w:spacing w:before="120" w:beforeLines="50" w:line="600" w:lineRule="exact"/>
        <w:rPr>
          <w:rFonts w:ascii="仿宋_GB2312" w:hAnsi="仿宋" w:eastAsia="仿宋_GB2312" w:cs="宋体"/>
          <w:color w:val="auto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lang w:bidi="ar"/>
        </w:rPr>
        <w:t xml:space="preserve"> </w:t>
      </w:r>
      <w:r>
        <w:rPr>
          <w:rFonts w:ascii="仿宋_GB2312" w:hAnsi="仿宋" w:eastAsia="仿宋_GB2312" w:cs="宋体"/>
          <w:color w:val="auto"/>
          <w:sz w:val="32"/>
          <w:szCs w:val="32"/>
          <w:lang w:bidi="ar"/>
        </w:rPr>
        <w:t xml:space="preserve">   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bidi="ar"/>
        </w:rPr>
        <w:t>项目共设置</w:t>
      </w:r>
      <w:r>
        <w:rPr>
          <w:rFonts w:ascii="仿宋_GB2312" w:hAnsi="仿宋" w:eastAsia="仿宋_GB2312" w:cs="宋体"/>
          <w:color w:val="auto"/>
          <w:sz w:val="32"/>
          <w:szCs w:val="32"/>
          <w:lang w:bidi="ar"/>
        </w:rPr>
        <w:t>1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bidi="ar"/>
        </w:rPr>
        <w:t>级指标3个，二级指标7个，三级指标9个，绩效目标申报表详见附件1。</w:t>
      </w:r>
    </w:p>
    <w:p>
      <w:pPr>
        <w:pStyle w:val="21"/>
        <w:numPr>
          <w:ilvl w:val="0"/>
          <w:numId w:val="2"/>
        </w:numPr>
        <w:ind w:firstLineChars="0"/>
        <w:rPr>
          <w:color w:val="auto"/>
          <w:lang w:bidi="ar"/>
        </w:rPr>
      </w:pPr>
      <w:bookmarkStart w:id="3" w:name="_Toc26401552"/>
      <w:r>
        <w:rPr>
          <w:rFonts w:hint="eastAsia"/>
          <w:color w:val="auto"/>
          <w:lang w:bidi="ar"/>
        </w:rPr>
        <w:t>评价工作简述</w:t>
      </w:r>
      <w:bookmarkEnd w:id="3"/>
    </w:p>
    <w:p>
      <w:pPr>
        <w:pStyle w:val="23"/>
        <w:numPr>
          <w:ilvl w:val="0"/>
          <w:numId w:val="4"/>
        </w:numPr>
        <w:ind w:left="0" w:firstLine="643" w:firstLineChars="200"/>
        <w:rPr>
          <w:color w:val="auto"/>
          <w:lang w:bidi="ar"/>
        </w:rPr>
      </w:pPr>
      <w:bookmarkStart w:id="4" w:name="_Toc26401553"/>
      <w:r>
        <w:rPr>
          <w:rFonts w:hint="eastAsia"/>
          <w:color w:val="auto"/>
          <w:lang w:bidi="ar"/>
        </w:rPr>
        <w:t>评价目的</w:t>
      </w:r>
      <w:bookmarkEnd w:id="4"/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color w:val="auto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lang w:bidi="ar"/>
        </w:rPr>
        <w:t>本次绩效评价遵循财政部《项目</w:t>
      </w:r>
      <w:r>
        <w:rPr>
          <w:rFonts w:ascii="仿宋_GB2312" w:hAnsi="仿宋" w:eastAsia="仿宋_GB2312" w:cs="宋体"/>
          <w:color w:val="auto"/>
          <w:sz w:val="32"/>
          <w:szCs w:val="32"/>
          <w:lang w:bidi="ar"/>
        </w:rPr>
        <w:t>支出绩效评价管理办法》（财预〔2020〕10号）和自治区财政厅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bidi="ar"/>
        </w:rPr>
        <w:t>《自治区财政支出绩效评价管理暂行办法》（新财预〔</w:t>
      </w:r>
      <w:r>
        <w:rPr>
          <w:rFonts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bidi="ar"/>
        </w:rPr>
        <w:t>2018〕189号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bidi="ar"/>
        </w:rPr>
        <w:t>）</w:t>
      </w:r>
      <w:r>
        <w:rPr>
          <w:rFonts w:ascii="仿宋_GB2312" w:hAnsi="仿宋" w:eastAsia="仿宋_GB2312" w:cs="宋体"/>
          <w:color w:val="auto"/>
          <w:sz w:val="32"/>
          <w:szCs w:val="32"/>
          <w:lang w:bidi="ar"/>
        </w:rPr>
        <w:t>等相关政策文件与规定，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bidi="ar"/>
        </w:rPr>
        <w:t>旨在评价工作经费（为民办实事经费）（第二批）项目实施前期、过程及效果，评价财政预算资金使用的效率及效益。开展本项目绩效评价为了</w:t>
      </w:r>
      <w:r>
        <w:rPr>
          <w:rFonts w:ascii="仿宋_GB2312" w:hAnsi="仿宋" w:eastAsia="仿宋_GB2312" w:cs="宋体"/>
          <w:color w:val="auto"/>
          <w:sz w:val="32"/>
          <w:szCs w:val="32"/>
          <w:lang w:bidi="ar"/>
        </w:rPr>
        <w:t>丰富农民文化生活、改善农民生活质量，增加农民文化素质，聚焦脱贫攻坚，助力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eastAsia="zh-CN" w:bidi="ar"/>
        </w:rPr>
        <w:t>贫困户</w:t>
      </w:r>
      <w:r>
        <w:rPr>
          <w:rFonts w:ascii="仿宋_GB2312" w:hAnsi="仿宋" w:eastAsia="仿宋_GB2312" w:cs="宋体"/>
          <w:color w:val="auto"/>
          <w:sz w:val="32"/>
          <w:szCs w:val="32"/>
          <w:lang w:bidi="ar"/>
        </w:rPr>
        <w:t>脱贫。</w:t>
      </w:r>
    </w:p>
    <w:p>
      <w:pPr>
        <w:pStyle w:val="23"/>
        <w:numPr>
          <w:ilvl w:val="0"/>
          <w:numId w:val="4"/>
        </w:numPr>
        <w:ind w:left="0" w:firstLine="643" w:firstLineChars="200"/>
        <w:rPr>
          <w:color w:val="auto"/>
          <w:lang w:bidi="ar"/>
        </w:rPr>
      </w:pPr>
      <w:r>
        <w:rPr>
          <w:rFonts w:hint="eastAsia"/>
          <w:color w:val="auto"/>
          <w:lang w:bidi="ar"/>
        </w:rPr>
        <w:t>本次绩效评价的对象及范围</w:t>
      </w:r>
      <w:bookmarkStart w:id="5" w:name="_Toc26401554"/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color w:val="auto"/>
          <w:sz w:val="32"/>
          <w:szCs w:val="32"/>
          <w:lang w:bidi="ar"/>
        </w:rPr>
      </w:pPr>
      <w:r>
        <w:rPr>
          <w:rFonts w:ascii="仿宋_GB2312" w:hAnsi="仿宋" w:eastAsia="仿宋_GB2312" w:cs="宋体"/>
          <w:color w:val="auto"/>
          <w:sz w:val="32"/>
          <w:szCs w:val="32"/>
          <w:lang w:bidi="ar"/>
        </w:rPr>
        <w:t>本次评价对象为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bidi="ar"/>
        </w:rPr>
        <w:t>工作经费（为民办实事经费）（第二批）</w:t>
      </w:r>
      <w:r>
        <w:rPr>
          <w:rFonts w:ascii="仿宋_GB2312" w:hAnsi="仿宋" w:eastAsia="仿宋_GB2312" w:cs="宋体"/>
          <w:color w:val="auto"/>
          <w:sz w:val="32"/>
          <w:szCs w:val="32"/>
          <w:lang w:bidi="ar"/>
        </w:rPr>
        <w:t>项目资金，评价范围包括专项资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bidi="ar"/>
        </w:rPr>
        <w:t>金的安排、组织及使用效益。</w:t>
      </w:r>
    </w:p>
    <w:p>
      <w:pPr>
        <w:pStyle w:val="23"/>
        <w:numPr>
          <w:ilvl w:val="0"/>
          <w:numId w:val="4"/>
        </w:numPr>
        <w:ind w:left="0" w:firstLine="643" w:firstLineChars="200"/>
        <w:rPr>
          <w:color w:val="auto"/>
          <w:lang w:bidi="ar"/>
        </w:rPr>
      </w:pPr>
      <w:r>
        <w:rPr>
          <w:rFonts w:hint="eastAsia"/>
          <w:color w:val="auto"/>
          <w:lang w:bidi="ar"/>
        </w:rPr>
        <w:t>绩效评价原则</w:t>
      </w:r>
      <w:bookmarkEnd w:id="5"/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color w:val="auto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lang w:bidi="ar"/>
        </w:rPr>
        <w:t>本次绩效评价遵循的原则包括：</w:t>
      </w:r>
    </w:p>
    <w:p>
      <w:pPr>
        <w:pStyle w:val="23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  <w:color w:val="auto"/>
          <w:lang w:bidi="ar"/>
        </w:rPr>
      </w:pPr>
      <w:r>
        <w:rPr>
          <w:rFonts w:hint="eastAsia" w:hAnsi="仿宋" w:cs="宋体"/>
          <w:b w:val="0"/>
          <w:color w:val="auto"/>
          <w:lang w:bidi="ar"/>
        </w:rPr>
        <w:t>科学公正。绩效评价应当运用科学合理的方法，按照规范的程序，对项目绩效进行客观、公正的反映。</w:t>
      </w:r>
    </w:p>
    <w:p>
      <w:pPr>
        <w:pStyle w:val="23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  <w:color w:val="auto"/>
          <w:lang w:bidi="ar"/>
        </w:rPr>
      </w:pPr>
      <w:r>
        <w:rPr>
          <w:rFonts w:hint="eastAsia" w:hAnsi="仿宋" w:cs="宋体"/>
          <w:b w:val="0"/>
          <w:color w:val="auto"/>
          <w:lang w:bidi="ar"/>
        </w:rPr>
        <w:t>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</w:p>
    <w:p>
      <w:pPr>
        <w:pStyle w:val="23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  <w:color w:val="auto"/>
          <w:lang w:bidi="ar"/>
        </w:rPr>
      </w:pPr>
      <w:r>
        <w:rPr>
          <w:rFonts w:hint="eastAsia" w:hAnsi="仿宋" w:cs="宋体"/>
          <w:b w:val="0"/>
          <w:color w:val="auto"/>
          <w:lang w:bidi="ar"/>
        </w:rPr>
        <w:t>激励约束。绩效评价结果应与预算安排、政策调整、改进管理实质性挂钩，体现奖优罚劣和激励相容导向，有效要安排、低效要压减、无效要问责。</w:t>
      </w:r>
    </w:p>
    <w:p>
      <w:pPr>
        <w:pStyle w:val="23"/>
        <w:keepNext w:val="0"/>
        <w:keepLines w:val="0"/>
        <w:numPr>
          <w:ilvl w:val="1"/>
          <w:numId w:val="5"/>
        </w:numPr>
        <w:ind w:left="0" w:firstLine="640" w:firstLineChars="200"/>
        <w:rPr>
          <w:b w:val="0"/>
          <w:color w:val="auto"/>
          <w:lang w:bidi="ar"/>
        </w:rPr>
      </w:pPr>
      <w:r>
        <w:rPr>
          <w:rFonts w:hint="eastAsia" w:hAnsi="仿宋" w:cs="宋体"/>
          <w:b w:val="0"/>
          <w:color w:val="auto"/>
          <w:lang w:bidi="ar"/>
        </w:rPr>
        <w:t>公开透明。绩效评价结果应依法依规公开，并自觉接受社会监督。</w:t>
      </w:r>
      <w:r>
        <w:rPr>
          <w:rFonts w:hint="eastAsia"/>
          <w:b w:val="0"/>
          <w:color w:val="auto"/>
          <w:lang w:bidi="ar"/>
        </w:rPr>
        <w:t>绩效评价体系</w:t>
      </w:r>
    </w:p>
    <w:p>
      <w:pPr>
        <w:pStyle w:val="23"/>
        <w:numPr>
          <w:ilvl w:val="0"/>
          <w:numId w:val="4"/>
        </w:numPr>
        <w:ind w:left="0" w:firstLine="643" w:firstLineChars="200"/>
        <w:rPr>
          <w:color w:val="auto"/>
          <w:lang w:bidi="ar"/>
        </w:rPr>
      </w:pPr>
      <w:r>
        <w:rPr>
          <w:rFonts w:hint="eastAsia"/>
          <w:color w:val="auto"/>
          <w:lang w:bidi="ar"/>
        </w:rPr>
        <w:t>本项目绩效评价体系</w:t>
      </w:r>
    </w:p>
    <w:p>
      <w:pPr>
        <w:pStyle w:val="23"/>
        <w:numPr>
          <w:ilvl w:val="0"/>
          <w:numId w:val="0"/>
        </w:numPr>
        <w:ind w:firstLine="640" w:firstLineChars="200"/>
        <w:rPr>
          <w:b w:val="0"/>
          <w:color w:val="auto"/>
          <w:lang w:bidi="ar"/>
        </w:rPr>
      </w:pPr>
      <w:r>
        <w:rPr>
          <w:rFonts w:hint="eastAsia"/>
          <w:b w:val="0"/>
          <w:color w:val="auto"/>
          <w:lang w:bidi="ar"/>
        </w:rPr>
        <w:t>本项目绩效评价体系为根据财预</w:t>
      </w:r>
      <w:r>
        <w:rPr>
          <w:rFonts w:hint="eastAsia" w:ascii="仿宋" w:hAnsi="仿宋" w:eastAsia="仿宋"/>
          <w:b w:val="0"/>
          <w:color w:val="auto"/>
          <w:lang w:bidi="ar"/>
        </w:rPr>
        <w:t>﹝</w:t>
      </w:r>
      <w:r>
        <w:rPr>
          <w:rFonts w:hint="eastAsia"/>
          <w:b w:val="0"/>
          <w:color w:val="auto"/>
          <w:lang w:bidi="ar"/>
        </w:rPr>
        <w:t>2</w:t>
      </w:r>
      <w:r>
        <w:rPr>
          <w:b w:val="0"/>
          <w:color w:val="auto"/>
          <w:lang w:bidi="ar"/>
        </w:rPr>
        <w:t>020</w:t>
      </w:r>
      <w:r>
        <w:rPr>
          <w:rFonts w:hint="eastAsia" w:ascii="仿宋" w:hAnsi="仿宋" w:eastAsia="仿宋"/>
          <w:b w:val="0"/>
          <w:color w:val="auto"/>
          <w:lang w:bidi="ar"/>
        </w:rPr>
        <w:t>﹞</w:t>
      </w:r>
      <w:r>
        <w:rPr>
          <w:rFonts w:hint="eastAsia"/>
          <w:b w:val="0"/>
          <w:color w:val="auto"/>
          <w:lang w:bidi="ar"/>
        </w:rPr>
        <w:t>1</w:t>
      </w:r>
      <w:r>
        <w:rPr>
          <w:b w:val="0"/>
          <w:color w:val="auto"/>
          <w:lang w:bidi="ar"/>
        </w:rPr>
        <w:t>0</w:t>
      </w:r>
      <w:r>
        <w:rPr>
          <w:rFonts w:hint="eastAsia"/>
          <w:b w:val="0"/>
          <w:color w:val="auto"/>
          <w:lang w:bidi="ar"/>
        </w:rPr>
        <w:t>号共性指标及个性化指标设置，详见附件2。</w:t>
      </w:r>
    </w:p>
    <w:p>
      <w:pPr>
        <w:pStyle w:val="23"/>
        <w:keepNext w:val="0"/>
        <w:keepLines w:val="0"/>
        <w:numPr>
          <w:ilvl w:val="0"/>
          <w:numId w:val="4"/>
        </w:numPr>
        <w:ind w:left="0" w:firstLine="643" w:firstLineChars="200"/>
        <w:rPr>
          <w:color w:val="auto"/>
          <w:lang w:bidi="ar"/>
        </w:rPr>
      </w:pPr>
      <w:bookmarkStart w:id="6" w:name="_Toc26401555"/>
      <w:r>
        <w:rPr>
          <w:rFonts w:hint="eastAsia"/>
          <w:color w:val="auto"/>
          <w:lang w:bidi="ar"/>
        </w:rPr>
        <w:t>绩效评价方法</w:t>
      </w:r>
      <w:bookmarkEnd w:id="6"/>
    </w:p>
    <w:p>
      <w:pPr>
        <w:spacing w:before="120" w:beforeLines="50" w:line="600" w:lineRule="exact"/>
        <w:ind w:firstLine="645"/>
        <w:rPr>
          <w:rFonts w:ascii="仿宋_GB2312" w:hAnsi="仿宋" w:eastAsia="仿宋_GB2312" w:cs="宋体"/>
          <w:color w:val="auto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lang w:bidi="ar"/>
        </w:rPr>
        <w:t>本次绩效评价方法的选用坚持简便有效的原则采用成本效益分析法、比较法、因素分析法、最低成本法、问卷调查法、综合分析法。</w:t>
      </w:r>
    </w:p>
    <w:p>
      <w:pPr>
        <w:pStyle w:val="23"/>
        <w:keepNext w:val="0"/>
        <w:keepLines w:val="0"/>
        <w:numPr>
          <w:ilvl w:val="0"/>
          <w:numId w:val="4"/>
        </w:numPr>
        <w:ind w:left="0" w:firstLine="643" w:firstLineChars="200"/>
        <w:rPr>
          <w:color w:val="auto"/>
          <w:lang w:bidi="ar"/>
        </w:rPr>
      </w:pPr>
      <w:r>
        <w:rPr>
          <w:rFonts w:hint="eastAsia"/>
          <w:color w:val="auto"/>
          <w:lang w:bidi="ar"/>
        </w:rPr>
        <w:t>评价标准</w:t>
      </w:r>
    </w:p>
    <w:p>
      <w:pPr>
        <w:pStyle w:val="23"/>
        <w:keepNext w:val="0"/>
        <w:keepLines w:val="0"/>
        <w:numPr>
          <w:ilvl w:val="0"/>
          <w:numId w:val="0"/>
        </w:numPr>
        <w:rPr>
          <w:b w:val="0"/>
          <w:color w:val="auto"/>
          <w:lang w:bidi="ar"/>
        </w:rPr>
      </w:pPr>
      <w:r>
        <w:rPr>
          <w:rFonts w:hint="eastAsia"/>
          <w:color w:val="auto"/>
          <w:lang w:bidi="ar"/>
        </w:rPr>
        <w:t xml:space="preserve"> </w:t>
      </w:r>
      <w:r>
        <w:rPr>
          <w:b w:val="0"/>
          <w:color w:val="auto"/>
          <w:lang w:bidi="ar"/>
        </w:rPr>
        <w:t xml:space="preserve">   </w:t>
      </w:r>
      <w:r>
        <w:rPr>
          <w:rFonts w:hint="eastAsia"/>
          <w:b w:val="0"/>
          <w:color w:val="auto"/>
          <w:lang w:bidi="ar"/>
        </w:rPr>
        <w:t>项目评价标准采用</w:t>
      </w:r>
      <w:r>
        <w:rPr>
          <w:rFonts w:hint="eastAsia"/>
          <w:b w:val="0"/>
          <w:bCs w:val="0"/>
          <w:color w:val="auto"/>
        </w:rPr>
        <w:t>计划标准</w:t>
      </w:r>
    </w:p>
    <w:p>
      <w:pPr>
        <w:pStyle w:val="23"/>
        <w:keepNext w:val="0"/>
        <w:keepLines w:val="0"/>
        <w:numPr>
          <w:ilvl w:val="0"/>
          <w:numId w:val="4"/>
        </w:numPr>
        <w:ind w:left="0" w:firstLine="643" w:firstLineChars="200"/>
        <w:rPr>
          <w:color w:val="auto"/>
          <w:lang w:bidi="ar"/>
        </w:rPr>
      </w:pPr>
      <w:r>
        <w:rPr>
          <w:rFonts w:hint="eastAsia"/>
          <w:color w:val="auto"/>
          <w:lang w:bidi="ar"/>
        </w:rPr>
        <w:t>绩效评价工作过程</w:t>
      </w:r>
    </w:p>
    <w:p>
      <w:pPr>
        <w:pStyle w:val="23"/>
        <w:keepNext w:val="0"/>
        <w:keepLines w:val="0"/>
        <w:numPr>
          <w:ilvl w:val="0"/>
          <w:numId w:val="0"/>
        </w:numPr>
        <w:ind w:firstLine="640" w:firstLineChars="200"/>
        <w:outlineLvl w:val="9"/>
        <w:rPr>
          <w:b w:val="0"/>
          <w:bCs w:val="0"/>
          <w:color w:val="auto"/>
          <w:lang w:bidi="ar"/>
        </w:rPr>
      </w:pPr>
      <w:r>
        <w:rPr>
          <w:rFonts w:hint="eastAsia"/>
          <w:b w:val="0"/>
          <w:bCs w:val="0"/>
          <w:color w:val="auto"/>
          <w:lang w:bidi="ar"/>
        </w:rPr>
        <w:t>本次评价成立了评价，成员如下：</w:t>
      </w:r>
    </w:p>
    <w:tbl>
      <w:tblPr>
        <w:tblStyle w:val="13"/>
        <w:tblW w:w="82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color w:val="auto"/>
                <w:lang w:bidi="ar"/>
              </w:rPr>
            </w:pPr>
            <w:r>
              <w:rPr>
                <w:rFonts w:hint="eastAsia"/>
                <w:b w:val="0"/>
                <w:bCs w:val="0"/>
                <w:color w:val="auto"/>
                <w:lang w:bidi="ar"/>
              </w:rPr>
              <w:t>评价人</w:t>
            </w:r>
          </w:p>
        </w:tc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color w:val="auto"/>
                <w:lang w:bidi="ar"/>
              </w:rPr>
            </w:pPr>
            <w:r>
              <w:rPr>
                <w:rFonts w:hint="eastAsia"/>
                <w:b w:val="0"/>
                <w:bCs w:val="0"/>
                <w:color w:val="auto"/>
                <w:lang w:bidi="ar"/>
              </w:rPr>
              <w:t>职责</w:t>
            </w:r>
          </w:p>
        </w:tc>
        <w:tc>
          <w:tcPr>
            <w:tcW w:w="2766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color w:val="auto"/>
                <w:lang w:bidi="ar"/>
              </w:rPr>
            </w:pPr>
            <w:r>
              <w:rPr>
                <w:rFonts w:hint="eastAsia"/>
                <w:b w:val="0"/>
                <w:bCs w:val="0"/>
                <w:color w:val="auto"/>
                <w:lang w:bidi="ar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color w:val="auto"/>
                <w:lang w:bidi="ar"/>
              </w:rPr>
            </w:pPr>
            <w:r>
              <w:rPr>
                <w:rFonts w:hint="eastAsia"/>
                <w:b w:val="0"/>
                <w:bCs w:val="0"/>
                <w:color w:val="auto"/>
                <w:lang w:bidi="ar"/>
              </w:rPr>
              <w:t>张景恒</w:t>
            </w:r>
          </w:p>
        </w:tc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color w:val="auto"/>
                <w:lang w:bidi="ar"/>
              </w:rPr>
            </w:pPr>
            <w:r>
              <w:rPr>
                <w:rFonts w:hint="eastAsia"/>
                <w:b w:val="0"/>
                <w:bCs w:val="0"/>
                <w:color w:val="auto"/>
                <w:lang w:bidi="ar"/>
              </w:rPr>
              <w:t>评价组组长</w:t>
            </w:r>
          </w:p>
        </w:tc>
        <w:tc>
          <w:tcPr>
            <w:tcW w:w="2766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color w:val="auto"/>
                <w:lang w:bidi="ar"/>
              </w:rPr>
            </w:pPr>
            <w:r>
              <w:rPr>
                <w:rFonts w:hint="eastAsia"/>
                <w:b w:val="0"/>
                <w:bCs w:val="0"/>
                <w:color w:val="auto"/>
                <w:lang w:bidi="ar"/>
              </w:rPr>
              <w:t>县处级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color w:val="auto"/>
                <w:lang w:bidi="ar"/>
              </w:rPr>
            </w:pPr>
            <w:r>
              <w:rPr>
                <w:rFonts w:hint="eastAsia"/>
                <w:b w:val="0"/>
                <w:bCs w:val="0"/>
                <w:color w:val="auto"/>
                <w:lang w:bidi="ar"/>
              </w:rPr>
              <w:t>陈锦</w:t>
            </w:r>
          </w:p>
        </w:tc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color w:val="auto"/>
                <w:lang w:bidi="ar"/>
              </w:rPr>
            </w:pPr>
            <w:r>
              <w:rPr>
                <w:rFonts w:hint="eastAsia"/>
                <w:b w:val="0"/>
                <w:bCs w:val="0"/>
                <w:color w:val="auto"/>
                <w:lang w:bidi="ar"/>
              </w:rPr>
              <w:t>评价组成员</w:t>
            </w:r>
          </w:p>
        </w:tc>
        <w:tc>
          <w:tcPr>
            <w:tcW w:w="2766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color w:val="auto"/>
                <w:lang w:bidi="ar"/>
              </w:rPr>
            </w:pPr>
            <w:r>
              <w:rPr>
                <w:rFonts w:hint="eastAsia"/>
                <w:b w:val="0"/>
                <w:bCs w:val="0"/>
                <w:color w:val="auto"/>
                <w:lang w:bidi="ar"/>
              </w:rPr>
              <w:t>副科级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color w:val="auto"/>
                <w:lang w:bidi="ar"/>
              </w:rPr>
            </w:pPr>
            <w:r>
              <w:rPr>
                <w:rFonts w:hint="eastAsia"/>
                <w:b w:val="0"/>
                <w:bCs w:val="0"/>
                <w:color w:val="auto"/>
                <w:lang w:bidi="ar"/>
              </w:rPr>
              <w:t>李志杰</w:t>
            </w:r>
          </w:p>
        </w:tc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color w:val="auto"/>
                <w:lang w:bidi="ar"/>
              </w:rPr>
            </w:pPr>
            <w:r>
              <w:rPr>
                <w:rFonts w:hint="eastAsia"/>
                <w:b w:val="0"/>
                <w:bCs w:val="0"/>
                <w:color w:val="auto"/>
                <w:lang w:bidi="ar"/>
              </w:rPr>
              <w:t>评价组成员</w:t>
            </w:r>
          </w:p>
        </w:tc>
        <w:tc>
          <w:tcPr>
            <w:tcW w:w="2766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color w:val="auto"/>
                <w:lang w:bidi="ar"/>
              </w:rPr>
            </w:pPr>
            <w:r>
              <w:rPr>
                <w:rFonts w:hint="eastAsia"/>
                <w:b w:val="0"/>
                <w:bCs w:val="0"/>
                <w:color w:val="auto"/>
                <w:lang w:bidi="ar"/>
              </w:rPr>
              <w:t>副科级</w:t>
            </w:r>
          </w:p>
        </w:tc>
      </w:tr>
    </w:tbl>
    <w:p>
      <w:pPr>
        <w:pStyle w:val="23"/>
        <w:keepNext w:val="0"/>
        <w:keepLines w:val="0"/>
        <w:numPr>
          <w:ilvl w:val="0"/>
          <w:numId w:val="0"/>
        </w:numPr>
        <w:ind w:firstLine="640" w:firstLineChars="200"/>
        <w:outlineLvl w:val="9"/>
        <w:rPr>
          <w:b w:val="0"/>
          <w:bCs w:val="0"/>
          <w:color w:val="auto"/>
          <w:lang w:bidi="ar"/>
        </w:rPr>
      </w:pPr>
      <w:r>
        <w:rPr>
          <w:rFonts w:hint="eastAsia"/>
          <w:b w:val="0"/>
          <w:bCs w:val="0"/>
          <w:color w:val="auto"/>
          <w:lang w:bidi="ar"/>
        </w:rPr>
        <w:t>本次评价设计了评价方案、评价指标体系，通过资料分析、调研、访谈满意度调查等方式形成评价结论，在与项目单位沟通后确定评价意见，并出具评价报告。　</w:t>
      </w:r>
    </w:p>
    <w:p>
      <w:pPr>
        <w:pStyle w:val="21"/>
        <w:numPr>
          <w:ilvl w:val="0"/>
          <w:numId w:val="2"/>
        </w:numPr>
        <w:ind w:firstLineChars="0"/>
        <w:rPr>
          <w:color w:val="auto"/>
          <w:lang w:bidi="ar"/>
        </w:rPr>
      </w:pPr>
      <w:bookmarkStart w:id="7" w:name="_Toc26401558"/>
      <w:r>
        <w:rPr>
          <w:rFonts w:hint="eastAsia" w:ascii="黑体" w:hAnsi="黑体"/>
          <w:color w:val="auto"/>
        </w:rPr>
        <w:t>综合评价情况及评价结论</w:t>
      </w:r>
      <w:r>
        <w:rPr>
          <w:rFonts w:hint="eastAsia" w:ascii="仿宋_GB2312"/>
          <w:color w:val="auto"/>
        </w:rPr>
        <w:t>（附相关评分表）</w:t>
      </w:r>
    </w:p>
    <w:p>
      <w:pPr>
        <w:pStyle w:val="21"/>
        <w:ind w:firstLine="640"/>
        <w:rPr>
          <w:rFonts w:ascii="仿宋_GB2312" w:eastAsia="仿宋_GB2312" w:hAnsiTheme="majorHAnsi"/>
          <w:b w:val="0"/>
          <w:bCs w:val="0"/>
          <w:color w:val="auto"/>
          <w:kern w:val="2"/>
          <w:lang w:bidi="ar"/>
        </w:rPr>
      </w:pPr>
      <w:r>
        <w:rPr>
          <w:rFonts w:hint="eastAsia" w:ascii="仿宋_GB2312" w:eastAsia="仿宋_GB2312" w:hAnsiTheme="majorHAnsi"/>
          <w:b w:val="0"/>
          <w:bCs w:val="0"/>
          <w:color w:val="auto"/>
          <w:kern w:val="2"/>
          <w:lang w:bidi="ar"/>
        </w:rPr>
        <w:t>经评价组通过实地调研、资料分析等方式，采用综合分析法、成本效益分析法、最低成本法、标杆管理法（根据实际情况去留）等对项目的决策、管理、绩效进行的综合评价分析，项目得分为100分，评价结果为优，详见附件4。</w:t>
      </w:r>
    </w:p>
    <w:p>
      <w:pPr>
        <w:pStyle w:val="21"/>
        <w:numPr>
          <w:ilvl w:val="0"/>
          <w:numId w:val="2"/>
        </w:numPr>
        <w:ind w:firstLineChars="0"/>
        <w:rPr>
          <w:color w:val="auto"/>
          <w:lang w:bidi="ar"/>
        </w:rPr>
      </w:pPr>
      <w:r>
        <w:rPr>
          <w:rFonts w:hint="eastAsia"/>
          <w:color w:val="auto"/>
          <w:lang w:bidi="ar"/>
        </w:rPr>
        <w:t>绩效评价指标分析</w:t>
      </w:r>
      <w:bookmarkEnd w:id="7"/>
    </w:p>
    <w:p>
      <w:pPr>
        <w:pStyle w:val="17"/>
        <w:numPr>
          <w:ilvl w:val="0"/>
          <w:numId w:val="6"/>
        </w:numPr>
        <w:spacing w:before="120" w:beforeLines="50" w:line="600" w:lineRule="exact"/>
        <w:ind w:left="0" w:firstLine="643"/>
        <w:rPr>
          <w:rFonts w:ascii="仿宋_GB2312" w:hAnsi="仿宋" w:eastAsia="仿宋_GB2312" w:cs="宋体"/>
          <w:b/>
          <w:bCs/>
          <w:color w:val="auto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/>
          <w:bCs/>
          <w:color w:val="auto"/>
          <w:sz w:val="32"/>
          <w:szCs w:val="32"/>
          <w:lang w:bidi="ar"/>
        </w:rPr>
        <w:t>项目的决策情况</w:t>
      </w:r>
    </w:p>
    <w:p>
      <w:pPr>
        <w:pStyle w:val="26"/>
        <w:ind w:firstLine="640"/>
        <w:rPr>
          <w:rFonts w:ascii="仿宋_GB2312" w:hAnsi="仿宋" w:cs="宋体"/>
          <w:color w:val="auto"/>
          <w:sz w:val="32"/>
          <w:szCs w:val="32"/>
          <w:lang w:bidi="ar"/>
        </w:rPr>
      </w:pPr>
      <w:r>
        <w:rPr>
          <w:rFonts w:hint="eastAsia" w:ascii="仿宋_GB2312" w:hAnsi="仿宋" w:cs="宋体"/>
          <w:color w:val="auto"/>
          <w:sz w:val="32"/>
          <w:szCs w:val="32"/>
          <w:lang w:bidi="ar"/>
        </w:rPr>
        <w:t>本项目的立项符合相关法规政策及部门职责，依据充分；项目按照规定的程序申请设立；审批文件、材料符合相关要求；项目前期已经过必要的可行性研究绩效评估、集体决策。</w:t>
      </w:r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color w:val="auto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lang w:bidi="ar"/>
        </w:rPr>
        <w:t>项目根据相关文件要求设置了绩效目标，项目绩效目标基本合理，与实际工作内容相关；项目预期产出效益和效果符合正常的业绩水平；与预算确定的项目投资额或资金量相匹配。将项目绩效目标细化分解为具体的绩效指标；通过清晰、可衡量的指标值予以体现；与项目目标任务数或计划数相对应。</w:t>
      </w:r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color w:val="auto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lang w:bidi="ar"/>
        </w:rPr>
        <w:t>项目在资金投入方面，预算编制经过科学论证、有明确标准，资金额度与年度目标相适应，用以反映和考核项目预算编制的科学性、合理性情况。项目预算资金分配有测算依据，与补助单位或地方实际相适应。</w:t>
      </w:r>
    </w:p>
    <w:p>
      <w:pPr>
        <w:pStyle w:val="17"/>
        <w:numPr>
          <w:ilvl w:val="0"/>
          <w:numId w:val="6"/>
        </w:numPr>
        <w:spacing w:before="120" w:beforeLines="50" w:line="600" w:lineRule="exact"/>
        <w:ind w:left="0" w:firstLine="643"/>
        <w:rPr>
          <w:rFonts w:ascii="仿宋_GB2312" w:hAnsi="仿宋" w:eastAsia="仿宋_GB2312" w:cs="宋体"/>
          <w:b/>
          <w:bCs/>
          <w:color w:val="auto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/>
          <w:bCs/>
          <w:color w:val="auto"/>
          <w:sz w:val="32"/>
          <w:szCs w:val="32"/>
          <w:lang w:bidi="ar"/>
        </w:rPr>
        <w:t>项目的过程情况</w:t>
      </w:r>
    </w:p>
    <w:p>
      <w:pPr>
        <w:spacing w:line="500" w:lineRule="exact"/>
        <w:ind w:firstLine="645"/>
        <w:rPr>
          <w:rFonts w:ascii="仿宋_GB2312" w:hAnsi="仿宋" w:eastAsia="仿宋_GB2312" w:cs="宋体"/>
          <w:color w:val="auto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lang w:bidi="ar"/>
        </w:rPr>
        <w:t>在资金管理方面，项目资金到位足额及时，及时支付，资金使用符合国家法规和财务管理制度；资金拨付有完整的审批程序和手续，符合项目预算批复或合同规定的用途；不存在在截留、挤占、挪用、虚列支出等情况。</w:t>
      </w:r>
    </w:p>
    <w:p>
      <w:pPr>
        <w:spacing w:line="500" w:lineRule="exact"/>
        <w:ind w:firstLine="645"/>
        <w:rPr>
          <w:rFonts w:ascii="仿宋_GB2312" w:hAnsi="仿宋" w:eastAsia="仿宋_GB2312" w:cs="宋体"/>
          <w:color w:val="auto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lang w:bidi="ar"/>
        </w:rPr>
        <w:t>在项目组织实施方面，项目单位已制定或具有相应的财务和业务管理制度，财务和业务管理制度合法、合规、完整。项目实施遵守相关法律法规和相关管理规定。</w:t>
      </w:r>
    </w:p>
    <w:p>
      <w:pPr>
        <w:spacing w:line="500" w:lineRule="exact"/>
        <w:ind w:firstLine="645"/>
        <w:rPr>
          <w:rFonts w:ascii="仿宋_GB2312" w:hAnsi="仿宋" w:eastAsia="仿宋_GB2312" w:cs="宋体"/>
          <w:color w:val="auto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lang w:bidi="ar"/>
        </w:rPr>
        <w:t>项目调整及支出调整手续完备，项目合同书、验收报告、技术鉴定等资料齐全并及时归档，项目实施的人员条件、场地设备、信息支撑等落实到位。</w:t>
      </w:r>
    </w:p>
    <w:p>
      <w:pPr>
        <w:pStyle w:val="17"/>
        <w:numPr>
          <w:ilvl w:val="0"/>
          <w:numId w:val="6"/>
        </w:numPr>
        <w:spacing w:before="120" w:beforeLines="50" w:line="600" w:lineRule="exact"/>
        <w:ind w:left="0" w:firstLine="643"/>
        <w:rPr>
          <w:rFonts w:ascii="仿宋_GB2312" w:hAnsi="仿宋" w:eastAsia="仿宋_GB2312" w:cs="宋体"/>
          <w:b/>
          <w:bCs/>
          <w:color w:val="auto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/>
          <w:bCs/>
          <w:color w:val="auto"/>
          <w:sz w:val="32"/>
          <w:szCs w:val="32"/>
          <w:lang w:bidi="ar"/>
        </w:rPr>
        <w:t>项目产出情况</w:t>
      </w:r>
    </w:p>
    <w:p>
      <w:pPr>
        <w:spacing w:before="120" w:beforeLines="50" w:line="600" w:lineRule="exact"/>
        <w:ind w:firstLine="66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项目产出数量为安排数</w:t>
      </w:r>
      <w:r>
        <w:rPr>
          <w:rFonts w:ascii="仿宋_GB2312" w:eastAsia="仿宋_GB2312"/>
          <w:color w:val="auto"/>
          <w:sz w:val="32"/>
          <w:szCs w:val="32"/>
        </w:rPr>
        <w:t>(个）</w:t>
      </w:r>
      <w:r>
        <w:rPr>
          <w:rFonts w:hint="eastAsia" w:ascii="仿宋_GB2312" w:eastAsia="仿宋_GB2312"/>
          <w:color w:val="auto"/>
          <w:sz w:val="32"/>
          <w:szCs w:val="32"/>
        </w:rPr>
        <w:t>，预期指标值为1个，实际完成值为1，指标达到预期目标</w:t>
      </w:r>
    </w:p>
    <w:p>
      <w:pPr>
        <w:spacing w:before="120" w:beforeLines="50" w:line="600" w:lineRule="exact"/>
        <w:ind w:firstLine="66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项目产出数量为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覆盖</w:t>
      </w:r>
      <w:r>
        <w:rPr>
          <w:rFonts w:hint="eastAsia" w:ascii="仿宋_GB2312" w:eastAsia="仿宋_GB2312"/>
          <w:color w:val="auto"/>
          <w:sz w:val="32"/>
          <w:szCs w:val="32"/>
        </w:rPr>
        <w:t>数（个），预期指标值为160个，实际完成值为160，指标达到预期目标</w:t>
      </w:r>
    </w:p>
    <w:p>
      <w:pPr>
        <w:spacing w:before="120" w:beforeLines="50" w:line="600" w:lineRule="exact"/>
        <w:ind w:firstLine="66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项目产出质量为资金拨付率（≥</w:t>
      </w:r>
      <w:r>
        <w:rPr>
          <w:rFonts w:ascii="仿宋_GB2312" w:eastAsia="仿宋_GB2312"/>
          <w:color w:val="auto"/>
          <w:sz w:val="32"/>
          <w:szCs w:val="32"/>
        </w:rPr>
        <w:t>*%）</w:t>
      </w:r>
      <w:r>
        <w:rPr>
          <w:rFonts w:hint="eastAsia" w:ascii="仿宋_GB2312" w:eastAsia="仿宋_GB2312"/>
          <w:color w:val="auto"/>
          <w:sz w:val="32"/>
          <w:szCs w:val="32"/>
        </w:rPr>
        <w:t>，预期指标值为100%，实际完成值为100%，指标达到预期目标。</w:t>
      </w:r>
    </w:p>
    <w:p>
      <w:pPr>
        <w:spacing w:before="120" w:beforeLines="50" w:line="600" w:lineRule="exact"/>
        <w:ind w:firstLine="66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项目产出时效为资金拨付及时率（≥</w:t>
      </w:r>
      <w:r>
        <w:rPr>
          <w:rFonts w:ascii="仿宋_GB2312" w:eastAsia="仿宋_GB2312"/>
          <w:color w:val="auto"/>
          <w:sz w:val="32"/>
          <w:szCs w:val="32"/>
        </w:rPr>
        <w:t>*%）</w:t>
      </w:r>
      <w:r>
        <w:rPr>
          <w:rFonts w:hint="eastAsia" w:ascii="仿宋_GB2312" w:eastAsia="仿宋_GB2312"/>
          <w:color w:val="auto"/>
          <w:sz w:val="32"/>
          <w:szCs w:val="32"/>
        </w:rPr>
        <w:t>，预期指标值为100%，实际完成值为100%，达到预期目标</w:t>
      </w:r>
    </w:p>
    <w:p>
      <w:pPr>
        <w:spacing w:before="120" w:beforeLines="50" w:line="600" w:lineRule="exact"/>
        <w:ind w:firstLine="66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项目产出成本指标为为民办实事经费标准（元），预期指标值为50000，实际完成值为</w:t>
      </w:r>
      <w:r>
        <w:rPr>
          <w:rFonts w:ascii="仿宋_GB2312" w:eastAsia="仿宋_GB2312"/>
          <w:color w:val="auto"/>
          <w:sz w:val="32"/>
          <w:szCs w:val="32"/>
        </w:rPr>
        <w:t>25208</w:t>
      </w:r>
      <w:r>
        <w:rPr>
          <w:rFonts w:hint="eastAsia" w:ascii="仿宋_GB2312" w:eastAsia="仿宋_GB2312"/>
          <w:color w:val="auto"/>
          <w:sz w:val="32"/>
          <w:szCs w:val="32"/>
        </w:rPr>
        <w:t>，达到预期目标。（因本村为新拆分村，部分资金未使用完毕，剩余资金已返还财政）</w:t>
      </w:r>
    </w:p>
    <w:p>
      <w:pPr>
        <w:pStyle w:val="17"/>
        <w:numPr>
          <w:ilvl w:val="0"/>
          <w:numId w:val="6"/>
        </w:numPr>
        <w:spacing w:before="120" w:beforeLines="50" w:line="600" w:lineRule="exact"/>
        <w:ind w:left="0" w:firstLine="643"/>
        <w:rPr>
          <w:rFonts w:ascii="仿宋_GB2312" w:hAnsi="仿宋" w:eastAsia="仿宋_GB2312" w:cs="宋体"/>
          <w:b/>
          <w:bCs/>
          <w:color w:val="auto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/>
          <w:bCs/>
          <w:color w:val="auto"/>
          <w:sz w:val="32"/>
          <w:szCs w:val="32"/>
          <w:lang w:bidi="ar"/>
        </w:rPr>
        <w:t>项目效益情况</w:t>
      </w:r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bCs/>
          <w:color w:val="auto"/>
          <w:sz w:val="32"/>
          <w:szCs w:val="32"/>
          <w:lang w:bidi="ar"/>
        </w:rPr>
      </w:pPr>
      <w:r>
        <w:rPr>
          <w:rFonts w:ascii="仿宋_GB2312" w:hAnsi="仿宋" w:eastAsia="仿宋_GB2312" w:cs="宋体"/>
          <w:bCs/>
          <w:color w:val="auto"/>
          <w:sz w:val="32"/>
          <w:szCs w:val="32"/>
          <w:lang w:bidi="ar"/>
        </w:rPr>
        <w:t xml:space="preserve"> </w:t>
      </w:r>
      <w:r>
        <w:rPr>
          <w:rFonts w:hint="eastAsia" w:ascii="仿宋_GB2312" w:hAnsi="仿宋" w:eastAsia="仿宋_GB2312" w:cs="宋体"/>
          <w:bCs/>
          <w:color w:val="auto"/>
          <w:sz w:val="32"/>
          <w:szCs w:val="32"/>
          <w:lang w:bidi="ar"/>
        </w:rPr>
        <w:t>项目实施产生的经济效益</w:t>
      </w:r>
      <w:r>
        <w:rPr>
          <w:rFonts w:hint="eastAsia" w:ascii="仿宋_GB2312" w:eastAsia="仿宋_GB2312"/>
          <w:color w:val="auto"/>
          <w:sz w:val="32"/>
          <w:szCs w:val="32"/>
        </w:rPr>
        <w:t>指标为及时解决群众困难，提升群众幸福指数。预期指标值为有效提升，实际完成值为100%</w:t>
      </w:r>
      <w:r>
        <w:rPr>
          <w:rFonts w:hint="eastAsia" w:ascii="仿宋_GB2312" w:hAnsi="仿宋" w:eastAsia="仿宋_GB2312" w:cs="宋体"/>
          <w:bCs/>
          <w:color w:val="auto"/>
          <w:sz w:val="32"/>
          <w:szCs w:val="32"/>
          <w:lang w:bidi="ar"/>
        </w:rPr>
        <w:t>，达到了预期目标</w:t>
      </w:r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bCs/>
          <w:color w:val="auto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Cs/>
          <w:color w:val="auto"/>
          <w:sz w:val="32"/>
          <w:szCs w:val="32"/>
          <w:lang w:bidi="ar"/>
        </w:rPr>
        <w:t>项目的可持续效益效益</w:t>
      </w:r>
      <w:r>
        <w:rPr>
          <w:rFonts w:hint="eastAsia" w:ascii="仿宋_GB2312" w:eastAsia="仿宋_GB2312"/>
          <w:color w:val="auto"/>
          <w:sz w:val="32"/>
          <w:szCs w:val="32"/>
        </w:rPr>
        <w:t>指标为持续为群众提供公共服务能力，预期指标值为长期，实际完成值为长期</w:t>
      </w:r>
      <w:r>
        <w:rPr>
          <w:rFonts w:hint="eastAsia" w:ascii="仿宋_GB2312" w:hAnsi="仿宋" w:eastAsia="仿宋_GB2312" w:cs="宋体"/>
          <w:bCs/>
          <w:color w:val="auto"/>
          <w:sz w:val="32"/>
          <w:szCs w:val="32"/>
          <w:lang w:bidi="ar"/>
        </w:rPr>
        <w:t>，达到了预期目标</w:t>
      </w:r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bCs/>
          <w:color w:val="auto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Cs/>
          <w:color w:val="auto"/>
          <w:sz w:val="32"/>
          <w:szCs w:val="32"/>
          <w:lang w:bidi="ar"/>
        </w:rPr>
        <w:t>经问卷调查，受益县市满意度为：达到了预期目标。</w:t>
      </w:r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bCs/>
          <w:color w:val="auto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Cs/>
          <w:color w:val="auto"/>
          <w:sz w:val="32"/>
          <w:szCs w:val="32"/>
          <w:lang w:bidi="ar"/>
        </w:rPr>
        <w:t>经问卷调查，受益村民满意度为：达到了预期目标。</w:t>
      </w:r>
    </w:p>
    <w:p>
      <w:pPr>
        <w:pStyle w:val="21"/>
        <w:numPr>
          <w:ilvl w:val="0"/>
          <w:numId w:val="2"/>
        </w:numPr>
        <w:ind w:firstLineChars="0"/>
        <w:rPr>
          <w:color w:val="auto"/>
          <w:lang w:bidi="ar"/>
        </w:rPr>
      </w:pPr>
      <w:r>
        <w:rPr>
          <w:rFonts w:hint="eastAsia" w:ascii="黑体" w:hAnsi="黑体"/>
          <w:color w:val="auto"/>
        </w:rPr>
        <w:t>主要经验及做法、存在的问题及原因分析</w:t>
      </w:r>
    </w:p>
    <w:p>
      <w:pPr>
        <w:pStyle w:val="23"/>
        <w:numPr>
          <w:ilvl w:val="0"/>
          <w:numId w:val="7"/>
        </w:numPr>
        <w:ind w:left="0" w:firstLine="643" w:firstLineChars="200"/>
        <w:rPr>
          <w:color w:val="auto"/>
          <w:lang w:bidi="ar"/>
        </w:rPr>
      </w:pPr>
      <w:r>
        <w:rPr>
          <w:rFonts w:hint="eastAsia"/>
          <w:color w:val="auto"/>
          <w:lang w:bidi="ar"/>
        </w:rPr>
        <w:t>主要经验及做法</w:t>
      </w:r>
    </w:p>
    <w:p>
      <w:pPr>
        <w:pStyle w:val="23"/>
        <w:numPr>
          <w:ilvl w:val="0"/>
          <w:numId w:val="0"/>
        </w:numPr>
        <w:ind w:firstLine="640" w:firstLineChars="200"/>
        <w:rPr>
          <w:b w:val="0"/>
          <w:color w:val="auto"/>
          <w:lang w:bidi="ar"/>
        </w:rPr>
      </w:pPr>
      <w:r>
        <w:rPr>
          <w:rFonts w:hint="eastAsia"/>
          <w:b w:val="0"/>
          <w:color w:val="auto"/>
          <w:lang w:bidi="ar"/>
        </w:rPr>
        <w:t>本项目实施效果较好的原因主要是管理制度完善、责任落实到位，跟踪考核机制完善且运行有效，在项目实施过程中创新管理办法，采用政采云网上采购的方式使项目取得了公开、透明、公平、公正的良好效果。</w:t>
      </w:r>
    </w:p>
    <w:p>
      <w:pPr>
        <w:pStyle w:val="23"/>
        <w:numPr>
          <w:ilvl w:val="0"/>
          <w:numId w:val="7"/>
        </w:numPr>
        <w:ind w:left="0" w:firstLine="643" w:firstLineChars="200"/>
        <w:rPr>
          <w:color w:val="auto"/>
          <w:lang w:bidi="ar"/>
        </w:rPr>
      </w:pPr>
      <w:r>
        <w:rPr>
          <w:rFonts w:hint="eastAsia"/>
          <w:color w:val="auto"/>
          <w:lang w:bidi="ar"/>
        </w:rPr>
        <w:t>存在的问题及原因分析</w:t>
      </w:r>
    </w:p>
    <w:p>
      <w:pPr>
        <w:pStyle w:val="23"/>
        <w:numPr>
          <w:ilvl w:val="0"/>
          <w:numId w:val="0"/>
        </w:numPr>
        <w:rPr>
          <w:b w:val="0"/>
          <w:color w:val="auto"/>
          <w:lang w:bidi="ar"/>
        </w:rPr>
      </w:pPr>
      <w:r>
        <w:rPr>
          <w:rFonts w:hint="eastAsia"/>
          <w:b w:val="0"/>
          <w:color w:val="auto"/>
          <w:lang w:bidi="ar"/>
        </w:rPr>
        <w:t xml:space="preserve">    因农村基础设施薄弱，为民办实事种类多、使用资金少、任务重，修修补补多，存在部分资金按照网上统一挂网无人投标的现象，影响项目资金的使用进程。</w:t>
      </w:r>
    </w:p>
    <w:p>
      <w:pPr>
        <w:pStyle w:val="21"/>
        <w:numPr>
          <w:ilvl w:val="0"/>
          <w:numId w:val="2"/>
        </w:numPr>
        <w:ind w:firstLineChars="0"/>
        <w:rPr>
          <w:rFonts w:ascii="黑体" w:hAnsi="黑体"/>
          <w:color w:val="auto"/>
        </w:rPr>
      </w:pPr>
      <w:r>
        <w:rPr>
          <w:rFonts w:hint="eastAsia" w:ascii="黑体" w:hAnsi="黑体"/>
          <w:color w:val="auto"/>
        </w:rPr>
        <w:t>有关建议</w:t>
      </w:r>
    </w:p>
    <w:p>
      <w:pPr>
        <w:pStyle w:val="21"/>
        <w:ind w:firstLine="0" w:firstLineChars="0"/>
        <w:rPr>
          <w:rFonts w:ascii="黑体" w:hAnsi="黑体"/>
          <w:b w:val="0"/>
          <w:color w:val="auto"/>
        </w:rPr>
      </w:pPr>
      <w:r>
        <w:rPr>
          <w:rFonts w:ascii="黑体" w:hAnsi="黑体"/>
          <w:b w:val="0"/>
          <w:color w:val="auto"/>
        </w:rPr>
        <w:t xml:space="preserve"> </w:t>
      </w:r>
      <w:r>
        <w:rPr>
          <w:rFonts w:ascii="仿宋_GB2312" w:hAnsi="仿宋" w:eastAsia="仿宋_GB2312" w:cs="宋体"/>
          <w:b w:val="0"/>
          <w:color w:val="auto"/>
          <w:kern w:val="2"/>
          <w:lang w:bidi="ar"/>
        </w:rPr>
        <w:t xml:space="preserve">   </w:t>
      </w:r>
      <w:r>
        <w:rPr>
          <w:rFonts w:hint="eastAsia" w:ascii="仿宋_GB2312" w:hAnsi="仿宋" w:eastAsia="仿宋_GB2312" w:cs="宋体"/>
          <w:b w:val="0"/>
          <w:color w:val="auto"/>
          <w:kern w:val="2"/>
          <w:lang w:bidi="ar"/>
        </w:rPr>
        <w:t>建议将该资金直接拨付至村委会，由村委会统筹使用，做到资金合理充分使用。</w:t>
      </w:r>
    </w:p>
    <w:p>
      <w:pPr>
        <w:pStyle w:val="21"/>
        <w:numPr>
          <w:ilvl w:val="0"/>
          <w:numId w:val="2"/>
        </w:numPr>
        <w:ind w:firstLineChars="0"/>
        <w:rPr>
          <w:rFonts w:ascii="黑体" w:hAnsi="黑体"/>
          <w:color w:val="auto"/>
        </w:rPr>
      </w:pPr>
      <w:r>
        <w:rPr>
          <w:rFonts w:hint="eastAsia" w:ascii="黑体" w:hAnsi="黑体"/>
          <w:color w:val="auto"/>
        </w:rPr>
        <w:t>其他需要说明的问题</w:t>
      </w:r>
    </w:p>
    <w:p>
      <w:pPr>
        <w:pStyle w:val="21"/>
        <w:ind w:firstLine="640"/>
        <w:rPr>
          <w:rFonts w:ascii="仿宋_GB2312" w:hAnsi="仿宋" w:eastAsia="仿宋_GB2312" w:cs="宋体"/>
          <w:color w:val="auto"/>
          <w:lang w:bidi="ar"/>
        </w:rPr>
      </w:pPr>
      <w:r>
        <w:rPr>
          <w:rFonts w:hint="eastAsia" w:ascii="仿宋_GB2312" w:hAnsi="仿宋" w:eastAsia="仿宋_GB2312" w:cs="宋体"/>
          <w:b w:val="0"/>
          <w:color w:val="auto"/>
          <w:kern w:val="2"/>
          <w:lang w:bidi="ar"/>
        </w:rPr>
        <w:t>无</w:t>
      </w:r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color w:val="auto"/>
          <w:sz w:val="32"/>
          <w:szCs w:val="32"/>
          <w:lang w:bidi="ar"/>
        </w:rPr>
      </w:pPr>
    </w:p>
    <w:sectPr>
      <w:footerReference r:id="rId3" w:type="default"/>
      <w:pgSz w:w="11906" w:h="16838"/>
      <w:pgMar w:top="1440" w:right="1797" w:bottom="1440" w:left="1797" w:header="851" w:footer="992" w:gutter="0"/>
      <w:pgNumType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</w:p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6D4D14"/>
    <w:multiLevelType w:val="multilevel"/>
    <w:tmpl w:val="316D4D14"/>
    <w:lvl w:ilvl="0" w:tentative="0">
      <w:start w:val="1"/>
      <w:numFmt w:val="decimal"/>
      <w:lvlText w:val="%1."/>
      <w:lvlJc w:val="left"/>
      <w:pPr>
        <w:ind w:left="988" w:hanging="420"/>
      </w:pPr>
    </w:lvl>
    <w:lvl w:ilvl="1" w:tentative="0">
      <w:start w:val="1"/>
      <w:numFmt w:val="decimal"/>
      <w:lvlText w:val="%2."/>
      <w:lvlJc w:val="left"/>
      <w:pPr>
        <w:ind w:left="1408" w:hanging="420"/>
      </w:pPr>
    </w:lvl>
    <w:lvl w:ilvl="2" w:tentative="0">
      <w:start w:val="1"/>
      <w:numFmt w:val="lowerRoman"/>
      <w:lvlText w:val="%3."/>
      <w:lvlJc w:val="right"/>
      <w:pPr>
        <w:ind w:left="1828" w:hanging="420"/>
      </w:pPr>
    </w:lvl>
    <w:lvl w:ilvl="3" w:tentative="0">
      <w:start w:val="1"/>
      <w:numFmt w:val="decimal"/>
      <w:lvlText w:val="%4."/>
      <w:lvlJc w:val="left"/>
      <w:pPr>
        <w:ind w:left="2248" w:hanging="420"/>
      </w:pPr>
    </w:lvl>
    <w:lvl w:ilvl="4" w:tentative="0">
      <w:start w:val="1"/>
      <w:numFmt w:val="lowerLetter"/>
      <w:lvlText w:val="%5)"/>
      <w:lvlJc w:val="left"/>
      <w:pPr>
        <w:ind w:left="2668" w:hanging="420"/>
      </w:pPr>
    </w:lvl>
    <w:lvl w:ilvl="5" w:tentative="0">
      <w:start w:val="1"/>
      <w:numFmt w:val="lowerRoman"/>
      <w:lvlText w:val="%6."/>
      <w:lvlJc w:val="right"/>
      <w:pPr>
        <w:ind w:left="3088" w:hanging="420"/>
      </w:pPr>
    </w:lvl>
    <w:lvl w:ilvl="6" w:tentative="0">
      <w:start w:val="1"/>
      <w:numFmt w:val="decimal"/>
      <w:lvlText w:val="%7."/>
      <w:lvlJc w:val="left"/>
      <w:pPr>
        <w:ind w:left="3508" w:hanging="420"/>
      </w:pPr>
    </w:lvl>
    <w:lvl w:ilvl="7" w:tentative="0">
      <w:start w:val="1"/>
      <w:numFmt w:val="lowerLetter"/>
      <w:lvlText w:val="%8)"/>
      <w:lvlJc w:val="left"/>
      <w:pPr>
        <w:ind w:left="3928" w:hanging="420"/>
      </w:pPr>
    </w:lvl>
    <w:lvl w:ilvl="8" w:tentative="0">
      <w:start w:val="1"/>
      <w:numFmt w:val="lowerRoman"/>
      <w:lvlText w:val="%9."/>
      <w:lvlJc w:val="right"/>
      <w:pPr>
        <w:ind w:left="4348" w:hanging="420"/>
      </w:pPr>
    </w:lvl>
  </w:abstractNum>
  <w:abstractNum w:abstractNumId="1">
    <w:nsid w:val="3A7260C0"/>
    <w:multiLevelType w:val="multilevel"/>
    <w:tmpl w:val="3A7260C0"/>
    <w:lvl w:ilvl="0" w:tentative="0">
      <w:start w:val="1"/>
      <w:numFmt w:val="chineseCountingThousand"/>
      <w:pStyle w:val="23"/>
      <w:lvlText w:val="(%1)"/>
      <w:lvlJc w:val="left"/>
      <w:pPr>
        <w:ind w:left="988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F37299F"/>
    <w:multiLevelType w:val="multilevel"/>
    <w:tmpl w:val="4F37299F"/>
    <w:lvl w:ilvl="0" w:tentative="0">
      <w:start w:val="1"/>
      <w:numFmt w:val="chineseCountingThousand"/>
      <w:lvlText w:val="(%1)"/>
      <w:lvlJc w:val="left"/>
      <w:pPr>
        <w:ind w:left="420" w:hanging="420"/>
      </w:pPr>
      <w:rPr>
        <w:rFonts w:hint="eastAsia"/>
      </w:rPr>
    </w:lvl>
    <w:lvl w:ilvl="1" w:tentative="0">
      <w:start w:val="1"/>
      <w:numFmt w:val="japaneseCounting"/>
      <w:lvlText w:val="（%2）"/>
      <w:lvlJc w:val="left"/>
      <w:pPr>
        <w:ind w:left="1500" w:hanging="10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4451D54"/>
    <w:multiLevelType w:val="multilevel"/>
    <w:tmpl w:val="54451D54"/>
    <w:lvl w:ilvl="0" w:tentative="0">
      <w:start w:val="1"/>
      <w:numFmt w:val="decimal"/>
      <w:lvlText w:val="%1．"/>
      <w:lvlJc w:val="left"/>
      <w:pPr>
        <w:ind w:left="1065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5" w:hanging="420"/>
      </w:pPr>
    </w:lvl>
    <w:lvl w:ilvl="2" w:tentative="0">
      <w:start w:val="1"/>
      <w:numFmt w:val="lowerRoman"/>
      <w:lvlText w:val="%3."/>
      <w:lvlJc w:val="right"/>
      <w:pPr>
        <w:ind w:left="1905" w:hanging="420"/>
      </w:pPr>
    </w:lvl>
    <w:lvl w:ilvl="3" w:tentative="0">
      <w:start w:val="1"/>
      <w:numFmt w:val="decimal"/>
      <w:lvlText w:val="%4."/>
      <w:lvlJc w:val="left"/>
      <w:pPr>
        <w:ind w:left="2325" w:hanging="420"/>
      </w:pPr>
    </w:lvl>
    <w:lvl w:ilvl="4" w:tentative="0">
      <w:start w:val="1"/>
      <w:numFmt w:val="lowerLetter"/>
      <w:lvlText w:val="%5)"/>
      <w:lvlJc w:val="left"/>
      <w:pPr>
        <w:ind w:left="2745" w:hanging="420"/>
      </w:pPr>
    </w:lvl>
    <w:lvl w:ilvl="5" w:tentative="0">
      <w:start w:val="1"/>
      <w:numFmt w:val="lowerRoman"/>
      <w:lvlText w:val="%6."/>
      <w:lvlJc w:val="right"/>
      <w:pPr>
        <w:ind w:left="3165" w:hanging="420"/>
      </w:pPr>
    </w:lvl>
    <w:lvl w:ilvl="6" w:tentative="0">
      <w:start w:val="1"/>
      <w:numFmt w:val="decimal"/>
      <w:lvlText w:val="%7."/>
      <w:lvlJc w:val="left"/>
      <w:pPr>
        <w:ind w:left="3585" w:hanging="420"/>
      </w:pPr>
    </w:lvl>
    <w:lvl w:ilvl="7" w:tentative="0">
      <w:start w:val="1"/>
      <w:numFmt w:val="lowerLetter"/>
      <w:lvlText w:val="%8)"/>
      <w:lvlJc w:val="left"/>
      <w:pPr>
        <w:ind w:left="4005" w:hanging="420"/>
      </w:pPr>
    </w:lvl>
    <w:lvl w:ilvl="8" w:tentative="0">
      <w:start w:val="1"/>
      <w:numFmt w:val="lowerRoman"/>
      <w:lvlText w:val="%9."/>
      <w:lvlJc w:val="right"/>
      <w:pPr>
        <w:ind w:left="4425" w:hanging="420"/>
      </w:pPr>
    </w:lvl>
  </w:abstractNum>
  <w:abstractNum w:abstractNumId="4">
    <w:nsid w:val="5B493FDA"/>
    <w:multiLevelType w:val="multilevel"/>
    <w:tmpl w:val="5B493FDA"/>
    <w:lvl w:ilvl="0" w:tentative="0">
      <w:start w:val="1"/>
      <w:numFmt w:val="chineseCountingThousand"/>
      <w:lvlText w:val="(%1)"/>
      <w:lvlJc w:val="left"/>
      <w:pPr>
        <w:ind w:left="106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5">
    <w:nsid w:val="6757463D"/>
    <w:multiLevelType w:val="multilevel"/>
    <w:tmpl w:val="6757463D"/>
    <w:lvl w:ilvl="0" w:tentative="0">
      <w:start w:val="1"/>
      <w:numFmt w:val="chineseCountingThousand"/>
      <w:lvlText w:val="%1、"/>
      <w:lvlJc w:val="left"/>
      <w:pPr>
        <w:ind w:left="1063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3" w:hanging="420"/>
      </w:pPr>
    </w:lvl>
    <w:lvl w:ilvl="2" w:tentative="0">
      <w:start w:val="1"/>
      <w:numFmt w:val="lowerRoman"/>
      <w:lvlText w:val="%3."/>
      <w:lvlJc w:val="right"/>
      <w:pPr>
        <w:ind w:left="1903" w:hanging="420"/>
      </w:pPr>
    </w:lvl>
    <w:lvl w:ilvl="3" w:tentative="0">
      <w:start w:val="1"/>
      <w:numFmt w:val="decimal"/>
      <w:lvlText w:val="%4."/>
      <w:lvlJc w:val="left"/>
      <w:pPr>
        <w:ind w:left="2323" w:hanging="420"/>
      </w:pPr>
    </w:lvl>
    <w:lvl w:ilvl="4" w:tentative="0">
      <w:start w:val="1"/>
      <w:numFmt w:val="lowerLetter"/>
      <w:lvlText w:val="%5)"/>
      <w:lvlJc w:val="left"/>
      <w:pPr>
        <w:ind w:left="2743" w:hanging="420"/>
      </w:pPr>
    </w:lvl>
    <w:lvl w:ilvl="5" w:tentative="0">
      <w:start w:val="1"/>
      <w:numFmt w:val="lowerRoman"/>
      <w:lvlText w:val="%6."/>
      <w:lvlJc w:val="right"/>
      <w:pPr>
        <w:ind w:left="3163" w:hanging="420"/>
      </w:pPr>
    </w:lvl>
    <w:lvl w:ilvl="6" w:tentative="0">
      <w:start w:val="1"/>
      <w:numFmt w:val="decimal"/>
      <w:lvlText w:val="%7."/>
      <w:lvlJc w:val="left"/>
      <w:pPr>
        <w:ind w:left="3583" w:hanging="420"/>
      </w:pPr>
    </w:lvl>
    <w:lvl w:ilvl="7" w:tentative="0">
      <w:start w:val="1"/>
      <w:numFmt w:val="lowerLetter"/>
      <w:lvlText w:val="%8)"/>
      <w:lvlJc w:val="left"/>
      <w:pPr>
        <w:ind w:left="4003" w:hanging="420"/>
      </w:pPr>
    </w:lvl>
    <w:lvl w:ilvl="8" w:tentative="0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0"/>
  <w:drawingGridHorizontalSpacing w:val="210"/>
  <w:drawingGridVerticalSpacing w:val="158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00F75715"/>
    <w:rsid w:val="00022413"/>
    <w:rsid w:val="00037F93"/>
    <w:rsid w:val="00042126"/>
    <w:rsid w:val="000E0C7B"/>
    <w:rsid w:val="000F2007"/>
    <w:rsid w:val="00100A64"/>
    <w:rsid w:val="00100AA9"/>
    <w:rsid w:val="00102AC1"/>
    <w:rsid w:val="001143D6"/>
    <w:rsid w:val="0012798F"/>
    <w:rsid w:val="00132553"/>
    <w:rsid w:val="00151AF1"/>
    <w:rsid w:val="00174F3A"/>
    <w:rsid w:val="0018169D"/>
    <w:rsid w:val="00193649"/>
    <w:rsid w:val="0019720C"/>
    <w:rsid w:val="001A1902"/>
    <w:rsid w:val="001A4FFA"/>
    <w:rsid w:val="001B5B44"/>
    <w:rsid w:val="001D5FF2"/>
    <w:rsid w:val="001D6F2E"/>
    <w:rsid w:val="00203FB6"/>
    <w:rsid w:val="00233ECE"/>
    <w:rsid w:val="00286461"/>
    <w:rsid w:val="002A1BF4"/>
    <w:rsid w:val="002B3A72"/>
    <w:rsid w:val="002C6231"/>
    <w:rsid w:val="002D2CF8"/>
    <w:rsid w:val="002F7CDC"/>
    <w:rsid w:val="00324E56"/>
    <w:rsid w:val="00331AF1"/>
    <w:rsid w:val="003468D7"/>
    <w:rsid w:val="0035607B"/>
    <w:rsid w:val="00363E52"/>
    <w:rsid w:val="00382736"/>
    <w:rsid w:val="003A04D1"/>
    <w:rsid w:val="003A4500"/>
    <w:rsid w:val="003C327E"/>
    <w:rsid w:val="003C4B3D"/>
    <w:rsid w:val="003C6E7F"/>
    <w:rsid w:val="003E0E95"/>
    <w:rsid w:val="003F1C70"/>
    <w:rsid w:val="003F2E47"/>
    <w:rsid w:val="00403544"/>
    <w:rsid w:val="004115AA"/>
    <w:rsid w:val="00434C92"/>
    <w:rsid w:val="00443C47"/>
    <w:rsid w:val="00452560"/>
    <w:rsid w:val="00467DBB"/>
    <w:rsid w:val="004A0587"/>
    <w:rsid w:val="004C56AB"/>
    <w:rsid w:val="004D088E"/>
    <w:rsid w:val="004D4F06"/>
    <w:rsid w:val="005225F1"/>
    <w:rsid w:val="00531253"/>
    <w:rsid w:val="00540B36"/>
    <w:rsid w:val="00563E06"/>
    <w:rsid w:val="005823ED"/>
    <w:rsid w:val="0058554B"/>
    <w:rsid w:val="00596DDF"/>
    <w:rsid w:val="005B6EAB"/>
    <w:rsid w:val="005D7AC7"/>
    <w:rsid w:val="00630E69"/>
    <w:rsid w:val="006362B2"/>
    <w:rsid w:val="0065420A"/>
    <w:rsid w:val="006869EC"/>
    <w:rsid w:val="00694A44"/>
    <w:rsid w:val="006D0AA4"/>
    <w:rsid w:val="006F2513"/>
    <w:rsid w:val="006F64CB"/>
    <w:rsid w:val="0071759F"/>
    <w:rsid w:val="007253B3"/>
    <w:rsid w:val="00731D46"/>
    <w:rsid w:val="00734BAD"/>
    <w:rsid w:val="00752C57"/>
    <w:rsid w:val="00781733"/>
    <w:rsid w:val="00796EF8"/>
    <w:rsid w:val="007C5CF9"/>
    <w:rsid w:val="007D340B"/>
    <w:rsid w:val="007E6392"/>
    <w:rsid w:val="007F3C25"/>
    <w:rsid w:val="00811F2D"/>
    <w:rsid w:val="00815938"/>
    <w:rsid w:val="008226BA"/>
    <w:rsid w:val="00827DA6"/>
    <w:rsid w:val="00835103"/>
    <w:rsid w:val="00842B38"/>
    <w:rsid w:val="00854416"/>
    <w:rsid w:val="00866F54"/>
    <w:rsid w:val="00883FF2"/>
    <w:rsid w:val="0089293E"/>
    <w:rsid w:val="00893E6C"/>
    <w:rsid w:val="008D7BC7"/>
    <w:rsid w:val="00900E6C"/>
    <w:rsid w:val="0090104C"/>
    <w:rsid w:val="0093694F"/>
    <w:rsid w:val="00982B10"/>
    <w:rsid w:val="009C0267"/>
    <w:rsid w:val="009E5354"/>
    <w:rsid w:val="00A10F1E"/>
    <w:rsid w:val="00A12A0C"/>
    <w:rsid w:val="00A365D5"/>
    <w:rsid w:val="00A41DB8"/>
    <w:rsid w:val="00A43094"/>
    <w:rsid w:val="00A53361"/>
    <w:rsid w:val="00A5786D"/>
    <w:rsid w:val="00A60191"/>
    <w:rsid w:val="00A76105"/>
    <w:rsid w:val="00A81609"/>
    <w:rsid w:val="00A85237"/>
    <w:rsid w:val="00AB07C5"/>
    <w:rsid w:val="00AE1FDF"/>
    <w:rsid w:val="00AE3042"/>
    <w:rsid w:val="00B03B29"/>
    <w:rsid w:val="00B16C8F"/>
    <w:rsid w:val="00B32FA4"/>
    <w:rsid w:val="00B36F46"/>
    <w:rsid w:val="00B47B13"/>
    <w:rsid w:val="00B53BE4"/>
    <w:rsid w:val="00B57B1C"/>
    <w:rsid w:val="00B6063F"/>
    <w:rsid w:val="00B9042A"/>
    <w:rsid w:val="00BA0855"/>
    <w:rsid w:val="00BA65AD"/>
    <w:rsid w:val="00BC7696"/>
    <w:rsid w:val="00BF4E13"/>
    <w:rsid w:val="00C0682A"/>
    <w:rsid w:val="00C2671D"/>
    <w:rsid w:val="00C563AA"/>
    <w:rsid w:val="00C71FF0"/>
    <w:rsid w:val="00C77259"/>
    <w:rsid w:val="00C81C7B"/>
    <w:rsid w:val="00C97E2D"/>
    <w:rsid w:val="00D043D7"/>
    <w:rsid w:val="00D117FB"/>
    <w:rsid w:val="00D23C2E"/>
    <w:rsid w:val="00D61EC8"/>
    <w:rsid w:val="00D93516"/>
    <w:rsid w:val="00DA7F4C"/>
    <w:rsid w:val="00DC5F94"/>
    <w:rsid w:val="00DE152F"/>
    <w:rsid w:val="00DE293B"/>
    <w:rsid w:val="00E05626"/>
    <w:rsid w:val="00E25B2F"/>
    <w:rsid w:val="00E373A5"/>
    <w:rsid w:val="00E43E10"/>
    <w:rsid w:val="00E6100D"/>
    <w:rsid w:val="00E66A4D"/>
    <w:rsid w:val="00E72B1C"/>
    <w:rsid w:val="00E96169"/>
    <w:rsid w:val="00EB76B0"/>
    <w:rsid w:val="00EC3859"/>
    <w:rsid w:val="00F0780F"/>
    <w:rsid w:val="00F16D54"/>
    <w:rsid w:val="00F6015C"/>
    <w:rsid w:val="00F75715"/>
    <w:rsid w:val="00FB2E2F"/>
    <w:rsid w:val="00FD300A"/>
    <w:rsid w:val="00FE43E7"/>
    <w:rsid w:val="00FF137F"/>
    <w:rsid w:val="00FF6959"/>
    <w:rsid w:val="00FF6C14"/>
    <w:rsid w:val="01BE6316"/>
    <w:rsid w:val="02751408"/>
    <w:rsid w:val="1E1E21E4"/>
    <w:rsid w:val="1EC13AD4"/>
    <w:rsid w:val="217F35A7"/>
    <w:rsid w:val="24E73B1F"/>
    <w:rsid w:val="26F03C06"/>
    <w:rsid w:val="2A547683"/>
    <w:rsid w:val="372F595B"/>
    <w:rsid w:val="3EB75F4F"/>
    <w:rsid w:val="4E1B0C32"/>
    <w:rsid w:val="53C12230"/>
    <w:rsid w:val="54A46AE5"/>
    <w:rsid w:val="56716AC2"/>
    <w:rsid w:val="57964064"/>
    <w:rsid w:val="5C9A1834"/>
    <w:rsid w:val="5D030824"/>
    <w:rsid w:val="5D2A52E9"/>
    <w:rsid w:val="63CF5D8D"/>
    <w:rsid w:val="667765BF"/>
    <w:rsid w:val="7775238E"/>
    <w:rsid w:val="7A8638D9"/>
    <w:rsid w:val="7D714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 w:eastAsia="黑体" w:cs="Arial"/>
      <w:b/>
      <w:bCs/>
      <w:kern w:val="44"/>
      <w:sz w:val="28"/>
      <w:szCs w:val="44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2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semiHidden/>
    <w:unhideWhenUsed/>
    <w:qFormat/>
    <w:uiPriority w:val="39"/>
    <w:rPr>
      <w:rFonts w:eastAsia="仿宋_GB2312"/>
      <w:sz w:val="28"/>
    </w:r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rPr>
      <w:rFonts w:eastAsia="仿宋_GB2312"/>
      <w:sz w:val="28"/>
    </w:rPr>
  </w:style>
  <w:style w:type="paragraph" w:styleId="10">
    <w:name w:val="toc 2"/>
    <w:basedOn w:val="1"/>
    <w:next w:val="1"/>
    <w:unhideWhenUsed/>
    <w:qFormat/>
    <w:uiPriority w:val="39"/>
    <w:rPr>
      <w:rFonts w:eastAsia="仿宋_GB2312"/>
      <w:sz w:val="2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Hyperlink"/>
    <w:basedOn w:val="1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6">
    <w:name w:val="标题 1 Char"/>
    <w:basedOn w:val="14"/>
    <w:link w:val="2"/>
    <w:qFormat/>
    <w:uiPriority w:val="9"/>
    <w:rPr>
      <w:rFonts w:ascii="Times New Roman" w:hAnsi="Times New Roman" w:eastAsia="黑体" w:cs="Arial"/>
      <w:b/>
      <w:bCs/>
      <w:kern w:val="44"/>
      <w:sz w:val="28"/>
      <w:szCs w:val="44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页眉 Char"/>
    <w:basedOn w:val="14"/>
    <w:link w:val="8"/>
    <w:qFormat/>
    <w:uiPriority w:val="99"/>
    <w:rPr>
      <w:sz w:val="18"/>
      <w:szCs w:val="18"/>
    </w:rPr>
  </w:style>
  <w:style w:type="character" w:customStyle="1" w:styleId="19">
    <w:name w:val="页脚 Char"/>
    <w:basedOn w:val="14"/>
    <w:link w:val="7"/>
    <w:qFormat/>
    <w:uiPriority w:val="99"/>
    <w:rPr>
      <w:sz w:val="18"/>
      <w:szCs w:val="18"/>
    </w:rPr>
  </w:style>
  <w:style w:type="character" w:customStyle="1" w:styleId="20">
    <w:name w:val="批注框文本 Char"/>
    <w:basedOn w:val="14"/>
    <w:link w:val="6"/>
    <w:semiHidden/>
    <w:qFormat/>
    <w:uiPriority w:val="99"/>
    <w:rPr>
      <w:sz w:val="18"/>
      <w:szCs w:val="18"/>
    </w:rPr>
  </w:style>
  <w:style w:type="paragraph" w:customStyle="1" w:styleId="21">
    <w:name w:val="标题1"/>
    <w:basedOn w:val="2"/>
    <w:qFormat/>
    <w:uiPriority w:val="0"/>
    <w:pPr>
      <w:spacing w:before="120" w:after="120" w:line="500" w:lineRule="exact"/>
      <w:ind w:firstLine="200" w:firstLineChars="200"/>
    </w:pPr>
    <w:rPr>
      <w:rFonts w:cs="Times New Roman"/>
      <w:sz w:val="32"/>
      <w:szCs w:val="32"/>
    </w:rPr>
  </w:style>
  <w:style w:type="character" w:customStyle="1" w:styleId="22">
    <w:name w:val="标题 2 Char"/>
    <w:basedOn w:val="14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23">
    <w:name w:val="标题2"/>
    <w:basedOn w:val="3"/>
    <w:qFormat/>
    <w:uiPriority w:val="0"/>
    <w:pPr>
      <w:numPr>
        <w:ilvl w:val="0"/>
        <w:numId w:val="1"/>
      </w:numPr>
      <w:spacing w:before="120" w:after="120" w:line="500" w:lineRule="exact"/>
    </w:pPr>
    <w:rPr>
      <w:rFonts w:ascii="仿宋_GB2312" w:eastAsia="仿宋_GB2312" w:cs="Times New Roman"/>
    </w:rPr>
  </w:style>
  <w:style w:type="paragraph" w:customStyle="1" w:styleId="24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25">
    <w:name w:val="闻政正文 Char"/>
    <w:link w:val="26"/>
    <w:qFormat/>
    <w:uiPriority w:val="0"/>
    <w:rPr>
      <w:rFonts w:ascii="Times New Roman" w:hAnsi="Times New Roman" w:eastAsia="仿宋_GB2312" w:cs="Times New Roman"/>
      <w:sz w:val="28"/>
      <w:szCs w:val="28"/>
    </w:rPr>
  </w:style>
  <w:style w:type="paragraph" w:customStyle="1" w:styleId="26">
    <w:name w:val="闻政正文"/>
    <w:basedOn w:val="1"/>
    <w:link w:val="25"/>
    <w:qFormat/>
    <w:uiPriority w:val="0"/>
    <w:pPr>
      <w:spacing w:line="500" w:lineRule="exact"/>
      <w:ind w:firstLine="560" w:firstLineChars="200"/>
    </w:pPr>
    <w:rPr>
      <w:rFonts w:ascii="Times New Roman" w:hAnsi="Times New Roman" w:eastAsia="仿宋_GB2312" w:cs="Times New Roman"/>
      <w:sz w:val="28"/>
      <w:szCs w:val="28"/>
    </w:rPr>
  </w:style>
  <w:style w:type="character" w:customStyle="1" w:styleId="27">
    <w:name w:val="闻政表 Char"/>
    <w:link w:val="28"/>
    <w:qFormat/>
    <w:uiPriority w:val="0"/>
    <w:rPr>
      <w:rFonts w:ascii="Times New Roman" w:hAnsi="Times New Roman" w:eastAsia="仿宋_GB2312" w:cs="Times New Roman"/>
      <w:b/>
      <w:sz w:val="24"/>
      <w:szCs w:val="28"/>
    </w:rPr>
  </w:style>
  <w:style w:type="paragraph" w:customStyle="1" w:styleId="28">
    <w:name w:val="闻政表"/>
    <w:basedOn w:val="1"/>
    <w:link w:val="27"/>
    <w:qFormat/>
    <w:uiPriority w:val="0"/>
    <w:pPr>
      <w:spacing w:before="60" w:after="60"/>
      <w:jc w:val="center"/>
    </w:pPr>
    <w:rPr>
      <w:rFonts w:ascii="Times New Roman" w:hAnsi="Times New Roman" w:eastAsia="仿宋_GB2312" w:cs="Times New Roman"/>
      <w:b/>
      <w:sz w:val="24"/>
      <w:szCs w:val="28"/>
    </w:rPr>
  </w:style>
  <w:style w:type="paragraph" w:customStyle="1" w:styleId="29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 w:cs="Times New Roman"/>
      <w:szCs w:val="22"/>
    </w:rPr>
  </w:style>
  <w:style w:type="character" w:customStyle="1" w:styleId="30">
    <w:name w:val="闻政标题3 Char"/>
    <w:link w:val="31"/>
    <w:qFormat/>
    <w:uiPriority w:val="0"/>
    <w:rPr>
      <w:rFonts w:ascii="黑体" w:hAnsi="黑体" w:eastAsia="黑体" w:cs="Times New Roman"/>
      <w:bCs/>
      <w:sz w:val="32"/>
      <w:szCs w:val="32"/>
    </w:rPr>
  </w:style>
  <w:style w:type="paragraph" w:customStyle="1" w:styleId="31">
    <w:name w:val="闻政标题3"/>
    <w:basedOn w:val="4"/>
    <w:link w:val="30"/>
    <w:qFormat/>
    <w:uiPriority w:val="99"/>
    <w:pPr>
      <w:spacing w:before="120" w:after="60" w:line="500" w:lineRule="exact"/>
      <w:jc w:val="left"/>
      <w:outlineLvl w:val="0"/>
    </w:pPr>
    <w:rPr>
      <w:rFonts w:ascii="黑体" w:hAnsi="黑体" w:eastAsia="黑体" w:cs="Times New Roman"/>
      <w:b w:val="0"/>
    </w:rPr>
  </w:style>
  <w:style w:type="character" w:customStyle="1" w:styleId="32">
    <w:name w:val="标题 3 Char"/>
    <w:basedOn w:val="14"/>
    <w:link w:val="4"/>
    <w:semiHidden/>
    <w:qFormat/>
    <w:uiPriority w:val="9"/>
    <w:rPr>
      <w:b/>
      <w:bCs/>
      <w:sz w:val="32"/>
      <w:szCs w:val="32"/>
    </w:rPr>
  </w:style>
  <w:style w:type="paragraph" w:customStyle="1" w:styleId="33">
    <w:name w:val="Body text|1"/>
    <w:basedOn w:val="1"/>
    <w:link w:val="34"/>
    <w:qFormat/>
    <w:uiPriority w:val="0"/>
    <w:pPr>
      <w:spacing w:after="40" w:line="334" w:lineRule="auto"/>
    </w:pPr>
    <w:rPr>
      <w:rFonts w:ascii="MingLiU" w:hAnsi="MingLiU" w:eastAsia="MingLiU" w:cs="MingLiU"/>
      <w:sz w:val="20"/>
      <w:szCs w:val="20"/>
      <w:lang w:val="zh-TW" w:eastAsia="zh-TW" w:bidi="zh-TW"/>
    </w:rPr>
  </w:style>
  <w:style w:type="character" w:customStyle="1" w:styleId="34">
    <w:name w:val="Body text|1_"/>
    <w:basedOn w:val="14"/>
    <w:link w:val="33"/>
    <w:unhideWhenUsed/>
    <w:qFormat/>
    <w:uiPriority w:val="0"/>
    <w:rPr>
      <w:rFonts w:ascii="MingLiU" w:hAnsi="MingLiU" w:eastAsia="MingLiU" w:cs="MingLiU"/>
      <w:sz w:val="20"/>
      <w:szCs w:val="2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4E0FB-7B61-48EF-B6A7-5760266AABD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10</Pages>
  <Words>510</Words>
  <Characters>2910</Characters>
  <Lines>24</Lines>
  <Paragraphs>6</Paragraphs>
  <TotalTime>48</TotalTime>
  <ScaleCrop>false</ScaleCrop>
  <LinksUpToDate>false</LinksUpToDate>
  <CharactersWithSpaces>3414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2019-11-22T05:12:00Z</dcterms:created>
  <dc:creator>ThinkPad</dc:creator>
  <cp:lastModifiedBy>HW</cp:lastModifiedBy>
  <dcterms:modified xsi:type="dcterms:W3CDTF">2023-06-20T12:07:35Z</dcterms:modified>
  <dc:title>新疆普天鹏华商务信息咨询有限公司</dc:title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BE68D5A432914482883BDAA50DBC06AD_12</vt:lpwstr>
  </property>
</Properties>
</file>