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EE0EC7" w:rsidRDefault="00377EC6" w:rsidP="00EE0EC7">
      <w:pPr>
        <w:jc w:val="center"/>
        <w:rPr>
          <w:rFonts w:ascii="方正小标宋_GBK" w:eastAsia="方正小标宋_GBK" w:hAnsi="方正小标宋_GBK" w:cs="方正小标宋_GBK"/>
          <w:sz w:val="44"/>
        </w:rPr>
      </w:pPr>
      <w:r>
        <w:rPr>
          <w:rFonts w:ascii="方正小标宋_GBK" w:eastAsia="方正小标宋_GBK" w:hAnsi="方正小标宋_GBK" w:cs="方正小标宋_GBK"/>
          <w:sz w:val="44"/>
        </w:rPr>
        <w:t>新疆喀什地区机关事务管理局2019年度</w:t>
      </w:r>
    </w:p>
    <w:p w:rsidR="008853A8" w:rsidRDefault="00377EC6" w:rsidP="00EE0EC7">
      <w:pPr>
        <w:jc w:val="center"/>
        <w:rPr>
          <w:rFonts w:ascii="方正小标宋_GBK" w:eastAsia="方正小标宋_GBK" w:hAnsi="宋体"/>
          <w:sz w:val="44"/>
          <w:szCs w:val="44"/>
        </w:rPr>
      </w:pPr>
      <w:r>
        <w:rPr>
          <w:rFonts w:ascii="方正小标宋_GBK" w:eastAsia="方正小标宋_GBK" w:hAnsi="方正小标宋_GBK" w:cs="方正小标宋_GBK"/>
          <w:sz w:val="44"/>
        </w:rPr>
        <w:t>部门决算</w:t>
      </w:r>
      <w:r w:rsidR="008853A8">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B159B3">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B159B3">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B159B3">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B159B3">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B159B3">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B159B3">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B159B3">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地区机关事务管理局贯彻落实党中央、自治区党委关于机关事务管理工作的方针政策和决策部署以及地委工作要求，在履行职责过程中坚持和加强党对机关事务管理工作的集中统一领导。1、监督指导全地区机关事务管理、保障、服务和体制改革工作的职责。2、负责地区本级机关事务的管理、保障、服务工作。根据党和国家的有关政策、规章制度，拟订地区机关事务管理工作的政策、规划和制度并组织实施。3、负责地直机关事业单位资产管理有关工作；负责地区本级党政机关办公用房和公务用车统一管理；指导监督下级党政机关办公用房和公务用车管理；承担地直机关及所属单位用地管理。4、负责地直机关及部分事业单位公产房屋的建设管理，编制基建计划，制定相应管理制度；承担厅级领导住房的建设、维修管理；审批房屋修缮项目和分配房屋修缮经费；负责地区本级机关周转房的统一管理。5、拟订地区机关后勤体制改革的政策办法并组织实施；指导地直机关后勤管理工作和后勤服务单位的业务工作，推动机关后勤服务单位的改革和发展。6、负责地区本级机关、事业单位、社会团体有关节约能源监督管理工作；会同有关部门制定地区本级公共机构节能规划、规章制度并组织实施；组织开展能耗统计、监测和评价考核工作；负责推进、指导、协</w:t>
      </w:r>
      <w:r>
        <w:rPr>
          <w:rFonts w:ascii="仿宋_GB2312" w:eastAsia="仿宋_GB2312" w:hAnsi="仿宋_GB2312" w:cs="仿宋_GB2312"/>
          <w:sz w:val="32"/>
        </w:rPr>
        <w:lastRenderedPageBreak/>
        <w:t>调、监督各县市区的公共机构节能工作。7、组织实施机关后勤干部岗位培训，管理机关后勤工人有关技术培训、考核和技师考评工作。8、负责拟订地区内宾接待工作的有关制度、规定和接待服务标准；承办来喀的副厅级以上领导同志的接待服务工作；负责制定地区副厅级以上领导同志的有关生活服务标准；承办地区重大活动和召开大型会议的接待服务工作。9、承办地委、行署交办的其他事项。</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新疆喀什地区机关事务管理局2019年度，实有人数64人，其中：在职人员63人，离休人员0人，退休人员1人。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从部门决算单位构成看，新疆喀什地区机关事务管理局部门决算包括：新疆喀什地区机关事务管理局决算。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2,800.35万元，与上年相比，增加1,550.19万元，增长124%，主要原因是：新增3人，人员经费增加；项目数量增加。本年支出2,800.35万元，与上年相比，增加1,550.19万元，增长124%，主要原因是：新增3人，人员经费增加；项目数量增加。</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2019年度本年收入2,800.35万元，其中：财政拨款收入2,800.35万元，占100%；上级补助收入0万元，占0%；</w:t>
      </w:r>
      <w:r>
        <w:rPr>
          <w:rFonts w:ascii="仿宋_GB2312" w:eastAsia="仿宋_GB2312" w:hAnsi="仿宋_GB2312" w:cs="仿宋_GB2312"/>
          <w:sz w:val="32"/>
        </w:rPr>
        <w:lastRenderedPageBreak/>
        <w:t>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2019年度本年支出2,800.35万元，其中：基本支出266.88万元，占9.53%；项目支出2,533.48万元，占90.47%；上缴上级支出0万元，占0%；经营支出0万元，占0%；对附属单位补助支出0万元，占0%。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2,800.35万元，与上年相比，增加1,653.26万元，增长144.13%，主要原因是：新增3人，人员经费增加；项目数量增加。财政拨款支出2,800.35万元，与上年相比，增加1,653.26万元，增长144.13%，主要原因是：新增3人，人员经费增加；项目数量增加。</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2,563.04万元，决算数2,800.35万元，预决算差异率9.26%，主要原因是：机构改革，本单位系涉改单位，年中追加人员经费和项目经费。财政拨款支出年初预算数2,563.04万元，决算数2,800.35万元，预决算差异率9.26%，主要原因是：机构改革，本单位系涉改单位，年中追加人员经费和项目经费。</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rsidP="001A76C2">
      <w:pPr>
        <w:ind w:firstLineChars="300" w:firstLine="960"/>
        <w:rPr>
          <w:rFonts w:ascii="仿宋_GB2312" w:eastAsia="仿宋_GB2312"/>
          <w:sz w:val="32"/>
          <w:szCs w:val="32"/>
        </w:rPr>
      </w:pPr>
      <w:r>
        <w:rPr>
          <w:rFonts w:ascii="仿宋_GB2312" w:eastAsia="仿宋_GB2312" w:hAnsi="仿宋_GB2312" w:cs="仿宋_GB2312"/>
          <w:sz w:val="32"/>
        </w:rPr>
        <w:t>2019年度一般公共预算财政拨款支出2,800.35万元。</w:t>
      </w:r>
      <w:r>
        <w:rPr>
          <w:rFonts w:ascii="仿宋_GB2312" w:eastAsia="仿宋_GB2312" w:hAnsi="仿宋_GB2312" w:cs="仿宋_GB2312"/>
          <w:sz w:val="32"/>
        </w:rPr>
        <w:lastRenderedPageBreak/>
        <w:t>按功能分类科目项级科目公开，其中：</w:t>
      </w:r>
    </w:p>
    <w:p w:rsidR="002C7DC4" w:rsidRDefault="00D26C35">
      <w:pPr>
        <w:ind w:firstLine="480"/>
      </w:pPr>
      <w:r>
        <w:rPr>
          <w:rFonts w:ascii="仿宋_GB2312" w:eastAsia="仿宋_GB2312" w:hAnsi="仿宋_GB2312" w:cs="仿宋_GB2312"/>
          <w:sz w:val="32"/>
        </w:rPr>
        <w:t xml:space="preserve">   2210201住房公积金支出17.34万元。</w:t>
      </w:r>
    </w:p>
    <w:p w:rsidR="002C7DC4" w:rsidRDefault="00D26C35">
      <w:pPr>
        <w:ind w:firstLine="480"/>
      </w:pPr>
      <w:r>
        <w:rPr>
          <w:rFonts w:ascii="仿宋_GB2312" w:eastAsia="仿宋_GB2312" w:hAnsi="仿宋_GB2312" w:cs="仿宋_GB2312"/>
          <w:sz w:val="32"/>
        </w:rPr>
        <w:t xml:space="preserve">   2080506机关事业单位职业年金缴费支出3.83万元；</w:t>
      </w:r>
    </w:p>
    <w:p w:rsidR="002C7DC4" w:rsidRDefault="00D26C35">
      <w:pPr>
        <w:ind w:firstLine="480"/>
      </w:pPr>
      <w:r>
        <w:rPr>
          <w:rFonts w:ascii="仿宋_GB2312" w:eastAsia="仿宋_GB2312" w:hAnsi="仿宋_GB2312" w:cs="仿宋_GB2312"/>
          <w:sz w:val="32"/>
        </w:rPr>
        <w:t xml:space="preserve">   2080505机关事业单位基本养老保险缴费支出23.02万元；</w:t>
      </w:r>
    </w:p>
    <w:p w:rsidR="002C7DC4" w:rsidRDefault="00D26C35">
      <w:pPr>
        <w:ind w:firstLine="480"/>
      </w:pPr>
      <w:r>
        <w:rPr>
          <w:rFonts w:ascii="仿宋_GB2312" w:eastAsia="仿宋_GB2312" w:hAnsi="仿宋_GB2312" w:cs="仿宋_GB2312"/>
          <w:sz w:val="32"/>
        </w:rPr>
        <w:t xml:space="preserve">   2010303机关服务支出2,756.16万元；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2019年度一般公共预算财政拨款基本支出266.88万元，其中：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人员经费220.84万元，包括：基本工资、津贴补贴、奖金、伙食补助费、绩效工资、机关事业单位基本养老保险缴费、职业年金缴费、其他社会保障缴费、住房公积金、退休费。</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公用经费46.03万元，包括：办公费、邮电费、取暖费、培训费、其他交通费用。</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443.65万元，比上年增加76.28万元，增长20.76%，主要原因是当年地区接待费标准调整，人均标准增加。其中，因公出国（境）费支出0万元，占0%，比上年增加0万元，增长0%，主要原因是与上年相比无变动，与上年一致；公务用车购置及运</w:t>
      </w:r>
      <w:r>
        <w:rPr>
          <w:rFonts w:ascii="仿宋_GB2312" w:eastAsia="仿宋_GB2312" w:hAnsi="仿宋_GB2312" w:cs="仿宋_GB2312"/>
          <w:sz w:val="32"/>
        </w:rPr>
        <w:lastRenderedPageBreak/>
        <w:t>行维护费支出0万元，占0%，比上年增加0万元，增长0%</w:t>
      </w:r>
      <w:r w:rsidR="00225BA8">
        <w:rPr>
          <w:rFonts w:ascii="仿宋_GB2312" w:eastAsia="仿宋_GB2312" w:hAnsi="仿宋_GB2312" w:cs="仿宋_GB2312"/>
          <w:sz w:val="32"/>
        </w:rPr>
        <w:t>，主要原因是与上年相比无变动，与上年一致</w:t>
      </w:r>
      <w:r>
        <w:rPr>
          <w:rFonts w:ascii="仿宋_GB2312" w:eastAsia="仿宋_GB2312" w:hAnsi="仿宋_GB2312" w:cs="仿宋_GB2312"/>
          <w:sz w:val="32"/>
        </w:rPr>
        <w:t>；公务接待费支出443.65万元，占100%，比上年增加76.28万元，增长20.76%，主要原因是当年地区接待费标准调整，人均标准增加。具体情况如下：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公务接待费443.65万元，开支内容包括接待餐费、住宿费、会议室租赁费、车辆租赁费和其他费用。单位全年安排的国内公务接待480批次，9835人次。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443.65万元，决算数443.65万元，预决算差异率0%，主要原因是：严格按照预算执行。其中：因公出国（境）费预算数0万元，决算数0万元，预决算差异率0%</w:t>
      </w:r>
      <w:r w:rsidR="00031E75">
        <w:rPr>
          <w:rFonts w:ascii="仿宋_GB2312" w:eastAsia="仿宋_GB2312" w:hAnsi="仿宋_GB2312" w:cs="仿宋_GB2312"/>
          <w:sz w:val="32"/>
        </w:rPr>
        <w:t>，主要原因是：预算未安排，无此项支出</w:t>
      </w:r>
      <w:r>
        <w:rPr>
          <w:rFonts w:ascii="仿宋_GB2312" w:eastAsia="仿宋_GB2312" w:hAnsi="仿宋_GB2312" w:cs="仿宋_GB2312"/>
          <w:sz w:val="32"/>
        </w:rPr>
        <w:t>；公务用车购置费预算数0万元，决算数0万元，预决算差异率0%</w:t>
      </w:r>
      <w:r w:rsidR="00EE0EC7">
        <w:rPr>
          <w:rFonts w:ascii="仿宋_GB2312" w:eastAsia="仿宋_GB2312" w:hAnsi="仿宋_GB2312" w:cs="仿宋_GB2312"/>
          <w:sz w:val="32"/>
        </w:rPr>
        <w:t>，主要原因是：预算未安排，无此项支出</w:t>
      </w:r>
      <w:r>
        <w:rPr>
          <w:rFonts w:ascii="仿宋_GB2312" w:eastAsia="仿宋_GB2312" w:hAnsi="仿宋_GB2312" w:cs="仿宋_GB2312"/>
          <w:sz w:val="32"/>
        </w:rPr>
        <w:t>；公务用车运行费预算数0万元，</w:t>
      </w:r>
      <w:r>
        <w:rPr>
          <w:rFonts w:ascii="仿宋_GB2312" w:eastAsia="仿宋_GB2312" w:hAnsi="仿宋_GB2312" w:cs="仿宋_GB2312"/>
          <w:sz w:val="32"/>
        </w:rPr>
        <w:lastRenderedPageBreak/>
        <w:t>决算数0万元，预决算差异率0%</w:t>
      </w:r>
      <w:r w:rsidR="00031E75">
        <w:rPr>
          <w:rFonts w:ascii="仿宋_GB2312" w:eastAsia="仿宋_GB2312" w:hAnsi="仿宋_GB2312" w:cs="仿宋_GB2312"/>
          <w:sz w:val="32"/>
        </w:rPr>
        <w:t>，主要原因是：预算未安排，无此项支出</w:t>
      </w:r>
      <w:r>
        <w:rPr>
          <w:rFonts w:ascii="仿宋_GB2312" w:eastAsia="仿宋_GB2312" w:hAnsi="仿宋_GB2312" w:cs="仿宋_GB2312"/>
          <w:sz w:val="32"/>
        </w:rPr>
        <w:t>；公务接待费预算数443.65万元，决算数443.65万元，预决算差异率0%，主要原因是：严格按照预算执行。</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机关事务管理局日常公用经费46.03万元，比上年增加34.80万元，增长309.88%，主要原因是1、2019年我局新增定点帮扶村，增加帮扶工作经费；2、地区服务车队于2018年5月成立，上年运转经费为8个月的支出，本年为全年支出，导致支出增加。</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2019年度政府采购支出总额37.93万元，其中：政府采购货物支出37.93万元、政府采购工程支出0万元、政府采购服务支出0万元。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授予中小企业合同金额37.93万元，占政</w:t>
      </w:r>
      <w:bookmarkStart w:id="30" w:name="_GoBack"/>
      <w:bookmarkEnd w:id="30"/>
      <w:r>
        <w:rPr>
          <w:rFonts w:ascii="仿宋_GB2312" w:eastAsia="仿宋_GB2312" w:hAnsi="仿宋_GB2312" w:cs="仿宋_GB2312"/>
          <w:sz w:val="32"/>
        </w:rPr>
        <w:t>府采购支出总额的100%，其中：授予小微企业合同金额37.93万元，占政府采购支出总额的100%。</w:t>
      </w:r>
    </w:p>
    <w:p w:rsidR="008853A8" w:rsidRDefault="008853A8">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w:t>
      </w:r>
      <w:r>
        <w:rPr>
          <w:rFonts w:ascii="仿宋_GB2312" w:eastAsia="仿宋_GB2312" w:hAnsi="仿宋_GB2312" w:cs="仿宋_GB2312"/>
          <w:sz w:val="32"/>
        </w:rPr>
        <w:lastRenderedPageBreak/>
        <w:t>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39个，共涉及资金2533.44万元。预算绩效管理取得的成效：一是部门年度任务在预算资金额度内完成，并且年度内重大项目通过规范的招投标及严格的资金管理及项目管理及其他创新的管理措施实现了资金的节约，例如行署技校集中办公区维修改造项目，节约资金140.28万元。2019年我局三公经费严格按照预算开支，因我局属2017年新成立单位，人员存在空缺，2019年不断新增人员，导致办公设备等采购支出增加，我局严格控制办公经费支出，严格按照政府采购要求，做好相关办公设备采购工作，以保证我局工作正常开展；二是2019年各项工作计划基本按预期计划按时完成，因自治区政策调整问题，导致办公用房管理系统建设项目取消，其余项目资金能够及时拨付，工资及时按月发放，项目按照计划有序开工且按照工期约定按照完工，产生了良好的社会效益；三是根据地区机关事务管理局工作</w:t>
      </w:r>
      <w:r>
        <w:rPr>
          <w:rFonts w:ascii="仿宋_GB2312" w:eastAsia="仿宋_GB2312" w:hAnsi="仿宋_GB2312" w:cs="仿宋_GB2312"/>
          <w:sz w:val="32"/>
        </w:rPr>
        <w:lastRenderedPageBreak/>
        <w:t>职能，预期社会效益是做好后勤保障工作，确保地委办公区，领导干部生活区各类基础设施设备正常使用，安全保卫措施到位，公共区域内绿化、环境卫生等有序保障，同时可提供部分就业岗位，解决部分家庭就业问题；全区公共机构节能工作的开展，人均综合能耗的逐步下降，也产生良好的社会效益。2019年以上效益均已完成，且可持续的影响各单位办公用房及干部周转房使用年限，不断提升各单位节能减排工作，住户及干部的满意度较高。发现的问题及原因：一是一是绩效目标设定不够科学，不能够体现项目实际产出和效益；二是年初预算时各个项目的立项依据不足，缺乏统筹性和前瞻性；三是绩效工作，财务和业务科室之间的分工不够明确，业务科室对绩效管理工作认识仍然存在不足，资金无具体支出计划，导致资金出现年底集中支付现象。下一步改进措施：一是严格按照《地区机关事务管理局绩效评价管理工作流程》，按照“谁使用谁绩效”原则，做好2020年绩效目标事前绩效评估，绩效目标设定等工作，确保绩效目标设定科学合理；二是2020年预算资金，各业务科室在提交预算同时，必须提供预算印证材料，确保项目有据可依，资金支出合理合规；三是年初做好资金计划，按照项目进度及时拨付资金，使资金使用效益最大化，减少不必要的浪费，节约成本。建议业务科室指定专人负责绩效管理工作，确保绩效管理工作全程可控。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lastRenderedPageBreak/>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lastRenderedPageBreak/>
        <w:t>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9B3" w:rsidRDefault="00B159B3">
      <w:r>
        <w:separator/>
      </w:r>
    </w:p>
  </w:endnote>
  <w:endnote w:type="continuationSeparator" w:id="0">
    <w:p w:rsidR="00B159B3" w:rsidRDefault="00B1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2B4BAC">
                            <w:rPr>
                              <w:noProof/>
                            </w:rPr>
                            <w:t>8</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2B4BAC">
                      <w:rPr>
                        <w:noProof/>
                      </w:rPr>
                      <w:t>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9B3" w:rsidRDefault="00B159B3">
      <w:r>
        <w:separator/>
      </w:r>
    </w:p>
  </w:footnote>
  <w:footnote w:type="continuationSeparator" w:id="0">
    <w:p w:rsidR="00B159B3" w:rsidRDefault="00B159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PmfDaedq/mkxeYfXrdUXUFZe1wM=" w:salt="Ji6E9A870uVQNJ9EHkieX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31E75"/>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A76C2"/>
    <w:rsid w:val="001B29CD"/>
    <w:rsid w:val="001C2D35"/>
    <w:rsid w:val="001C5BE8"/>
    <w:rsid w:val="001C6E66"/>
    <w:rsid w:val="001D3634"/>
    <w:rsid w:val="001D37EF"/>
    <w:rsid w:val="001E4D79"/>
    <w:rsid w:val="001F29A9"/>
    <w:rsid w:val="001F777A"/>
    <w:rsid w:val="002122DE"/>
    <w:rsid w:val="00225BA8"/>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4BAC"/>
    <w:rsid w:val="002B7A04"/>
    <w:rsid w:val="002C7DC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2645B"/>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159B3"/>
    <w:rsid w:val="00B24234"/>
    <w:rsid w:val="00B3219F"/>
    <w:rsid w:val="00B35168"/>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26C35"/>
    <w:rsid w:val="00D40FB3"/>
    <w:rsid w:val="00D6644C"/>
    <w:rsid w:val="00D71F68"/>
    <w:rsid w:val="00D767F4"/>
    <w:rsid w:val="00DA07A0"/>
    <w:rsid w:val="00DB4A9A"/>
    <w:rsid w:val="00DB6F81"/>
    <w:rsid w:val="00DD3B82"/>
    <w:rsid w:val="00E02851"/>
    <w:rsid w:val="00E43F43"/>
    <w:rsid w:val="00E76594"/>
    <w:rsid w:val="00EB1FF2"/>
    <w:rsid w:val="00EB42AF"/>
    <w:rsid w:val="00EB49C8"/>
    <w:rsid w:val="00ED0F34"/>
    <w:rsid w:val="00EE0EC7"/>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1011</Words>
  <Characters>5765</Characters>
  <Application>Microsoft Office Word</Application>
  <DocSecurity>8</DocSecurity>
  <Lines>48</Lines>
  <Paragraphs>13</Paragraphs>
  <ScaleCrop>false</ScaleCrop>
  <Company/>
  <LinksUpToDate>false</LinksUpToDate>
  <CharactersWithSpaces>6763</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16</cp:revision>
  <dcterms:created xsi:type="dcterms:W3CDTF">2020-09-08T14:04:00Z</dcterms:created>
  <dcterms:modified xsi:type="dcterms:W3CDTF">2020-11-25T05:10:00Z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