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ascii="方正小标宋_GBK" w:hAnsi="方正小标宋_GBK" w:eastAsia="方正小标宋_GBK" w:cs="方正小标宋_GBK"/>
          <w:sz w:val="44"/>
        </w:rPr>
        <w:t>新疆人民检察院喀什分院2019年度部门决算</w:t>
      </w: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4"/>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4"/>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2"/>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2"/>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2"/>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4"/>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4"/>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rPr>
          <w:rFonts w:ascii="仿宋_GB2312" w:eastAsia="仿宋_GB2312"/>
          <w:sz w:val="32"/>
          <w:szCs w:val="32"/>
        </w:rPr>
      </w:pPr>
      <w:r>
        <w:rPr>
          <w:rFonts w:ascii="仿宋_GB2312" w:hAnsi="仿宋_GB2312" w:eastAsia="仿宋_GB2312" w:cs="仿宋_GB2312"/>
          <w:sz w:val="32"/>
        </w:rPr>
        <w:t xml:space="preserve">    新疆维吾尔自治区人民检察院喀什分院是国家法律监督机关，法律赋予其履行职责所必要的各项检察权，在行使检察权打击一切犯罪，维护国家统一，保护国家和公民财产安全，确保</w:t>
      </w:r>
      <w:bookmarkStart w:id="54" w:name="_GoBack"/>
      <w:bookmarkEnd w:id="54"/>
      <w:r>
        <w:rPr>
          <w:rFonts w:hint="eastAsia" w:ascii="仿宋_GB2312" w:hAnsi="仿宋_GB2312" w:eastAsia="仿宋_GB2312" w:cs="仿宋_GB2312"/>
          <w:sz w:val="32"/>
          <w:lang w:eastAsia="zh-CN"/>
        </w:rPr>
        <w:t>人民生命财产安全</w:t>
      </w:r>
      <w:r>
        <w:rPr>
          <w:rFonts w:ascii="仿宋_GB2312" w:hAnsi="仿宋_GB2312" w:eastAsia="仿宋_GB2312" w:cs="仿宋_GB2312"/>
          <w:sz w:val="32"/>
        </w:rPr>
        <w:t>。</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ascii="仿宋_GB2312" w:hAnsi="仿宋_GB2312" w:eastAsia="仿宋_GB2312" w:cs="仿宋_GB2312"/>
          <w:sz w:val="32"/>
        </w:rPr>
        <w:t>新疆人民检察院喀什分院2019年度，实有人数211人，其中：在职人员123人，离休人员0人，退休人员88人。</w:t>
      </w:r>
    </w:p>
    <w:p>
      <w:pPr>
        <w:ind w:firstLine="640" w:firstLineChars="200"/>
        <w:rPr>
          <w:rFonts w:ascii="仿宋_GB2312" w:eastAsia="仿宋_GB2312"/>
          <w:sz w:val="32"/>
          <w:szCs w:val="32"/>
        </w:rPr>
      </w:pPr>
      <w:r>
        <w:rPr>
          <w:rFonts w:ascii="仿宋_GB2312" w:hAnsi="仿宋_GB2312" w:eastAsia="仿宋_GB2312" w:cs="仿宋_GB2312"/>
          <w:sz w:val="32"/>
        </w:rPr>
        <w:t>从部门决算单位构成看，新疆人民检察院喀什分院部门决算包括：新疆人民检察院喀什分院决算。</w:t>
      </w:r>
    </w:p>
    <w:p>
      <w:pPr>
        <w:ind w:firstLine="640" w:firstLineChars="200"/>
        <w:jc w:val="center"/>
        <w:outlineLvl w:val="0"/>
        <w:rPr>
          <w:rFonts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hAnsi="仿宋_GB2312" w:eastAsia="仿宋_GB2312" w:cs="仿宋_GB2312"/>
          <w:sz w:val="32"/>
        </w:rPr>
        <w:t>2019年度本年收入4,289.53万元，与上年相比，增加927.37万元，增长27.58%，主要原因是：1、上年上级专项结转资金结转至2019年使用；2、2019年7月新增30名聘用制书记员、人员经费增加；3、工资正常晋升，人员经费增加。本年支出4,287.89万元，与上年相比，增加925.73万元，增长27.53%，主要原因是：1、上年上级专项结转资金结转至2019年使用；2、2019年7月新增30名聘用制书记员、人员经费增加；3、工资正常晋升，人员经费增加。</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hAnsi="仿宋_GB2312" w:eastAsia="仿宋_GB2312" w:cs="仿宋_GB2312"/>
          <w:sz w:val="32"/>
        </w:rPr>
        <w:t>2019年度本年收入4,289.53万元，其中：财政拨款收入4,289.53万元，占100%；上级补助收入0万元，占0%；事业收入0万元，占0%；经营收入0万元，占0%；附属单位上缴收入0万元，占0%；其他收入0万元，占0%。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hAnsi="仿宋_GB2312" w:eastAsia="仿宋_GB2312" w:cs="仿宋_GB2312"/>
          <w:sz w:val="32"/>
        </w:rPr>
        <w:t>2019年度本年支出4,287.89万元，其中：基本支出2,640.66万元，占61.58%；项目支出1,647.23万元，占38.42%；上缴上级支出0万元，占0%；经营支出0万元，占0%；对附属单位补助支出0万元，占0%。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hAnsi="仿宋_GB2312" w:eastAsia="仿宋_GB2312" w:cs="仿宋_GB2312"/>
          <w:sz w:val="32"/>
        </w:rPr>
        <w:t>2019年度财政拨款收入4,289.53万元，与上年相比，增加927.37万元，增长27.58%，主要原因是：1、上年上级专项结转资金结转至2019年使用；2、2019年7月新增30名聘用制书记员、人员经费增加；3、工资正常晋升，人员经费增加。财政拨款支出4,287.89万元，与上年相比，增加925.73万元，增长27.53%，主要原因是：1、上年上级专项结转资金结转至2019年使用；2、2019年7月新增30名聘用制书记员、人员经费增加；3、工资正常晋升，人员经费增加。</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财政拨款收入年初预算数2,650.08万元，决算数4,289.53万元，预决算差异率61.86%，主要原因是：1、预算不包含当年上级专项转移支付资金；2、年中追加本级配套资金。财政拨款支出年初预算数3,057.15万元，决算数4,287.89万元，预决算差异率40.26%，主要原因是：1、预算不包含当年上级专项转移支付资金；2、年中追加本级配套资金。</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960" w:firstLineChars="300"/>
        <w:rPr>
          <w:rFonts w:ascii="仿宋_GB2312" w:eastAsia="仿宋_GB2312"/>
          <w:sz w:val="32"/>
          <w:szCs w:val="32"/>
        </w:rPr>
      </w:pPr>
      <w:r>
        <w:rPr>
          <w:rFonts w:ascii="仿宋_GB2312" w:hAnsi="仿宋_GB2312" w:eastAsia="仿宋_GB2312" w:cs="仿宋_GB2312"/>
          <w:sz w:val="32"/>
        </w:rPr>
        <w:t>2019年度一般公共预算财政拨款支出4,287.89万元。按功能分类科目项级科目公开，其中：</w:t>
      </w:r>
    </w:p>
    <w:p>
      <w:pPr>
        <w:ind w:firstLine="480"/>
      </w:pPr>
      <w:r>
        <w:rPr>
          <w:rFonts w:ascii="仿宋_GB2312" w:hAnsi="仿宋_GB2312" w:eastAsia="仿宋_GB2312" w:cs="仿宋_GB2312"/>
          <w:sz w:val="32"/>
        </w:rPr>
        <w:t xml:space="preserve">   2299901其他支出67.92万元。</w:t>
      </w:r>
    </w:p>
    <w:p>
      <w:pPr>
        <w:ind w:firstLine="480"/>
      </w:pPr>
      <w:r>
        <w:rPr>
          <w:rFonts w:ascii="仿宋_GB2312" w:hAnsi="仿宋_GB2312" w:eastAsia="仿宋_GB2312" w:cs="仿宋_GB2312"/>
          <w:sz w:val="32"/>
        </w:rPr>
        <w:t xml:space="preserve">   2210201住房公积金支出144.90万元；</w:t>
      </w:r>
    </w:p>
    <w:p>
      <w:pPr>
        <w:ind w:firstLine="480"/>
      </w:pPr>
      <w:r>
        <w:rPr>
          <w:rFonts w:ascii="仿宋_GB2312" w:hAnsi="仿宋_GB2312" w:eastAsia="仿宋_GB2312" w:cs="仿宋_GB2312"/>
          <w:sz w:val="32"/>
        </w:rPr>
        <w:t xml:space="preserve">   2080506机关事业单位职业年金缴费支出84.89万元；</w:t>
      </w:r>
    </w:p>
    <w:p>
      <w:pPr>
        <w:ind w:firstLine="480"/>
      </w:pPr>
      <w:r>
        <w:rPr>
          <w:rFonts w:ascii="仿宋_GB2312" w:hAnsi="仿宋_GB2312" w:eastAsia="仿宋_GB2312" w:cs="仿宋_GB2312"/>
          <w:sz w:val="32"/>
        </w:rPr>
        <w:t xml:space="preserve">   2080505机关事业单位基本养老保险缴费支出195.68万元；</w:t>
      </w:r>
    </w:p>
    <w:p>
      <w:pPr>
        <w:ind w:firstLine="480"/>
      </w:pPr>
      <w:r>
        <w:rPr>
          <w:rFonts w:ascii="仿宋_GB2312" w:hAnsi="仿宋_GB2312" w:eastAsia="仿宋_GB2312" w:cs="仿宋_GB2312"/>
          <w:sz w:val="32"/>
        </w:rPr>
        <w:t xml:space="preserve">   2049901其他公共安全支出233万元；</w:t>
      </w:r>
    </w:p>
    <w:p>
      <w:pPr>
        <w:ind w:firstLine="480"/>
      </w:pPr>
      <w:r>
        <w:rPr>
          <w:rFonts w:ascii="仿宋_GB2312" w:hAnsi="仿宋_GB2312" w:eastAsia="仿宋_GB2312" w:cs="仿宋_GB2312"/>
          <w:sz w:val="32"/>
        </w:rPr>
        <w:t xml:space="preserve">   2040499其他检察支出1,204.07万元；</w:t>
      </w:r>
    </w:p>
    <w:p>
      <w:pPr>
        <w:ind w:firstLine="480"/>
      </w:pPr>
      <w:r>
        <w:rPr>
          <w:rFonts w:ascii="仿宋_GB2312" w:hAnsi="仿宋_GB2312" w:eastAsia="仿宋_GB2312" w:cs="仿宋_GB2312"/>
          <w:sz w:val="32"/>
        </w:rPr>
        <w:t xml:space="preserve">   2040402一般行政管理事务支出142.24万元；</w:t>
      </w:r>
    </w:p>
    <w:p>
      <w:pPr>
        <w:ind w:firstLine="480"/>
      </w:pPr>
      <w:r>
        <w:rPr>
          <w:rFonts w:ascii="仿宋_GB2312" w:hAnsi="仿宋_GB2312" w:eastAsia="仿宋_GB2312" w:cs="仿宋_GB2312"/>
          <w:sz w:val="32"/>
        </w:rPr>
        <w:t xml:space="preserve">   2040401行政运行支出2,215.20万元；</w:t>
      </w:r>
    </w:p>
    <w:p>
      <w:pPr>
        <w:ind w:firstLine="640" w:firstLineChars="200"/>
        <w:outlineLvl w:val="1"/>
        <w:rPr>
          <w:rFonts w:ascii="黑体" w:hAnsi="黑体" w:eastAsia="黑体" w:cs="宋体"/>
          <w:bCs/>
          <w:kern w:val="0"/>
          <w:sz w:val="32"/>
          <w:szCs w:val="32"/>
        </w:rPr>
      </w:pPr>
      <w:bookmarkStart w:id="18" w:name="_Toc30870"/>
      <w:bookmarkStart w:id="19" w:name="_Toc11146"/>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2019年度一般公共预算财政拨款基本支出2,640.66万元，其中：</w:t>
      </w:r>
    </w:p>
    <w:p>
      <w:pPr>
        <w:ind w:firstLine="640" w:firstLineChars="200"/>
        <w:rPr>
          <w:rFonts w:ascii="仿宋_GB2312" w:eastAsia="仿宋_GB2312"/>
          <w:sz w:val="32"/>
          <w:szCs w:val="32"/>
        </w:rPr>
      </w:pPr>
      <w:r>
        <w:rPr>
          <w:rFonts w:ascii="仿宋_GB2312" w:hAnsi="仿宋_GB2312" w:eastAsia="仿宋_GB2312" w:cs="仿宋_GB2312"/>
          <w:sz w:val="32"/>
        </w:rPr>
        <w:t>人员经费2,471.14万元，包括：基本工资、津贴补贴、奖金、机关事业单位基本养老保险缴费、职业年金缴费、职工基本医疗保险缴费、公务员医疗补助缴费、其他社会保障缴费、住房公积金、其他工资福利支出、退休费、生活补助、奖励金、其他对个人和家庭的补助。</w:t>
      </w:r>
    </w:p>
    <w:p>
      <w:pPr>
        <w:ind w:firstLine="640" w:firstLineChars="200"/>
        <w:rPr>
          <w:rFonts w:ascii="仿宋_GB2312" w:eastAsia="仿宋_GB2312"/>
          <w:sz w:val="32"/>
          <w:szCs w:val="32"/>
        </w:rPr>
      </w:pPr>
      <w:r>
        <w:rPr>
          <w:rFonts w:ascii="仿宋_GB2312" w:hAnsi="仿宋_GB2312" w:eastAsia="仿宋_GB2312" w:cs="仿宋_GB2312"/>
          <w:sz w:val="32"/>
        </w:rPr>
        <w:t>公用经费169.53万元，包括：办公费、印刷费、手续费、水费、电费、邮电费、取暖费、差旅费、专用材料费、劳务费、委托业务费、公务用车运行维护费、其他交通费用、其他商品和服务支出</w:t>
      </w:r>
      <w:r>
        <w:rPr>
          <w:rFonts w:hint="eastAsia" w:ascii="仿宋_GB2312" w:hAnsi="仿宋_GB2312" w:eastAsia="仿宋_GB2312" w:cs="仿宋_GB2312"/>
          <w:sz w:val="32"/>
          <w:lang w:eastAsia="zh-CN"/>
        </w:rPr>
        <w:t>、专用设备购置、公务用车购置</w:t>
      </w:r>
      <w:r>
        <w:rPr>
          <w:rFonts w:ascii="仿宋_GB2312" w:hAnsi="仿宋_GB2312" w:eastAsia="仿宋_GB2312" w:cs="仿宋_GB2312"/>
          <w:sz w:val="32"/>
        </w:rPr>
        <w:t>。</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三公”经费支出决算258.95万元，比上年增加180.75万元，增长231.14%，主要原因是根据业务工作需要，年中追加经费购置10辆执法执勤用车。其中，因公出国（境）费支出0万元，占0%，比上年增加0万元，增长0%，主要原因是与上年相比无变动，与上年一致；公务用车购置及运行维护费支出258.95万元，占100%，比上年增加180.75万元，增长231.14%，主要原因是根据业务工作需要，年中追加经费购置10辆执法执勤用车；公务接待费支出0万元，占0%，比上年增加0万元，增长0%，主要原因是与上年相比无变动，与上年一致。具体情况如下：</w:t>
      </w:r>
    </w:p>
    <w:p>
      <w:pPr>
        <w:ind w:firstLine="640" w:firstLineChars="200"/>
        <w:rPr>
          <w:rFonts w:ascii="仿宋_GB2312" w:eastAsia="仿宋_GB2312"/>
          <w:sz w:val="32"/>
          <w:szCs w:val="32"/>
        </w:rPr>
      </w:pPr>
      <w:r>
        <w:rPr>
          <w:rFonts w:ascii="仿宋_GB2312" w:hAnsi="仿宋_GB2312" w:eastAsia="仿宋_GB2312" w:cs="仿宋_GB2312"/>
          <w:sz w:val="32"/>
        </w:rPr>
        <w:t>因公出国（境）费支出0万元，开支内容包括：预算未安排，无此项支出。单位全年安排的因公出国（境）团组0个，因公出国（境）0人次。</w:t>
      </w:r>
    </w:p>
    <w:p>
      <w:pPr>
        <w:ind w:firstLine="640" w:firstLineChars="200"/>
        <w:rPr>
          <w:rFonts w:ascii="仿宋_GB2312" w:eastAsia="仿宋_GB2312"/>
          <w:sz w:val="32"/>
          <w:szCs w:val="32"/>
        </w:rPr>
      </w:pPr>
      <w:r>
        <w:rPr>
          <w:rFonts w:ascii="仿宋_GB2312" w:hAnsi="仿宋_GB2312" w:eastAsia="仿宋_GB2312" w:cs="仿宋_GB2312"/>
          <w:sz w:val="32"/>
        </w:rPr>
        <w:t>公务用车购置及运行维护费258.95万元，其中，公务用车购置费185.35万元，公务用车运行维护费73.60万元。公务用车运行维护费开支内容包括车辆油料、汽车保险、维修费、过路费等。公务用车购置数10辆，公务用车保有量33辆。</w:t>
      </w:r>
    </w:p>
    <w:p>
      <w:pPr>
        <w:ind w:firstLine="640" w:firstLineChars="200"/>
        <w:rPr>
          <w:rFonts w:ascii="仿宋_GB2312" w:eastAsia="仿宋_GB2312"/>
          <w:sz w:val="32"/>
          <w:szCs w:val="32"/>
        </w:rPr>
      </w:pPr>
      <w:r>
        <w:rPr>
          <w:rFonts w:ascii="仿宋_GB2312" w:hAnsi="仿宋_GB2312" w:eastAsia="仿宋_GB2312" w:cs="仿宋_GB2312"/>
          <w:sz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一般公共预算“三公”经费支出年初预算数75.90万元，决算数258.95万元，预决算差异率241.17%，主要原因是：根据业务工作需要，年中追加经费购置10辆执法执勤用车。其中：因公出国（境）费预算数0万元，决算数0万元，预决算差异率0%，主要原因是：预算未安排，无此项支出；公务用车购置费预算数0万元，决算数185.35万元，预决算差异率100%，主要原因是：根据业务工作需要，年中追加经费购置10辆执法执勤用车；公务用车运行费预算数75.90万元，决算数73.60万元，预决算差异率-3.03%，主要原因是：节约车辆运行成本，压缩支出；公务接待费预算数0万元，决算数0万元，预决算差异率0%，主要原因是：预算未安排，无此项支出。</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hAnsi="仿宋_GB2312" w:eastAsia="仿宋_GB2312" w:cs="仿宋_GB2312"/>
          <w:sz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1235"/>
      <w:bookmarkStart w:id="25" w:name="_Toc7314"/>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ascii="仿宋_GB2312" w:hAnsi="仿宋_GB2312" w:eastAsia="仿宋_GB2312" w:cs="仿宋_GB2312"/>
          <w:sz w:val="32"/>
        </w:rPr>
        <w:t>2019年度新疆人民检察院喀什分院机关运行经费支出169.53万元，比上年增加9.85万元，增长6.17%，主要原因是人员增加，帮扶活动工作经费增加。</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hAnsi="仿宋_GB2312" w:eastAsia="仿宋_GB2312" w:cs="仿宋_GB2312"/>
          <w:sz w:val="32"/>
        </w:rPr>
        <w:t>2019年度政府采购支出总额552.45万元，其中：政府采购货物支出263.24万元、政府采购工程支出276.93万元、政府采购服务支出12.28万元。</w:t>
      </w:r>
    </w:p>
    <w:p>
      <w:pPr>
        <w:ind w:firstLine="640" w:firstLineChars="200"/>
        <w:rPr>
          <w:rFonts w:ascii="仿宋_GB2312" w:eastAsia="仿宋_GB2312"/>
          <w:sz w:val="32"/>
          <w:szCs w:val="32"/>
        </w:rPr>
      </w:pPr>
      <w:r>
        <w:rPr>
          <w:rFonts w:ascii="仿宋_GB2312" w:hAnsi="仿宋_GB2312" w:eastAsia="仿宋_GB2312" w:cs="仿宋_GB2312"/>
          <w:sz w:val="32"/>
        </w:rPr>
        <w:t>授予中小企业合同金额552.45万元，占政府采购支出总额的100%，其中：授予小微企业合同金额552.45万元，占政府采购支出总额的100%。</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ascii="仿宋_GB2312" w:hAnsi="仿宋_GB2312" w:eastAsia="仿宋_GB2312" w:cs="仿宋_GB2312"/>
          <w:sz w:val="32"/>
        </w:rPr>
        <w:t>截止2019年12月31日，单位共有房屋17,319.83（平方米），价值2,326.56万元。车辆33辆，价值722.22万元，其中：副部（省）级及以上领导用车0辆、主要领导干部用车0辆、机要通信用车0辆、应急保障用车0辆、执法执勤用车25辆、特种专业技术用车8辆、离退休干部用车0辆、其他用车0辆，其他用车主要是：无其他用车；单位价值50万元以上通用设备3台（套）、单位价值100万元以上专用设备0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rPr>
      </w:pPr>
      <w:r>
        <w:rPr>
          <w:rFonts w:ascii="仿宋_GB2312" w:hAnsi="仿宋_GB2312" w:eastAsia="仿宋_GB2312" w:cs="仿宋_GB2312"/>
          <w:sz w:val="32"/>
        </w:rPr>
        <w:t>根据预算绩效管理要求，我单位2019年度开展预算绩效评价项目12个，共涉及资金560.48万元。预算绩效管理取得的成效：一是部门年度任务是在预算资金额度内完成，并通过规范的招投标及严格的资金管理及项目管理及其他创新的管理措施实现了资金的节约。三公经费是在预算范围内开支，开支范围较上年的变化，是有节约；二是各项目的实施工作计划是按预期计划按时完成，效益是按预期时间产生；三是预期的经济效益、社会效益、可持续的影响是产生，相关人员的满意非常满意。发现的问题及原因：一是通过预算绩效管理，发现了工作中存在的不足，如前期资金使用因好多项目执行较晚，资金执行进度缓慢，影响了项目的进度，造成了部分资金的浪费。下一步改进措施：一是年初做好资金计划，把计划做细，每个项目明确规定项目负责人，按月汇报项目实施情况，需要整改的部分，督促按时纠正，按照项目进度及时拨付资金，专款专用，减少不必要的浪费，节约成本，使资金使用效益最大化。具体项目自评情况附项目支出绩效自评表。</w:t>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2784"/>
      <w:bookmarkStart w:id="37" w:name="_Toc28903"/>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2183"/>
      <w:bookmarkStart w:id="39" w:name="_Toc6062"/>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28786"/>
      <w:bookmarkStart w:id="45" w:name="_Toc14238"/>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29106"/>
      <w:bookmarkStart w:id="51" w:name="_Toc32663"/>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222CA4"/>
    <w:rsid w:val="257C63C5"/>
    <w:rsid w:val="40222C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toc 3"/>
    <w:basedOn w:val="1"/>
    <w:next w:val="1"/>
    <w:uiPriority w:val="0"/>
    <w:pPr>
      <w:ind w:left="840" w:leftChars="400"/>
    </w:pPr>
  </w:style>
  <w:style w:type="paragraph" w:styleId="3">
    <w:name w:val="footer"/>
    <w:basedOn w:val="1"/>
    <w:uiPriority w:val="0"/>
    <w:pPr>
      <w:tabs>
        <w:tab w:val="center" w:pos="4153"/>
        <w:tab w:val="right" w:pos="8306"/>
      </w:tabs>
      <w:snapToGrid w:val="0"/>
      <w:jc w:val="left"/>
    </w:pPr>
    <w:rPr>
      <w:sz w:val="18"/>
    </w:rPr>
  </w:style>
  <w:style w:type="paragraph" w:styleId="4">
    <w:name w:val="toc 1"/>
    <w:basedOn w:val="1"/>
    <w:next w:val="1"/>
    <w:uiPriority w:val="0"/>
  </w:style>
  <w:style w:type="paragraph" w:styleId="5">
    <w:name w:val="toc 2"/>
    <w:basedOn w:val="1"/>
    <w:next w:val="1"/>
    <w:uiPriority w:val="0"/>
    <w:pPr>
      <w:ind w:left="420" w:left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2023-11-08T11:20:00Z</dcterms:created>
  <dc:creator>Administrator</dc:creator>
  <cp:lastModifiedBy>Administrator</cp:lastModifiedBy>
  <dcterms:modified xsi:type="dcterms:W3CDTF">2023-11-08T11:21:44Z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