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新疆喀什地区中级人民法院2019年度部门决算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ascii="仿宋_GB2312" w:hAnsi="仿宋_GB2312" w:eastAsia="仿宋_GB2312" w:cs="仿宋_GB2312"/>
          <w:sz w:val="32"/>
        </w:rPr>
        <w:t xml:space="preserve">    喀什地区中级人民法院是国家的审判机关，对自治区高级人民法院、中共喀什地区委员会和地区人大工委报告工作；接受新疆维吾尔自治区高级人</w:t>
      </w:r>
      <w:r>
        <w:rPr>
          <w:rFonts w:hint="eastAsia" w:ascii="仿宋_GB2312" w:hAnsi="仿宋_GB2312" w:eastAsia="仿宋_GB2312" w:cs="仿宋_GB2312"/>
          <w:sz w:val="32"/>
          <w:lang w:eastAsia="zh-CN"/>
        </w:rPr>
        <w:t>民</w:t>
      </w:r>
      <w:bookmarkStart w:id="54" w:name="_GoBack"/>
      <w:bookmarkEnd w:id="54"/>
      <w:r>
        <w:rPr>
          <w:rFonts w:ascii="仿宋_GB2312" w:hAnsi="仿宋_GB2312" w:eastAsia="仿宋_GB2312" w:cs="仿宋_GB2312"/>
          <w:sz w:val="32"/>
        </w:rPr>
        <w:t>法院对审判工作的监督指导，指导监督喀什地区各县（市）人民法院的审判工作。      1、审判法律规定由喀什地区中级人民法院管辖、自治区高级人民法院指定管辖或者认为应由自己审判的刑事、民事和行政等第一审案件。      2、审判法律规定由喀什地区中级人民法院审理的刑事、民事、行政等第二审案件。      3、审理由自治区高级法院指令再审的案件；审理本院发生法律效力的判决、裁定提起再审的案件；受理不服下级人民法院判决、裁定的各类申诉和申请再审的案件。      4、审判由喀什地区检察分院按照审判监督程序提出的抗诉案件。      5、对下级人民法院管辖不明的案件指定管辖。      6、指导监督喀什地区基层人民法院的审判工作。      7、办理法律规定由喀什地区中级人民法院管辖的减刑、假释案件。      8、依法行使司法规定执行权和司法决定权。      9、依法决定国家赔偿。      10、对法律、法规、规章等草案提出意见；研究拟订喀什地区中级人民法院工作的规章制度，针对案件审理中发现的问题提出司法建议。      11、开展法院司法科学技术研究工作，提供司法技术信息和技术鉴定服务。      12、指导喀什地区基层人民法院的思想政治、宣传教育和培训工作；协同中共喀什地委主管部门加强辖区内基层人民法院领导班子和队伍建设；按照权限管理法官和其他工作人员，协同喀什地区主管部门管理喀什地区两级人民法院的机构设置及人员编制工作。      13、指导喀什地区两级人民法院的监察工作。      14、负债法警教育、训练、管理及日常工作。      15、在审判工作中宣传法制，教育公民自觉遵守宪法、法律。      16、管理喀什地区两级法院的有关经费和物资装备。      17、承办其他应由喀什地区中级人民法院负债的工作。</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新疆喀什地区中级人民法院2019年度，实有人数301人，其中：在职人员207人，离休人员1人，退休人员93人。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从部门决算单位构成看，新疆喀什地区中级人民法院部门决算包括：新疆喀什地区中级人民法院决算。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6,389.12万元，与上年相比，增加71.89万元，增长1.14%，主要原因是：1、新增聘任制书记员54人；2、工资正常晋升；3、新增1个项目。本年支出6,211.25万元，与上年相比，增加360.45万元，增长6.16%，主要原因是：1、新增聘任制书记员54人；2、工资正常晋升；3、新增1个项目。</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2019年度本年收入6,389.12万元，其中：财政拨款收入5,849.12万元，占91.55%；上级补助收入0万元，占0%；事业收入0万元，占0%；经营收入0万元，占0%；附属单位上缴收入0万元，占0%；其他收入540万元，占8.45%。</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2019年度本年支出6,211.25万元，其中：基本支出4,283.84万元，占68.97%；项目支出1,927.41万元，占31.03%；上缴上级支出0万元，占0%；经营支出0万元，占0%；对附属单位补助支出0万元，占0%。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5,849.12万元，与上年相比，增加256.89万元，增长4.59%，主要原因是：1、新增聘任制书记员54人；2、工资正常晋升；3、新增1个项目。财政拨款支出5,849.12万元，与上年相比，增加256.89万元，增长4.59%，主要原因是：1、新增聘任制书记员54人；2、工资正常晋升；3、新增1个项目。</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4,251.39万元，决算数5,849.12万元，预决算差异率37.58%，主要原因是：1、年初预算中不包含当年上级专项；2、年中新增聘任制书记员54人；3、工资正常晋升，人员经费调增；4、年中追加1个项目。财政拨款支出年初预算数4,251.39万元，决算数5,849.12万元，预决算差异率37.58%，主要原因是：1、年初预算中不包含当年上级专项；2、年中新增聘任制书记员54人；3、工资正常晋升，人员经费调增；4、年中追加1个项目。</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2019年度一般公共预算财政拨款支出5,849.12万元。按功能分类科目项级科目公开，其中：</w:t>
      </w:r>
    </w:p>
    <w:p>
      <w:pPr>
        <w:ind w:firstLine="480"/>
      </w:pPr>
      <w:r>
        <w:rPr>
          <w:rFonts w:ascii="仿宋_GB2312" w:hAnsi="仿宋_GB2312" w:eastAsia="仿宋_GB2312" w:cs="仿宋_GB2312"/>
          <w:sz w:val="32"/>
        </w:rPr>
        <w:t xml:space="preserve">   2299901其他支出57万元；</w:t>
      </w:r>
    </w:p>
    <w:p>
      <w:pPr>
        <w:ind w:firstLine="480"/>
      </w:pPr>
      <w:r>
        <w:rPr>
          <w:rFonts w:ascii="仿宋_GB2312" w:hAnsi="仿宋_GB2312" w:eastAsia="仿宋_GB2312" w:cs="仿宋_GB2312"/>
          <w:sz w:val="32"/>
        </w:rPr>
        <w:t xml:space="preserve">   2210201住房公积金支出234.24万元；</w:t>
      </w:r>
    </w:p>
    <w:p>
      <w:pPr>
        <w:ind w:firstLine="480"/>
      </w:pPr>
      <w:r>
        <w:rPr>
          <w:rFonts w:ascii="仿宋_GB2312" w:hAnsi="仿宋_GB2312" w:eastAsia="仿宋_GB2312" w:cs="仿宋_GB2312"/>
          <w:sz w:val="32"/>
        </w:rPr>
        <w:t xml:space="preserve">   2080506机关事业单位职业年金缴费支出54.73万元；</w:t>
      </w:r>
    </w:p>
    <w:p>
      <w:pPr>
        <w:ind w:firstLine="480"/>
      </w:pPr>
      <w:r>
        <w:rPr>
          <w:rFonts w:ascii="仿宋_GB2312" w:hAnsi="仿宋_GB2312" w:eastAsia="仿宋_GB2312" w:cs="仿宋_GB2312"/>
          <w:sz w:val="32"/>
        </w:rPr>
        <w:t xml:space="preserve">   2080505机关事业单位基本养老保险缴费支出322.15万元；</w:t>
      </w:r>
    </w:p>
    <w:p>
      <w:pPr>
        <w:ind w:firstLine="480"/>
      </w:pPr>
      <w:r>
        <w:rPr>
          <w:rFonts w:ascii="仿宋_GB2312" w:hAnsi="仿宋_GB2312" w:eastAsia="仿宋_GB2312" w:cs="仿宋_GB2312"/>
          <w:sz w:val="32"/>
        </w:rPr>
        <w:t xml:space="preserve">   2050201学前教育支出9.36万元；</w:t>
      </w:r>
    </w:p>
    <w:p>
      <w:pPr>
        <w:ind w:firstLine="480"/>
      </w:pPr>
      <w:r>
        <w:rPr>
          <w:rFonts w:ascii="仿宋_GB2312" w:hAnsi="仿宋_GB2312" w:eastAsia="仿宋_GB2312" w:cs="仿宋_GB2312"/>
          <w:sz w:val="32"/>
        </w:rPr>
        <w:t xml:space="preserve">   2049901其他公共安全支出377万元；</w:t>
      </w:r>
    </w:p>
    <w:p>
      <w:pPr>
        <w:ind w:firstLine="480"/>
      </w:pPr>
      <w:r>
        <w:rPr>
          <w:rFonts w:ascii="仿宋_GB2312" w:hAnsi="仿宋_GB2312" w:eastAsia="仿宋_GB2312" w:cs="仿宋_GB2312"/>
          <w:sz w:val="32"/>
        </w:rPr>
        <w:t xml:space="preserve">   2040599其他法院支出761.46万元；</w:t>
      </w:r>
    </w:p>
    <w:p>
      <w:pPr>
        <w:ind w:firstLine="480"/>
      </w:pPr>
      <w:r>
        <w:rPr>
          <w:rFonts w:ascii="仿宋_GB2312" w:hAnsi="仿宋_GB2312" w:eastAsia="仿宋_GB2312" w:cs="仿宋_GB2312"/>
          <w:sz w:val="32"/>
        </w:rPr>
        <w:t xml:space="preserve">   2040502一般行政管理事务支出369.82万元；</w:t>
      </w:r>
    </w:p>
    <w:p>
      <w:pPr>
        <w:ind w:firstLine="480"/>
      </w:pPr>
      <w:r>
        <w:rPr>
          <w:rFonts w:ascii="仿宋_GB2312" w:hAnsi="仿宋_GB2312" w:eastAsia="仿宋_GB2312" w:cs="仿宋_GB2312"/>
          <w:sz w:val="32"/>
        </w:rPr>
        <w:t xml:space="preserve">   2040501行政运行支出3,663.36万元；</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2019年度一般公共预算财政拨款基本支出4,283.84万元，其中：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3,904.87万元，包括：基本工资、津贴补贴、奖金、伙食补助费、机关事业单位基本养老保险缴费、职业年金缴费、职工基本医疗保险缴费、公务员医疗补助缴费、其他社会保障缴费、住房公积金、其他工资福利支出、离休费、退休费、抚恤金、生活补助。</w:t>
      </w:r>
    </w:p>
    <w:p>
      <w:pPr>
        <w:ind w:firstLine="640" w:firstLineChars="200"/>
        <w:rPr>
          <w:rFonts w:ascii="仿宋_GB2312" w:eastAsia="仿宋_GB2312"/>
          <w:sz w:val="32"/>
          <w:szCs w:val="32"/>
        </w:rPr>
      </w:pPr>
      <w:r>
        <w:rPr>
          <w:rFonts w:ascii="仿宋_GB2312" w:hAnsi="仿宋_GB2312" w:eastAsia="仿宋_GB2312" w:cs="仿宋_GB2312"/>
          <w:sz w:val="32"/>
        </w:rPr>
        <w:t>公用经费378.97万元，包括：办公费、手续费、水费、电费、邮电费、取暖费、物业管理费、差旅费、维修（护）费、会议费、培训费、公务用车运行维护费、其他交通费用、其他商品和服务支出。</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27.71万元，比上年减少0.29万元，降低1.04%，主要原因是厉行节约，减少“三公”经费支出。其中，因公出国（境）费支出0万元，占0%，比上年增加0万元，增长0%，主要原因是与上年相比无变动，与上年一致；公务用车购置及运行维护费支出27.71万元，占100%，比上年减少0.29万元，降低1.04%，主要原因是厉行节约，减少公车运行维护费支出；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27.71万元，其中，公务用车购置费0万元，公务用车运行维护费27.71万元。公务用车运行维护费开支内容包括汽车油料、维护费、过路费、车辆保险。公务用车购置数0辆，公务用车保有量32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82.80万元，决算数27.71万元，预决算差异率-66.53%，主要原因是：“三公”经费支出年初预算数中的公务用车运行维护费包含执法执勤用车支出和一般公务用车支出，决算数不包含执法执勤用车支出。其中：因公出国（境）费预算数0万元，决算数0万元，预决算差异率0%，主要原因是：预算未安排，无此项支出；公务用车购置费预算数0万元，决算数0万元，预决算差异率0%，主要原因是：预算未安排，无此项支出；公务用车运行费预算数82.80万元，决算数27.71万元，预决算差异率-66.53%，主要原因是：公务用车运行维护费年初预算数包含执法执勤用车和一般公务用车支出，决算数不包含执法执勤用车支出；公务接待费预算数0万元，决算数0万元，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2019年度新疆喀什地区中级人民法院机关运行经费支出378.97万元，比上年增加180.12万元，增长90.58%，主要原因是1、新增公务用车4辆；2、年初人员增加；3、帮扶工作经费增加。</w:t>
      </w:r>
    </w:p>
    <w:p>
      <w:pPr>
        <w:ind w:firstLine="640" w:firstLineChars="200"/>
        <w:outlineLvl w:val="2"/>
        <w:rPr>
          <w:rFonts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2019年度政府采购支出总额382.79万元，其中：政府采购货物支出334.16万元、政府采购工程支出0万元、政府采购服务支出48.63万元。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授予中小企业合同金额334.16万元，占政府采购支出总额的87.3%，其中：授予小微企业合同金额334.16万元，占政府采购支出总额的87.3%。</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8,863.10（平方米），价值1,541.61万元。车辆32辆，价值670.24万元，其中：副部（省）级及以上领导用车0辆、主要领导干部用车0辆、机要通信用车0辆、应急保障用车0辆、执法执勤用车28辆、特种专业技术用车0辆、离退休干部用车0辆、其他用车4辆，其他用车主要是：一般公务用车；单位价值50万元以上通用设备15台（套）、单位价值100万元以上专用设备0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ascii="仿宋_GB2312" w:hAnsi="仿宋_GB2312" w:eastAsia="仿宋_GB2312" w:cs="仿宋_GB2312"/>
          <w:sz w:val="32"/>
        </w:rPr>
        <w:t>根据预算绩效管理要求，我单位2019年度开展预算绩效评价项目8个，共涉及资金220.26万元。预算绩效管理取得的成效：一是部门年度任务在预算资金额度内完成，并通过规范的招投标及严格的资金管理及项目管理及其他创新的管理措施实现了资金的节约。三公经费在预算范围内开支，开支范围较上年的变化，没有节约；二是各项工作计划按预期计划按时完成，效益按预期时间产生；三是预期的社会效益、可持续的影响产生，相关人员的满意度达到预期目标。发现的问题及原因：前期资金使用因项目资金拨付较晚等原因未按期支付，导致了资金滞缓，影响了项目的进度，造成了部分资金的浪费。下一步改进措施：年初做好资金计划，按照项目进度及时拨付资金，使资金使用效益最大化，减少不必要的浪费，节约成本。具体项目自评情况附项目支出绩效自评表。</w:t>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2784"/>
      <w:bookmarkStart w:id="37" w:name="_Toc28903"/>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Z6T9DcJVLamKMFATGNLMza1guXY=" w:salt="p5giaUG/TC2J8USLYVXBng=="/>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2FD5"/>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D6569"/>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B1FF2"/>
    <w:rsid w:val="00EB42AF"/>
    <w:rsid w:val="00EB49C8"/>
    <w:rsid w:val="00EE3598"/>
    <w:rsid w:val="00EE791B"/>
    <w:rsid w:val="00F040C7"/>
    <w:rsid w:val="00F04DC0"/>
    <w:rsid w:val="00F24BA1"/>
    <w:rsid w:val="00F2645F"/>
    <w:rsid w:val="00F45607"/>
    <w:rsid w:val="00F552F7"/>
    <w:rsid w:val="00F57EE2"/>
    <w:rsid w:val="00F67C07"/>
    <w:rsid w:val="00F777E1"/>
    <w:rsid w:val="00F80266"/>
    <w:rsid w:val="00F83E19"/>
    <w:rsid w:val="00FB3828"/>
    <w:rsid w:val="00FB3A48"/>
    <w:rsid w:val="00FC7A52"/>
    <w:rsid w:val="00FE0761"/>
    <w:rsid w:val="00FF5166"/>
    <w:rsid w:val="06792773"/>
    <w:rsid w:val="1DAF458D"/>
    <w:rsid w:val="2A053397"/>
    <w:rsid w:val="2D1136DF"/>
    <w:rsid w:val="2FF90536"/>
    <w:rsid w:val="31C63837"/>
    <w:rsid w:val="3D5275AC"/>
    <w:rsid w:val="46901EEE"/>
    <w:rsid w:val="469C74D2"/>
    <w:rsid w:val="50DB5F45"/>
    <w:rsid w:val="69AD798C"/>
    <w:rsid w:val="6B68175F"/>
    <w:rsid w:val="73FB6630"/>
    <w:rsid w:val="774E7F31"/>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998</Words>
  <Characters>5694</Characters>
  <Lines>47</Lines>
  <Paragraphs>13</Paragraphs>
  <TotalTime>30</TotalTime>
  <ScaleCrop>false</ScaleCrop>
  <LinksUpToDate>false</LinksUpToDate>
  <CharactersWithSpaces>6679</CharactersWithSpaces>
  <Application>WPS Office_11.8.2.8506_F1E327BC-269C-435d-A152-05C5408002CA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2023-07-11T11:56:23Z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