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11" w:name="_GoBack"/>
      <w:bookmarkEnd w:id="11"/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after="120" w:line="360" w:lineRule="auto"/>
        <w:jc w:val="center"/>
        <w:rPr>
          <w:rFonts w:ascii="方正小标宋简体" w:hAnsi="黑体" w:eastAsia="方正小标宋简体" w:cs="黑体"/>
          <w:bCs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喀什地区审计局</w:t>
      </w:r>
      <w:r>
        <w:rPr>
          <w:rFonts w:hint="eastAsia" w:ascii="方正小标宋简体" w:hAnsi="黑体" w:eastAsia="方正小标宋简体" w:cs="黑体"/>
          <w:bCs/>
          <w:sz w:val="44"/>
          <w:szCs w:val="44"/>
        </w:rPr>
        <w:t>2019脱贫攻坚专项审计</w:t>
      </w: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jc w:val="left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 xml:space="preserve">       项目名称：</w:t>
      </w:r>
      <w:r>
        <w:rPr>
          <w:rFonts w:hint="eastAsia" w:ascii="仿宋_GB2312" w:hAnsi="仿宋" w:eastAsia="仿宋_GB2312" w:cs="黑体"/>
          <w:bCs/>
          <w:kern w:val="0"/>
          <w:sz w:val="36"/>
          <w:szCs w:val="36"/>
          <w:lang w:bidi="en-US"/>
        </w:rPr>
        <w:t>喀什地区审计局2019脱贫攻坚专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</w:t>
      </w:r>
    </w:p>
    <w:p>
      <w:pPr>
        <w:autoSpaceDE w:val="0"/>
        <w:autoSpaceDN w:val="0"/>
        <w:spacing w:line="540" w:lineRule="exact"/>
        <w:jc w:val="left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 xml:space="preserve">                 审计项目</w:t>
      </w:r>
    </w:p>
    <w:p>
      <w:pPr>
        <w:autoSpaceDE w:val="0"/>
        <w:autoSpaceDN w:val="0"/>
        <w:spacing w:line="540" w:lineRule="exact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 xml:space="preserve">       实施单位：喀什地区审计局</w:t>
      </w:r>
    </w:p>
    <w:p>
      <w:pPr>
        <w:autoSpaceDE w:val="0"/>
        <w:autoSpaceDN w:val="0"/>
        <w:spacing w:line="540" w:lineRule="exact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 xml:space="preserve">       评价部门：喀什地区审计局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Lines="50" w:line="0" w:lineRule="atLeast"/>
        <w:jc w:val="left"/>
        <w:rPr>
          <w:sz w:val="28"/>
          <w:szCs w:val="28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3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7"/>
        <w:numPr>
          <w:ilvl w:val="0"/>
          <w:numId w:val="3"/>
        </w:numPr>
        <w:spacing w:beforeLines="50" w:line="560" w:lineRule="exact"/>
        <w:ind w:firstLineChars="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pStyle w:val="17"/>
        <w:spacing w:beforeLines="50"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项目为聚焦总目标，打赢脱贫攻坚战，为推动全区贫困人口脱贫致富切实发挥审计监督的作用，通过审计监督促使扶贫资金惠及每一个贫困人员、促进扶贫政策落地生根，助力喀什地区2020年全线脱贫。</w:t>
      </w:r>
    </w:p>
    <w:p>
      <w:pPr>
        <w:pStyle w:val="17"/>
        <w:spacing w:before="50"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bookmarkStart w:id="1" w:name="filename"/>
      <w:r>
        <w:rPr>
          <w:rFonts w:hint="eastAsia" w:ascii="仿宋_GB2312" w:hAnsi="仿宋" w:eastAsia="仿宋_GB2312" w:cs="宋体"/>
          <w:sz w:val="32"/>
          <w:szCs w:val="32"/>
        </w:rPr>
        <w:t>本项目依据“《喀什地区脱贫攻坚方案》2018-2020年”</w:t>
      </w:r>
      <w:bookmarkEnd w:id="1"/>
      <w:r>
        <w:rPr>
          <w:rFonts w:hint="eastAsia" w:ascii="仿宋_GB2312" w:hAnsi="仿宋" w:eastAsia="仿宋_GB2312" w:cs="宋体"/>
          <w:sz w:val="32"/>
          <w:szCs w:val="32"/>
        </w:rPr>
        <w:t>精神申请实施，符合国家、自治区以及喀什地区等相关扶贫政策、规划和法律法规。</w:t>
      </w:r>
    </w:p>
    <w:p>
      <w:pPr>
        <w:pStyle w:val="17"/>
        <w:numPr>
          <w:ilvl w:val="0"/>
          <w:numId w:val="3"/>
        </w:numPr>
        <w:spacing w:beforeLines="50" w:line="560" w:lineRule="exact"/>
        <w:ind w:firstLineChars="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bCs/>
          <w:sz w:val="32"/>
          <w:szCs w:val="32"/>
        </w:rPr>
        <w:t>项目实施主体为喀什</w:t>
      </w:r>
      <w:r>
        <w:rPr>
          <w:rFonts w:hint="eastAsia" w:ascii="仿宋_GB2312" w:eastAsia="仿宋_GB2312"/>
          <w:sz w:val="32"/>
          <w:szCs w:val="32"/>
        </w:rPr>
        <w:t>地区审计局，地区审计局抽调地县参审人员混编组成12个审计组进行审计。</w:t>
      </w:r>
      <w:r>
        <w:rPr>
          <w:rFonts w:hint="eastAsia" w:ascii="仿宋_GB2312" w:eastAsia="仿宋_GB2312"/>
          <w:bCs/>
          <w:sz w:val="32"/>
          <w:szCs w:val="32"/>
        </w:rPr>
        <w:t>根据《关于印发&lt;喀什地区脱贫攻坚审计监督试行办法&gt;的通知》（喀署办发</w:t>
      </w:r>
      <w:r>
        <w:rPr>
          <w:rFonts w:hint="eastAsia" w:ascii="仿宋_GB2312" w:hAnsi="仿宋" w:eastAsia="仿宋_GB2312"/>
          <w:bCs/>
          <w:sz w:val="32"/>
          <w:szCs w:val="32"/>
        </w:rPr>
        <w:t>〔</w:t>
      </w:r>
      <w:r>
        <w:rPr>
          <w:rFonts w:hint="eastAsia" w:ascii="仿宋_GB2312" w:eastAsia="仿宋_GB2312"/>
          <w:bCs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z w:val="32"/>
          <w:szCs w:val="32"/>
        </w:rPr>
        <w:t>〕</w:t>
      </w:r>
      <w:r>
        <w:rPr>
          <w:rFonts w:hint="eastAsia" w:ascii="仿宋_GB2312" w:eastAsia="仿宋_GB2312"/>
          <w:bCs/>
          <w:sz w:val="32"/>
          <w:szCs w:val="32"/>
        </w:rPr>
        <w:t>10号）和《自治区审计厅关于印发自治区2018年度审计项目计划（统一项目）的通知》（新审办</w:t>
      </w:r>
      <w:r>
        <w:rPr>
          <w:rFonts w:hint="eastAsia" w:ascii="仿宋_GB2312" w:hAnsi="仿宋" w:eastAsia="仿宋_GB2312"/>
          <w:bCs/>
          <w:sz w:val="32"/>
          <w:szCs w:val="32"/>
        </w:rPr>
        <w:t>〔</w:t>
      </w:r>
      <w:r>
        <w:rPr>
          <w:rFonts w:hint="eastAsia" w:ascii="仿宋_GB2312" w:eastAsia="仿宋_GB2312"/>
          <w:bCs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z w:val="32"/>
          <w:szCs w:val="32"/>
        </w:rPr>
        <w:t>〕</w:t>
      </w:r>
      <w:r>
        <w:rPr>
          <w:rFonts w:hint="eastAsia" w:ascii="仿宋_GB2312" w:eastAsia="仿宋_GB2312"/>
          <w:bCs/>
          <w:sz w:val="32"/>
          <w:szCs w:val="32"/>
        </w:rPr>
        <w:t>49号）的文件要求，</w:t>
      </w:r>
      <w:r>
        <w:rPr>
          <w:rFonts w:hint="eastAsia" w:ascii="仿宋_GB2312" w:hAnsi="仿宋" w:eastAsia="仿宋_GB2312" w:cs="仿宋_GB2312"/>
          <w:sz w:val="32"/>
          <w:szCs w:val="32"/>
        </w:rPr>
        <w:t>全区扶贫开发项目资金审计工作由地区审计局统一组织实施、统一制定审计工作方案。审计组实行组长、主审、成员分级质量控制。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项目主要内容</w:t>
      </w:r>
      <w:bookmarkStart w:id="2" w:name="_Toc30431197"/>
      <w:bookmarkStart w:id="3" w:name="_Toc30430597"/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仿宋_GB2312" w:eastAsia="仿宋_GB2312" w:cs="方正仿宋_GBK"/>
          <w:sz w:val="32"/>
          <w:szCs w:val="32"/>
        </w:rPr>
        <w:t>检查组主要工作任务：审计监督全地区扶贫开发重点县乡脱贫攻坚政策落实、扶贫资金管理使用、扶贫项目建设管理、</w:t>
      </w:r>
      <w:r>
        <w:rPr>
          <w:rFonts w:hint="eastAsia" w:ascii="仿宋_GB2312" w:eastAsia="仿宋_GB2312"/>
          <w:kern w:val="0"/>
          <w:sz w:val="32"/>
          <w:szCs w:val="32"/>
        </w:rPr>
        <w:t>运营、收益等情况。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审计监督范围和重点：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（1）扶贫开发工作政策执行落实情况；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（2）财政扶贫资金筹集、分配、管理及使用情况；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（3）扶贫项目建设、运营和效益情况；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（4）财政专项扶贫资金、涉农整合资金、援疆资金、土地清理资金等涉及扶贫的资金；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（5）审计检查发现问题整改情况；</w:t>
      </w:r>
    </w:p>
    <w:bookmarkEnd w:id="2"/>
    <w:bookmarkEnd w:id="3"/>
    <w:p>
      <w:pPr>
        <w:tabs>
          <w:tab w:val="left" w:pos="7770"/>
        </w:tabs>
        <w:spacing w:beforeLines="50" w:line="560" w:lineRule="exact"/>
        <w:ind w:firstLine="645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3.项目负责人为尚军，主要职责为组织、部署、协调、监督检查</w:t>
      </w:r>
      <w:r>
        <w:rPr>
          <w:rFonts w:hint="eastAsia" w:ascii="仿宋_GB2312" w:hAnsi="仿宋" w:eastAsia="仿宋_GB2312" w:cs="黑体"/>
          <w:bCs/>
          <w:kern w:val="0"/>
          <w:sz w:val="32"/>
          <w:szCs w:val="32"/>
          <w:lang w:bidi="en-US"/>
        </w:rPr>
        <w:t>2019脱贫攻坚专项审计项目。</w:t>
      </w:r>
    </w:p>
    <w:p>
      <w:pPr>
        <w:pStyle w:val="23"/>
        <w:spacing w:line="560" w:lineRule="exact"/>
        <w:ind w:left="0" w:firstLine="643" w:firstLineChars="200"/>
      </w:pPr>
      <w:bookmarkStart w:id="4" w:name="_Toc26401550"/>
      <w:r>
        <w:rPr>
          <w:rFonts w:hint="eastAsia"/>
        </w:rPr>
        <w:t>资金</w:t>
      </w:r>
      <w:bookmarkEnd w:id="4"/>
      <w:r>
        <w:rPr>
          <w:rFonts w:hint="eastAsia"/>
        </w:rPr>
        <w:t>投入和使用情况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本项目总投资187.15万元，资金来源为本级部门预算。     专项资金的使用范围：</w:t>
      </w:r>
      <w:r>
        <w:rPr>
          <w:rFonts w:hint="eastAsia" w:ascii="仿宋_GB2312" w:hAnsi="仿宋" w:eastAsia="仿宋_GB2312" w:cs="仿宋_GB2312"/>
          <w:sz w:val="32"/>
          <w:szCs w:val="32"/>
        </w:rPr>
        <w:t>对2019年1月至12月扶贫专项资金使用及2019年各县市扶贫资金拨付使用进行事后追责和事前、事中纠正检查，从严查处脱贫攻坚领域存在的违纪违规、损失浪费、绩效低下、风险隐患等问题，提出加强和改进扶贫资金和项目管理的意见和建议，实现扶贫资金使用合规性、规范性及精准性目标；同时总结各县市在精准扶贫、精准脱贫工作中资金管理好的经验和做法，特别关注扶贫开发工作中出现的新情况和新问题，揭示和反映阻碍政策落实、制约资金整合的体制性障碍和制度性缺陷，积极提出对策建议，促进完善制度机制。</w:t>
      </w:r>
    </w:p>
    <w:p>
      <w:pPr>
        <w:spacing w:beforeLines="50" w:line="56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喀什地区审计局单位制定了</w:t>
      </w:r>
      <w:r>
        <w:rPr>
          <w:rFonts w:hint="eastAsia" w:ascii="仿宋_GB2312" w:hAnsi="仿宋" w:eastAsia="仿宋_GB2312"/>
          <w:bCs/>
          <w:color w:val="000000" w:themeColor="text1"/>
          <w:spacing w:val="-4"/>
          <w:sz w:val="32"/>
          <w:szCs w:val="32"/>
        </w:rPr>
        <w:t>《喀什地区审计局内部财务管理制度暂行办法</w:t>
      </w:r>
      <w:r>
        <w:rPr>
          <w:rFonts w:hint="eastAsia" w:ascii="仿宋_GB2312" w:hAnsi="仿宋" w:eastAsia="仿宋_GB2312" w:cs="宋体"/>
          <w:sz w:val="32"/>
          <w:szCs w:val="32"/>
        </w:rPr>
        <w:t>资金管理办法</w:t>
      </w:r>
      <w:r>
        <w:rPr>
          <w:rFonts w:hint="eastAsia" w:ascii="仿宋_GB2312" w:hAnsi="仿宋" w:eastAsia="仿宋_GB2312"/>
          <w:bCs/>
          <w:color w:val="000000" w:themeColor="text1"/>
          <w:spacing w:val="-4"/>
          <w:sz w:val="32"/>
          <w:szCs w:val="32"/>
        </w:rPr>
        <w:t>》</w:t>
      </w:r>
      <w:r>
        <w:rPr>
          <w:rFonts w:hint="eastAsia" w:ascii="仿宋_GB2312" w:hAnsi="仿宋" w:eastAsia="仿宋_GB2312" w:cs="宋体"/>
          <w:sz w:val="32"/>
          <w:szCs w:val="32"/>
        </w:rPr>
        <w:t>，按照</w:t>
      </w:r>
      <w:r>
        <w:rPr>
          <w:rFonts w:hint="eastAsia" w:ascii="仿宋_GB2312" w:hAnsi="仿宋" w:eastAsia="仿宋_GB2312"/>
          <w:bCs/>
          <w:color w:val="000000" w:themeColor="text1"/>
          <w:spacing w:val="-4"/>
          <w:sz w:val="32"/>
          <w:szCs w:val="32"/>
        </w:rPr>
        <w:t>《喀什地区党政机关事业单位工作人员差旅费管理办法》、《喀什地区审计局内部财务管理制度暂行办法》</w:t>
      </w:r>
      <w:r>
        <w:rPr>
          <w:rFonts w:hint="eastAsia" w:ascii="仿宋_GB2312" w:hAnsi="仿宋" w:eastAsia="仿宋_GB2312" w:cs="宋体"/>
          <w:sz w:val="32"/>
          <w:szCs w:val="32"/>
        </w:rPr>
        <w:t>文件进行使用</w:t>
      </w:r>
    </w:p>
    <w:p>
      <w:pPr>
        <w:pStyle w:val="23"/>
        <w:ind w:left="0" w:firstLine="643" w:firstLineChars="200"/>
      </w:pPr>
      <w:bookmarkStart w:id="5" w:name="_Toc26401551"/>
      <w:r>
        <w:rPr>
          <w:rFonts w:hint="eastAsia"/>
        </w:rPr>
        <w:t>绩效目标</w:t>
      </w:r>
      <w:bookmarkEnd w:id="5"/>
    </w:p>
    <w:p>
      <w:pPr>
        <w:spacing w:before="120" w:line="560" w:lineRule="exact"/>
        <w:ind w:firstLine="641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根据《喀什地区扶贫攻坚审计监督试行办法的通知》（喀署办发〔2017〕10号）要求，自2018年3月28日起，由地区审计局牵头，组成12个联合审计调查组，采取“上审下”和“交叉审”的方式，每季度对县市扶贫资金项目和资金使用情况统一组织实施审计，在每个季度末出具审计报告。</w:t>
      </w:r>
    </w:p>
    <w:p>
      <w:pPr>
        <w:spacing w:before="120" w:line="560" w:lineRule="exact"/>
        <w:ind w:firstLine="641"/>
        <w:rPr>
          <w:rFonts w:ascii="仿宋_GB2312" w:hAnsi="仿宋" w:eastAsia="仿宋_GB2312" w:cs="宋体"/>
          <w:sz w:val="32"/>
          <w:szCs w:val="32"/>
        </w:rPr>
      </w:pPr>
      <w:bookmarkStart w:id="6" w:name="_Toc26401552"/>
      <w:r>
        <w:rPr>
          <w:rFonts w:hint="eastAsia" w:ascii="仿宋_GB2312" w:hAnsi="仿宋" w:eastAsia="仿宋_GB2312" w:cs="宋体"/>
          <w:sz w:val="32"/>
          <w:szCs w:val="32"/>
        </w:rPr>
        <w:t>项目根据《关于做好2019年部门预算项目支出绩效目标管理有关事宜的通知》（新财预〔2018〕139号）相关要求设立绩效目标，共设置一级指标3个，二级指标8个，三级指标14个，详见</w:t>
      </w:r>
      <w:r>
        <w:rPr>
          <w:rFonts w:hint="eastAsia" w:ascii="仿宋_GB2312" w:hAnsi="仿宋" w:eastAsia="仿宋_GB2312" w:cs="宋体"/>
          <w:b/>
          <w:sz w:val="32"/>
          <w:szCs w:val="32"/>
        </w:rPr>
        <w:t>附件一</w:t>
      </w:r>
      <w:r>
        <w:rPr>
          <w:rFonts w:hint="eastAsia" w:ascii="仿宋_GB2312" w:hAnsi="仿宋" w:eastAsia="仿宋_GB2312" w:cs="宋体"/>
          <w:sz w:val="32"/>
          <w:szCs w:val="32"/>
        </w:rPr>
        <w:t>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评价工作简述</w:t>
      </w:r>
      <w:bookmarkEnd w:id="6"/>
    </w:p>
    <w:p>
      <w:pPr>
        <w:pStyle w:val="23"/>
        <w:numPr>
          <w:ilvl w:val="0"/>
          <w:numId w:val="4"/>
        </w:numPr>
        <w:ind w:left="0" w:firstLine="643" w:firstLineChars="200"/>
      </w:pPr>
      <w:bookmarkStart w:id="7" w:name="_Toc26401553"/>
      <w:r>
        <w:rPr>
          <w:rFonts w:hint="eastAsia"/>
        </w:rPr>
        <w:t>评价目的</w:t>
      </w:r>
      <w:bookmarkEnd w:id="7"/>
    </w:p>
    <w:p>
      <w:pPr>
        <w:pStyle w:val="23"/>
        <w:keepNext w:val="0"/>
        <w:keepLines w:val="0"/>
        <w:numPr>
          <w:ilvl w:val="0"/>
          <w:numId w:val="0"/>
        </w:numPr>
        <w:spacing w:before="100" w:beforeAutospacing="1" w:after="100" w:afterAutospacing="1" w:line="560" w:lineRule="exact"/>
        <w:ind w:firstLine="640" w:firstLineChars="200"/>
        <w:outlineLvl w:val="9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绩效评价旨在通过评价改善预算部门的财政支出管理，优化资源配置及提高公共服务水平。本次绩效评价遵循财政部《关于印发&lt;财政支出绩效评价管理暂行办法&gt;的通知》（财预〔2011〕285号）等文件精神，对喀什地区脱贫攻坚项目资金支出进行绩效评价，从政府专项资金的角度探寻助学金支出资金的效率和效益，提出有针对性的建议，提高对喀什地区脱贫攻坚项目预算支出的有效利用度，进一步提升喀什地区审计局资金支出工作的水平。</w:t>
      </w:r>
    </w:p>
    <w:p>
      <w:pPr>
        <w:pStyle w:val="23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8" w:name="_Toc26401554"/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黑体"/>
          <w:bCs/>
          <w:kern w:val="0"/>
          <w:sz w:val="32"/>
          <w:szCs w:val="32"/>
          <w:lang w:bidi="en-US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黑体"/>
          <w:bCs/>
          <w:kern w:val="0"/>
          <w:sz w:val="32"/>
          <w:szCs w:val="32"/>
          <w:lang w:bidi="en-US"/>
        </w:rPr>
        <w:t>喀什地区审计局2019脱贫攻坚专项审计项目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8"/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</w:t>
      </w:r>
      <w:r>
        <w:rPr>
          <w:rFonts w:ascii="仿宋_GB2312" w:hAnsi="仿宋" w:eastAsia="仿宋_GB2312" w:cs="宋体"/>
          <w:sz w:val="32"/>
          <w:szCs w:val="32"/>
        </w:rPr>
        <w:t>包括</w:t>
      </w:r>
      <w:r>
        <w:rPr>
          <w:rFonts w:hint="eastAsia" w:ascii="仿宋_GB2312" w:hAnsi="仿宋" w:eastAsia="仿宋_GB2312" w:cs="宋体"/>
          <w:sz w:val="32"/>
          <w:szCs w:val="32"/>
        </w:rPr>
        <w:t>：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1．</w:t>
      </w:r>
      <w:r>
        <w:rPr>
          <w:rFonts w:ascii="仿宋_GB2312" w:hAnsi="仿宋" w:eastAsia="仿宋_GB2312" w:cs="宋体"/>
          <w:sz w:val="32"/>
          <w:szCs w:val="32"/>
        </w:rPr>
        <w:t>科学规范原则。注重财政支出的经济性、效率性</w:t>
      </w:r>
      <w:r>
        <w:rPr>
          <w:rFonts w:hint="eastAsia" w:ascii="仿宋_GB2312" w:hAnsi="仿宋" w:eastAsia="仿宋_GB2312" w:cs="宋体"/>
          <w:sz w:val="32"/>
          <w:szCs w:val="32"/>
        </w:rPr>
        <w:t>和</w:t>
      </w:r>
      <w:r>
        <w:rPr>
          <w:rFonts w:ascii="仿宋_GB2312" w:hAnsi="仿宋" w:eastAsia="仿宋_GB2312" w:cs="宋体"/>
          <w:sz w:val="32"/>
          <w:szCs w:val="32"/>
        </w:rPr>
        <w:t>有效性</w:t>
      </w:r>
      <w:r>
        <w:rPr>
          <w:rFonts w:hint="eastAsia" w:ascii="仿宋_GB2312" w:hAnsi="仿宋" w:eastAsia="仿宋_GB2312" w:cs="宋体"/>
          <w:sz w:val="32"/>
          <w:szCs w:val="32"/>
        </w:rPr>
        <w:t>，</w:t>
      </w:r>
      <w:r>
        <w:rPr>
          <w:rFonts w:ascii="仿宋_GB2312" w:hAnsi="仿宋" w:eastAsia="仿宋_GB2312" w:cs="宋体"/>
          <w:sz w:val="32"/>
          <w:szCs w:val="32"/>
        </w:rPr>
        <w:t>采用定量与定性相结合的方法。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2．</w:t>
      </w:r>
      <w:r>
        <w:rPr>
          <w:rFonts w:ascii="仿宋_GB2312" w:hAnsi="仿宋" w:eastAsia="仿宋_GB2312" w:cs="宋体"/>
          <w:sz w:val="32"/>
          <w:szCs w:val="32"/>
        </w:rPr>
        <w:t>公开公正原则。客观、公正</w:t>
      </w:r>
      <w:r>
        <w:rPr>
          <w:rFonts w:hint="eastAsia" w:ascii="仿宋_GB2312" w:hAnsi="仿宋" w:eastAsia="仿宋_GB2312" w:cs="宋体"/>
          <w:sz w:val="32"/>
          <w:szCs w:val="32"/>
        </w:rPr>
        <w:t>，</w:t>
      </w:r>
      <w:r>
        <w:rPr>
          <w:rFonts w:ascii="仿宋_GB2312" w:hAnsi="仿宋" w:eastAsia="仿宋_GB2312" w:cs="宋体"/>
          <w:sz w:val="32"/>
          <w:szCs w:val="32"/>
        </w:rPr>
        <w:t>数据资料真实正确，标准统一，公开并自觉接受有关方面监督。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3</w:t>
      </w:r>
      <w:r>
        <w:rPr>
          <w:rFonts w:hint="eastAsia" w:ascii="仿宋_GB2312" w:hAnsi="仿宋" w:eastAsia="仿宋_GB2312" w:cs="宋体"/>
          <w:sz w:val="32"/>
          <w:szCs w:val="32"/>
        </w:rPr>
        <w:t>．</w:t>
      </w:r>
      <w:r>
        <w:rPr>
          <w:rFonts w:ascii="仿宋_GB2312" w:hAnsi="仿宋" w:eastAsia="仿宋_GB2312" w:cs="宋体"/>
          <w:sz w:val="32"/>
          <w:szCs w:val="32"/>
        </w:rPr>
        <w:t>绩效相关原则。针对具体支出及其产出绩效进行评价，评价结果清晰反映支出和产出绩效之间的对应关系。</w:t>
      </w:r>
    </w:p>
    <w:p>
      <w:pPr>
        <w:pStyle w:val="23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color w:val="FF0000"/>
        </w:rPr>
      </w:pPr>
      <w:r>
        <w:rPr>
          <w:rFonts w:hint="eastAsia"/>
          <w:b w:val="0"/>
        </w:rPr>
        <w:t>本项目绩效评价体系为根据</w:t>
      </w:r>
      <w:r>
        <w:rPr>
          <w:rFonts w:hint="eastAsia" w:hAnsi="仿宋" w:cs="宋体"/>
          <w:b w:val="0"/>
          <w:bCs w:val="0"/>
        </w:rPr>
        <w:t>财预﹝2</w:t>
      </w:r>
      <w:r>
        <w:rPr>
          <w:rFonts w:hAnsi="仿宋" w:cs="宋体"/>
          <w:b w:val="0"/>
          <w:bCs w:val="0"/>
        </w:rPr>
        <w:t>020</w:t>
      </w:r>
      <w:r>
        <w:rPr>
          <w:rFonts w:hint="eastAsia" w:hAnsi="仿宋" w:cs="宋体"/>
          <w:b w:val="0"/>
          <w:bCs w:val="0"/>
        </w:rPr>
        <w:t>﹞1</w:t>
      </w:r>
      <w:r>
        <w:rPr>
          <w:rFonts w:hAnsi="仿宋" w:cs="宋体"/>
          <w:b w:val="0"/>
          <w:bCs w:val="0"/>
        </w:rPr>
        <w:t>0</w:t>
      </w:r>
      <w:r>
        <w:rPr>
          <w:rFonts w:hint="eastAsia" w:hAnsi="仿宋" w:cs="宋体"/>
          <w:b w:val="0"/>
          <w:bCs w:val="0"/>
        </w:rPr>
        <w:t>号共性指</w:t>
      </w:r>
      <w:r>
        <w:rPr>
          <w:rFonts w:hint="eastAsia"/>
          <w:b w:val="0"/>
        </w:rPr>
        <w:t>标及个性化指标设置，</w:t>
      </w:r>
      <w:r>
        <w:rPr>
          <w:b w:val="0"/>
        </w:rPr>
        <w:t xml:space="preserve"> 详见附件</w:t>
      </w:r>
      <w:r>
        <w:rPr>
          <w:rFonts w:hint="eastAsia"/>
          <w:b w:val="0"/>
        </w:rPr>
        <w:t>4</w:t>
      </w:r>
      <w:r>
        <w:rPr>
          <w:b w:val="0"/>
        </w:rPr>
        <w:t>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9" w:name="_Toc26401555"/>
      <w:r>
        <w:rPr>
          <w:rFonts w:hint="eastAsia"/>
        </w:rPr>
        <w:t>绩效评价方法</w:t>
      </w:r>
      <w:bookmarkEnd w:id="9"/>
    </w:p>
    <w:p>
      <w:pPr>
        <w:pStyle w:val="17"/>
        <w:spacing w:line="560" w:lineRule="exact"/>
        <w:ind w:firstLine="64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本次绩效评价方法的选用坚持简便有效的原则采用成本效益分析法、评议法、问卷调查法、综合分析法等。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b w:val="0"/>
        </w:rPr>
      </w:pPr>
      <w:r>
        <w:rPr>
          <w:rFonts w:hint="eastAsia"/>
        </w:rPr>
        <w:t xml:space="preserve">   </w:t>
      </w:r>
      <w:r>
        <w:rPr>
          <w:rFonts w:hint="eastAsia"/>
          <w:b w:val="0"/>
        </w:rPr>
        <w:t xml:space="preserve"> 项目评价标准采用</w:t>
      </w:r>
      <w:r>
        <w:rPr>
          <w:rFonts w:hint="eastAsia"/>
          <w:b w:val="0"/>
          <w:bCs w:val="0"/>
        </w:rPr>
        <w:t>行业标准。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本次评价成立了评价，成员如下：</w:t>
      </w:r>
    </w:p>
    <w:tbl>
      <w:tblPr>
        <w:tblStyle w:val="1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694"/>
        <w:gridCol w:w="3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9" w:type="dxa"/>
          </w:tcPr>
          <w:p>
            <w:pPr>
              <w:spacing w:before="120" w:line="560" w:lineRule="atLeast"/>
              <w:jc w:val="left"/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 xml:space="preserve">  </w:t>
            </w:r>
            <w:r>
              <w:rPr>
                <w:rFonts w:ascii="仿宋_GB2312" w:hAnsi="宋体" w:eastAsia="仿宋_GB2312" w:cs="宋体"/>
                <w:b/>
                <w:sz w:val="28"/>
                <w:szCs w:val="28"/>
              </w:rPr>
              <w:t>评价人</w:t>
            </w:r>
          </w:p>
        </w:tc>
        <w:tc>
          <w:tcPr>
            <w:tcW w:w="2694" w:type="dxa"/>
          </w:tcPr>
          <w:p>
            <w:pPr>
              <w:spacing w:before="120" w:line="560" w:lineRule="atLeast"/>
              <w:jc w:val="left"/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 xml:space="preserve">  </w:t>
            </w:r>
            <w:r>
              <w:rPr>
                <w:rFonts w:ascii="仿宋_GB2312" w:hAnsi="宋体" w:eastAsia="仿宋_GB2312" w:cs="宋体"/>
                <w:b/>
                <w:sz w:val="28"/>
                <w:szCs w:val="28"/>
              </w:rPr>
              <w:t>评价人员职务</w:t>
            </w:r>
          </w:p>
        </w:tc>
        <w:tc>
          <w:tcPr>
            <w:tcW w:w="3793" w:type="dxa"/>
          </w:tcPr>
          <w:p>
            <w:pPr>
              <w:spacing w:before="120" w:line="560" w:lineRule="atLeast"/>
              <w:ind w:firstLine="562" w:firstLineChars="200"/>
              <w:jc w:val="left"/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 w:cs="宋体"/>
                <w:b/>
                <w:sz w:val="28"/>
                <w:szCs w:val="28"/>
              </w:rPr>
              <w:t>评价人员职责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before="12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何晓燕</w:t>
            </w:r>
          </w:p>
        </w:tc>
        <w:tc>
          <w:tcPr>
            <w:tcW w:w="2694" w:type="dxa"/>
          </w:tcPr>
          <w:p>
            <w:pPr>
              <w:spacing w:before="120" w:line="44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党组成员、副局长（组长）</w:t>
            </w:r>
          </w:p>
        </w:tc>
        <w:tc>
          <w:tcPr>
            <w:tcW w:w="3793" w:type="dxa"/>
          </w:tcPr>
          <w:p>
            <w:pPr>
              <w:spacing w:before="120" w:line="400" w:lineRule="exact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对评价工作负责召集、组织、协调和指导。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before="12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郑梅</w:t>
            </w:r>
          </w:p>
        </w:tc>
        <w:tc>
          <w:tcPr>
            <w:tcW w:w="2694" w:type="dxa"/>
          </w:tcPr>
          <w:p>
            <w:pPr>
              <w:spacing w:before="120" w:line="44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农牧审计科长（成员）</w:t>
            </w:r>
          </w:p>
        </w:tc>
        <w:tc>
          <w:tcPr>
            <w:tcW w:w="3793" w:type="dxa"/>
          </w:tcPr>
          <w:p>
            <w:pPr>
              <w:spacing w:before="120" w:line="400" w:lineRule="exact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对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预期绩效的可实现性、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>项目实施方案的有效性、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绩效的可持续性进行评价。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before="12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姜玉琦</w:t>
            </w:r>
          </w:p>
        </w:tc>
        <w:tc>
          <w:tcPr>
            <w:tcW w:w="2694" w:type="dxa"/>
          </w:tcPr>
          <w:p>
            <w:pPr>
              <w:spacing w:before="120" w:line="44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经济责任审计科科长（成员）</w:t>
            </w:r>
          </w:p>
        </w:tc>
        <w:tc>
          <w:tcPr>
            <w:tcW w:w="3793" w:type="dxa"/>
          </w:tcPr>
          <w:p>
            <w:pPr>
              <w:spacing w:before="120" w:line="400" w:lineRule="exact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对评估所需要的资料、评估的内容、评估程序等进行监督检查。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809" w:type="dxa"/>
          </w:tcPr>
          <w:p>
            <w:pPr>
              <w:spacing w:before="12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高福艮</w:t>
            </w:r>
          </w:p>
        </w:tc>
        <w:tc>
          <w:tcPr>
            <w:tcW w:w="2694" w:type="dxa"/>
          </w:tcPr>
          <w:p>
            <w:pPr>
              <w:spacing w:before="120" w:line="44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法制科副科长</w:t>
            </w:r>
          </w:p>
          <w:p>
            <w:pPr>
              <w:spacing w:before="120" w:line="440" w:lineRule="exact"/>
              <w:ind w:firstLine="560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（成员）</w:t>
            </w:r>
          </w:p>
        </w:tc>
        <w:tc>
          <w:tcPr>
            <w:tcW w:w="3793" w:type="dxa"/>
          </w:tcPr>
          <w:p>
            <w:pPr>
              <w:spacing w:before="120" w:line="400" w:lineRule="exact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对项目政策、职能、需求、财政投入的相关性进行评价。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before="12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  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>黄天明</w:t>
            </w:r>
          </w:p>
        </w:tc>
        <w:tc>
          <w:tcPr>
            <w:tcW w:w="2694" w:type="dxa"/>
          </w:tcPr>
          <w:p>
            <w:pPr>
              <w:spacing w:before="120" w:line="440" w:lineRule="exac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sz w:val="28"/>
                <w:szCs w:val="28"/>
              </w:rPr>
              <w:t>办公室会计（成员）</w:t>
            </w:r>
          </w:p>
        </w:tc>
        <w:tc>
          <w:tcPr>
            <w:tcW w:w="3793" w:type="dxa"/>
          </w:tcPr>
          <w:p>
            <w:pPr>
              <w:spacing w:before="120" w:line="400" w:lineRule="exact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对财政资金投入的可行性风险进行评价，记录好评价内容并形成评价报告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spacing w:line="560" w:lineRule="exact"/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1"/>
        <w:numPr>
          <w:ilvl w:val="0"/>
          <w:numId w:val="2"/>
        </w:numPr>
        <w:ind w:firstLineChars="0"/>
        <w:rPr>
          <w:color w:val="000000" w:themeColor="text1"/>
        </w:rPr>
      </w:pPr>
      <w:bookmarkStart w:id="10" w:name="_Toc26401558"/>
      <w:r>
        <w:rPr>
          <w:rFonts w:hint="eastAsia" w:ascii="黑体" w:hAnsi="黑体"/>
          <w:color w:val="000000" w:themeColor="text1"/>
        </w:rPr>
        <w:t>综合评价情况及评价结论</w:t>
      </w:r>
      <w:r>
        <w:rPr>
          <w:rFonts w:hint="eastAsia" w:ascii="仿宋_GB2312"/>
          <w:color w:val="000000" w:themeColor="text1"/>
        </w:rPr>
        <w:t>（附相关评分表）</w:t>
      </w:r>
    </w:p>
    <w:p>
      <w:pPr>
        <w:pStyle w:val="21"/>
        <w:spacing w:line="560" w:lineRule="exact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97，评价结果为优，详见评分表附件6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10"/>
    </w:p>
    <w:p>
      <w:pPr>
        <w:pStyle w:val="17"/>
        <w:numPr>
          <w:ilvl w:val="0"/>
          <w:numId w:val="5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6"/>
        <w:spacing w:line="560" w:lineRule="exact"/>
        <w:ind w:firstLine="640"/>
        <w:jc w:val="left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本项目的立项符合相关法规政策及部门职责，依据充分；项目按照规定的程序申请设立；审批文件、材料符合相关要求；项目前期已经过必要的可行性研究、专家论证、风险评估、绩效评估、集体决策。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5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sz w:val="32"/>
          <w:szCs w:val="32"/>
        </w:rPr>
      </w:pPr>
      <w:r>
        <w:rPr>
          <w:rFonts w:hint="eastAsia" w:ascii="仿宋_GB2312" w:hAnsi="仿宋" w:eastAsia="仿宋_GB2312" w:cs="宋体"/>
          <w:b/>
          <w:sz w:val="32"/>
          <w:szCs w:val="32"/>
        </w:rPr>
        <w:t>项目的过程情况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项目调整及支出调整手续完备，项目合同书、验收报告、技术鉴定等资料齐全并及时归档。</w:t>
      </w:r>
    </w:p>
    <w:p>
      <w:pPr>
        <w:pStyle w:val="17"/>
        <w:numPr>
          <w:ilvl w:val="0"/>
          <w:numId w:val="5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hAnsi="仿宋" w:eastAsia="仿宋_GB2312"/>
          <w:sz w:val="32"/>
          <w:szCs w:val="32"/>
        </w:rPr>
        <w:t>举办审计监督检查业务培训次数，预期指标是≥1次，实际完成值是1次，指标完成率是100%，达到预期目标。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hAnsi="仿宋" w:eastAsia="仿宋_GB2312"/>
          <w:sz w:val="32"/>
          <w:szCs w:val="32"/>
        </w:rPr>
        <w:t>形成审计报告数量，预期指标是≥36份，实际完成值是52份，指标完成率是100%，达到预期目标。</w:t>
      </w:r>
    </w:p>
    <w:p>
      <w:pPr>
        <w:pStyle w:val="17"/>
        <w:spacing w:line="560" w:lineRule="exact"/>
        <w:ind w:firstLine="64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hAnsi="仿宋" w:eastAsia="仿宋_GB2312"/>
          <w:sz w:val="32"/>
          <w:szCs w:val="32"/>
        </w:rPr>
        <w:t>审计监督检查次数，预期指标是≥3次，实际完成值是3次，指标完成率是100%，达到预期目标。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hAnsi="仿宋" w:eastAsia="仿宋_GB2312"/>
          <w:sz w:val="32"/>
          <w:szCs w:val="32"/>
        </w:rPr>
        <w:t>参与审计人数，预期指标是≥70人，实际完成值是77人，指标完成率是100%，达到预期目标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_GB2312" w:hAnsi="仿宋" w:eastAsia="仿宋_GB2312"/>
          <w:sz w:val="32"/>
          <w:szCs w:val="32"/>
        </w:rPr>
        <w:t>审计完成率，预期指标是100%，实际完成值是100%，指标完成率是100%，达到预期目标。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_GB2312" w:hAnsi="仿宋" w:eastAsia="仿宋_GB2312"/>
          <w:sz w:val="32"/>
          <w:szCs w:val="32"/>
        </w:rPr>
        <w:t>保障审计监督问题整改率，预期指标是≥80%，实际完成值是95%，指标完成率是100%，达到预期目标。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_GB2312" w:hAnsi="仿宋" w:eastAsia="仿宋_GB2312"/>
          <w:sz w:val="32"/>
          <w:szCs w:val="32"/>
        </w:rPr>
        <w:t>每季度现场审计调查时间，预期指标是30天，实际完成值是30天，指标完成率是100%，达到预期目标。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_GB2312" w:hAnsi="仿宋" w:eastAsia="仿宋_GB2312"/>
          <w:sz w:val="32"/>
          <w:szCs w:val="32"/>
        </w:rPr>
        <w:t>项目执行率，预期指标是100%，实际完成值是100%，指标完成率是100%，达到预期目标。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_GB2312" w:hAnsi="仿宋" w:eastAsia="仿宋_GB2312"/>
          <w:sz w:val="32"/>
          <w:szCs w:val="32"/>
        </w:rPr>
        <w:t>审计完成及时率，预期指标是100%，实际完成值是100%，指标完成率是100%，达到预期目标。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_GB2312" w:hAnsi="仿宋" w:eastAsia="仿宋_GB2312"/>
          <w:sz w:val="32"/>
          <w:szCs w:val="32"/>
        </w:rPr>
        <w:t>现场审计调查期间产生住宿费，预期指标是66.18万元，实际完成值是66.18万元，指标完成率是100%，达到预期目标。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_GB2312" w:hAnsi="仿宋" w:eastAsia="仿宋_GB2312"/>
          <w:sz w:val="32"/>
          <w:szCs w:val="32"/>
        </w:rPr>
        <w:t>现场审计调查期间产生伙食补助费，预期指标是105.55万元，实际完成值是105.55万元，指标完成率是100%，达到预期目标。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_GB2312" w:hAnsi="仿宋" w:eastAsia="仿宋_GB2312"/>
          <w:sz w:val="32"/>
          <w:szCs w:val="32"/>
        </w:rPr>
        <w:t>现场审计调查期间产生的市内交通费，预期指标是17.42万元，实际完成值是17.42万元，指标完成率是100%，达到预期目标。</w:t>
      </w:r>
    </w:p>
    <w:p>
      <w:pPr>
        <w:pStyle w:val="17"/>
        <w:numPr>
          <w:ilvl w:val="0"/>
          <w:numId w:val="5"/>
        </w:numPr>
        <w:spacing w:beforeLines="50" w:line="56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审计调查发现违规使用资金金额，预期指标是≥2000万元，实际完成值是15802万元，指标完成率是100%，达到预期目标。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hAnsi="仿宋" w:eastAsia="仿宋_GB2312"/>
          <w:sz w:val="32"/>
          <w:szCs w:val="32"/>
        </w:rPr>
        <w:t>项目执行受益的县市数量，预期指标是12个县市，实际完成值是12个县市，指标完成率是100%，达到预期目标。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hAnsi="仿宋" w:eastAsia="仿宋_GB2312"/>
          <w:sz w:val="32"/>
          <w:szCs w:val="32"/>
        </w:rPr>
        <w:t>审计监督服务能力，预期指标是逐步提升，实际完成值是逐步提升，指标完成率是100%，达到预期目标。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hAnsi="仿宋" w:eastAsia="仿宋_GB2312"/>
          <w:sz w:val="32"/>
          <w:szCs w:val="32"/>
        </w:rPr>
        <w:t>审计影响周期，预期指标是长期，实际完成值是长期，指标完成率是100%，达到预期目标。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经问卷调查</w:t>
      </w:r>
      <w:r>
        <w:rPr>
          <w:rFonts w:hint="eastAsia" w:ascii="仿宋_GB2312" w:hAnsi="仿宋" w:eastAsia="仿宋_GB2312" w:cs="宋体"/>
          <w:bCs/>
          <w:color w:val="FF000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项目收益群众满意度为：100%，达到了预期目标。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6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3"/>
        <w:numPr>
          <w:ilvl w:val="0"/>
          <w:numId w:val="0"/>
        </w:numPr>
        <w:spacing w:before="0" w:line="560" w:lineRule="exact"/>
        <w:ind w:firstLine="640" w:firstLineChars="200"/>
        <w:jc w:val="left"/>
      </w:pPr>
      <w:r>
        <w:rPr>
          <w:rFonts w:hint="eastAsia" w:hAnsi="仿宋" w:cs="宋体"/>
          <w:b w:val="0"/>
        </w:rPr>
        <w:t>该项目符合相关法律、法规及政策，对扶贫资金实施、扶贫项目建设、扶贫政策落实，具有巨大的监督管理作用，能够为带动贫困人口脱贫致富发展起到积极作用。通过项目的实施，开展资金使用监督审计检查，对地县经济社会发展及攻坚扶贫总目标均起到了积极作用，有效发挥了审计监督作用</w:t>
      </w:r>
      <w:r>
        <w:rPr>
          <w:rFonts w:hint="eastAsia"/>
          <w:kern w:val="0"/>
        </w:rPr>
        <w:t>。</w:t>
      </w:r>
    </w:p>
    <w:p>
      <w:pPr>
        <w:pStyle w:val="23"/>
        <w:numPr>
          <w:ilvl w:val="0"/>
          <w:numId w:val="6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pStyle w:val="23"/>
        <w:numPr>
          <w:ilvl w:val="0"/>
          <w:numId w:val="0"/>
        </w:numPr>
        <w:spacing w:before="0" w:line="560" w:lineRule="exact"/>
        <w:ind w:firstLine="640" w:firstLineChars="200"/>
        <w:jc w:val="left"/>
        <w:outlineLvl w:val="9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项目实施方案虽然行之有效，实施方式及质量措施，落实的恰到好处，但参审人员审计能力层次不齐，可能造成审计漏洞。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pStyle w:val="23"/>
        <w:numPr>
          <w:ilvl w:val="0"/>
          <w:numId w:val="0"/>
        </w:numPr>
        <w:spacing w:before="0" w:line="560" w:lineRule="exact"/>
        <w:ind w:firstLine="640" w:firstLineChars="200"/>
        <w:jc w:val="left"/>
        <w:outlineLvl w:val="9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建议加大对参审人员的培训力度，建立奖惩考核机制，保障审计质量。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21"/>
        <w:ind w:firstLine="643"/>
        <w:rPr>
          <w:rFonts w:ascii="仿宋_GB2312" w:hAnsi="仿宋" w:eastAsia="仿宋_GB2312" w:cs="宋体"/>
        </w:rPr>
      </w:pPr>
      <w:r>
        <w:rPr>
          <w:rFonts w:ascii="仿宋_GB2312" w:hAnsi="仿宋" w:eastAsia="仿宋_GB2312" w:cs="宋体"/>
        </w:rPr>
        <w:t>无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附件1：喀什地区审计局2019年脱贫攻坚扶贫开发审计项目支出绩效目标申报表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附件2：喀什地区审计局2019年脱贫攻坚扶贫开发审计项目支出绩效目标表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附件3：喀什地区审计局2019年脱贫攻坚扶贫开发审计项目支出绩效自评表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附件4：喀什地区审计局2019年脱贫攻坚扶贫开发审计项目支出绩效评价指标体系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附件6：喀什地区审计局2019年脱贫攻坚扶贫开发审计项目支出绩效评价评分表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4106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3958" w:hanging="420"/>
      </w:pPr>
    </w:lvl>
    <w:lvl w:ilvl="2" w:tentative="0">
      <w:start w:val="1"/>
      <w:numFmt w:val="lowerRoman"/>
      <w:lvlText w:val="%3."/>
      <w:lvlJc w:val="right"/>
      <w:pPr>
        <w:ind w:left="4378" w:hanging="420"/>
      </w:pPr>
    </w:lvl>
    <w:lvl w:ilvl="3" w:tentative="0">
      <w:start w:val="1"/>
      <w:numFmt w:val="decimal"/>
      <w:lvlText w:val="%4."/>
      <w:lvlJc w:val="left"/>
      <w:pPr>
        <w:ind w:left="4798" w:hanging="420"/>
      </w:pPr>
    </w:lvl>
    <w:lvl w:ilvl="4" w:tentative="0">
      <w:start w:val="1"/>
      <w:numFmt w:val="lowerLetter"/>
      <w:lvlText w:val="%5)"/>
      <w:lvlJc w:val="left"/>
      <w:pPr>
        <w:ind w:left="5218" w:hanging="420"/>
      </w:pPr>
    </w:lvl>
    <w:lvl w:ilvl="5" w:tentative="0">
      <w:start w:val="1"/>
      <w:numFmt w:val="lowerRoman"/>
      <w:lvlText w:val="%6."/>
      <w:lvlJc w:val="right"/>
      <w:pPr>
        <w:ind w:left="5638" w:hanging="420"/>
      </w:pPr>
    </w:lvl>
    <w:lvl w:ilvl="6" w:tentative="0">
      <w:start w:val="1"/>
      <w:numFmt w:val="decimal"/>
      <w:lvlText w:val="%7."/>
      <w:lvlJc w:val="left"/>
      <w:pPr>
        <w:ind w:left="6058" w:hanging="420"/>
      </w:pPr>
    </w:lvl>
    <w:lvl w:ilvl="7" w:tentative="0">
      <w:start w:val="1"/>
      <w:numFmt w:val="lowerLetter"/>
      <w:lvlText w:val="%8)"/>
      <w:lvlJc w:val="left"/>
      <w:pPr>
        <w:ind w:left="6478" w:hanging="420"/>
      </w:pPr>
    </w:lvl>
    <w:lvl w:ilvl="8" w:tentative="0">
      <w:start w:val="1"/>
      <w:numFmt w:val="lowerRoman"/>
      <w:lvlText w:val="%9."/>
      <w:lvlJc w:val="right"/>
      <w:pPr>
        <w:ind w:left="6898" w:hanging="420"/>
      </w:pPr>
    </w:lvl>
  </w:abstractNum>
  <w:abstractNum w:abstractNumId="1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3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297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5235" w:hanging="420"/>
      </w:pPr>
    </w:lvl>
    <w:lvl w:ilvl="2" w:tentative="0">
      <w:start w:val="1"/>
      <w:numFmt w:val="lowerRoman"/>
      <w:lvlText w:val="%3."/>
      <w:lvlJc w:val="right"/>
      <w:pPr>
        <w:ind w:left="5655" w:hanging="420"/>
      </w:pPr>
    </w:lvl>
    <w:lvl w:ilvl="3" w:tentative="0">
      <w:start w:val="1"/>
      <w:numFmt w:val="decimal"/>
      <w:lvlText w:val="%4."/>
      <w:lvlJc w:val="left"/>
      <w:pPr>
        <w:ind w:left="6075" w:hanging="420"/>
      </w:pPr>
    </w:lvl>
    <w:lvl w:ilvl="4" w:tentative="0">
      <w:start w:val="1"/>
      <w:numFmt w:val="lowerLetter"/>
      <w:lvlText w:val="%5)"/>
      <w:lvlJc w:val="left"/>
      <w:pPr>
        <w:ind w:left="6495" w:hanging="420"/>
      </w:pPr>
    </w:lvl>
    <w:lvl w:ilvl="5" w:tentative="0">
      <w:start w:val="1"/>
      <w:numFmt w:val="lowerRoman"/>
      <w:lvlText w:val="%6."/>
      <w:lvlJc w:val="right"/>
      <w:pPr>
        <w:ind w:left="6915" w:hanging="420"/>
      </w:pPr>
    </w:lvl>
    <w:lvl w:ilvl="6" w:tentative="0">
      <w:start w:val="1"/>
      <w:numFmt w:val="decimal"/>
      <w:lvlText w:val="%7."/>
      <w:lvlJc w:val="left"/>
      <w:pPr>
        <w:ind w:left="7335" w:hanging="420"/>
      </w:pPr>
    </w:lvl>
    <w:lvl w:ilvl="7" w:tentative="0">
      <w:start w:val="1"/>
      <w:numFmt w:val="lowerLetter"/>
      <w:lvlText w:val="%8)"/>
      <w:lvlJc w:val="left"/>
      <w:pPr>
        <w:ind w:left="7755" w:hanging="420"/>
      </w:pPr>
    </w:lvl>
    <w:lvl w:ilvl="8" w:tentative="0">
      <w:start w:val="1"/>
      <w:numFmt w:val="lowerRoman"/>
      <w:lvlText w:val="%9."/>
      <w:lvlJc w:val="right"/>
      <w:pPr>
        <w:ind w:left="8175" w:hanging="420"/>
      </w:pPr>
    </w:lvl>
  </w:abstractNum>
  <w:abstractNum w:abstractNumId="4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04EDB"/>
    <w:rsid w:val="00022413"/>
    <w:rsid w:val="00027440"/>
    <w:rsid w:val="00037F93"/>
    <w:rsid w:val="00042126"/>
    <w:rsid w:val="0004479E"/>
    <w:rsid w:val="00067425"/>
    <w:rsid w:val="00084D09"/>
    <w:rsid w:val="000B3CA1"/>
    <w:rsid w:val="000E0C7B"/>
    <w:rsid w:val="000F2007"/>
    <w:rsid w:val="00100A64"/>
    <w:rsid w:val="00100AA9"/>
    <w:rsid w:val="00105BA8"/>
    <w:rsid w:val="001143D6"/>
    <w:rsid w:val="00116780"/>
    <w:rsid w:val="0012798F"/>
    <w:rsid w:val="00132553"/>
    <w:rsid w:val="00136645"/>
    <w:rsid w:val="00151AF1"/>
    <w:rsid w:val="00161B89"/>
    <w:rsid w:val="00174F3A"/>
    <w:rsid w:val="0018169D"/>
    <w:rsid w:val="00193649"/>
    <w:rsid w:val="0019720C"/>
    <w:rsid w:val="001A1902"/>
    <w:rsid w:val="001A4FFA"/>
    <w:rsid w:val="001B5B44"/>
    <w:rsid w:val="001D1FC7"/>
    <w:rsid w:val="001D5FF2"/>
    <w:rsid w:val="001D6F2E"/>
    <w:rsid w:val="001F4B20"/>
    <w:rsid w:val="00203FB6"/>
    <w:rsid w:val="00217747"/>
    <w:rsid w:val="00233ECE"/>
    <w:rsid w:val="00254780"/>
    <w:rsid w:val="0028395E"/>
    <w:rsid w:val="002A1BF4"/>
    <w:rsid w:val="002A2490"/>
    <w:rsid w:val="002B3A72"/>
    <w:rsid w:val="002C6231"/>
    <w:rsid w:val="002F7CDC"/>
    <w:rsid w:val="00321E01"/>
    <w:rsid w:val="00324E56"/>
    <w:rsid w:val="00331AF1"/>
    <w:rsid w:val="00340415"/>
    <w:rsid w:val="003468D7"/>
    <w:rsid w:val="00363E52"/>
    <w:rsid w:val="00382736"/>
    <w:rsid w:val="003A04D1"/>
    <w:rsid w:val="003C327E"/>
    <w:rsid w:val="003C41E4"/>
    <w:rsid w:val="003C4B3D"/>
    <w:rsid w:val="003C6E7F"/>
    <w:rsid w:val="003E0E95"/>
    <w:rsid w:val="003F1C70"/>
    <w:rsid w:val="003F2E47"/>
    <w:rsid w:val="00403544"/>
    <w:rsid w:val="004115AA"/>
    <w:rsid w:val="00432B9D"/>
    <w:rsid w:val="00434C92"/>
    <w:rsid w:val="00443C47"/>
    <w:rsid w:val="00452560"/>
    <w:rsid w:val="00467DBB"/>
    <w:rsid w:val="004A0587"/>
    <w:rsid w:val="004C56AB"/>
    <w:rsid w:val="004D088E"/>
    <w:rsid w:val="004D4F06"/>
    <w:rsid w:val="004E5287"/>
    <w:rsid w:val="0050533D"/>
    <w:rsid w:val="005137BE"/>
    <w:rsid w:val="005225F1"/>
    <w:rsid w:val="00531253"/>
    <w:rsid w:val="00532EE0"/>
    <w:rsid w:val="00535CCF"/>
    <w:rsid w:val="00540B36"/>
    <w:rsid w:val="00563E06"/>
    <w:rsid w:val="0058554B"/>
    <w:rsid w:val="0059309C"/>
    <w:rsid w:val="00596DDF"/>
    <w:rsid w:val="005B6EAB"/>
    <w:rsid w:val="005D7AC7"/>
    <w:rsid w:val="00621BE0"/>
    <w:rsid w:val="00630E69"/>
    <w:rsid w:val="006362B2"/>
    <w:rsid w:val="006472F0"/>
    <w:rsid w:val="0065420A"/>
    <w:rsid w:val="006869EC"/>
    <w:rsid w:val="00694A44"/>
    <w:rsid w:val="0069799F"/>
    <w:rsid w:val="006B55A9"/>
    <w:rsid w:val="006D0AA4"/>
    <w:rsid w:val="006D7353"/>
    <w:rsid w:val="006F2513"/>
    <w:rsid w:val="006F51FC"/>
    <w:rsid w:val="006F64CB"/>
    <w:rsid w:val="0071759F"/>
    <w:rsid w:val="007253B3"/>
    <w:rsid w:val="00731D46"/>
    <w:rsid w:val="00734BAD"/>
    <w:rsid w:val="00752C57"/>
    <w:rsid w:val="00781733"/>
    <w:rsid w:val="00794794"/>
    <w:rsid w:val="007C5CF9"/>
    <w:rsid w:val="007D340B"/>
    <w:rsid w:val="007D5955"/>
    <w:rsid w:val="007E6392"/>
    <w:rsid w:val="007F3C25"/>
    <w:rsid w:val="007F503C"/>
    <w:rsid w:val="00811F2D"/>
    <w:rsid w:val="00815938"/>
    <w:rsid w:val="00816B1C"/>
    <w:rsid w:val="008226BA"/>
    <w:rsid w:val="00827DA6"/>
    <w:rsid w:val="00835103"/>
    <w:rsid w:val="0085401A"/>
    <w:rsid w:val="00854126"/>
    <w:rsid w:val="00854416"/>
    <w:rsid w:val="00866F54"/>
    <w:rsid w:val="00883FF2"/>
    <w:rsid w:val="0089293E"/>
    <w:rsid w:val="00893E6C"/>
    <w:rsid w:val="008C0689"/>
    <w:rsid w:val="008C7444"/>
    <w:rsid w:val="008D7BC7"/>
    <w:rsid w:val="008E4859"/>
    <w:rsid w:val="008E4DB2"/>
    <w:rsid w:val="008F6D3B"/>
    <w:rsid w:val="0090104C"/>
    <w:rsid w:val="0093399D"/>
    <w:rsid w:val="0095078A"/>
    <w:rsid w:val="00982B10"/>
    <w:rsid w:val="009A47B8"/>
    <w:rsid w:val="009C0267"/>
    <w:rsid w:val="009E5354"/>
    <w:rsid w:val="00A10F1E"/>
    <w:rsid w:val="00A12A0C"/>
    <w:rsid w:val="00A12A28"/>
    <w:rsid w:val="00A365D5"/>
    <w:rsid w:val="00A41DB8"/>
    <w:rsid w:val="00A43094"/>
    <w:rsid w:val="00A53361"/>
    <w:rsid w:val="00A5704B"/>
    <w:rsid w:val="00A57108"/>
    <w:rsid w:val="00A5786D"/>
    <w:rsid w:val="00A60191"/>
    <w:rsid w:val="00A80A69"/>
    <w:rsid w:val="00A81609"/>
    <w:rsid w:val="00A85237"/>
    <w:rsid w:val="00A85BDA"/>
    <w:rsid w:val="00AB07C5"/>
    <w:rsid w:val="00AB4CF1"/>
    <w:rsid w:val="00AE1FDF"/>
    <w:rsid w:val="00AE3042"/>
    <w:rsid w:val="00B00A65"/>
    <w:rsid w:val="00B03B29"/>
    <w:rsid w:val="00B16C8F"/>
    <w:rsid w:val="00B32FA4"/>
    <w:rsid w:val="00B369E0"/>
    <w:rsid w:val="00B36F46"/>
    <w:rsid w:val="00B47B13"/>
    <w:rsid w:val="00B53BE4"/>
    <w:rsid w:val="00B6063F"/>
    <w:rsid w:val="00B73D7E"/>
    <w:rsid w:val="00B9042A"/>
    <w:rsid w:val="00BA0855"/>
    <w:rsid w:val="00BA65AD"/>
    <w:rsid w:val="00BC6105"/>
    <w:rsid w:val="00BC7696"/>
    <w:rsid w:val="00BD558F"/>
    <w:rsid w:val="00C2671D"/>
    <w:rsid w:val="00C563AA"/>
    <w:rsid w:val="00C71FF0"/>
    <w:rsid w:val="00C77259"/>
    <w:rsid w:val="00C85E16"/>
    <w:rsid w:val="00C97E2D"/>
    <w:rsid w:val="00CA387D"/>
    <w:rsid w:val="00CB31EE"/>
    <w:rsid w:val="00CF58EB"/>
    <w:rsid w:val="00CF654B"/>
    <w:rsid w:val="00D043D7"/>
    <w:rsid w:val="00D117FB"/>
    <w:rsid w:val="00D23C2E"/>
    <w:rsid w:val="00D61EC8"/>
    <w:rsid w:val="00D776B4"/>
    <w:rsid w:val="00D93516"/>
    <w:rsid w:val="00DA5B54"/>
    <w:rsid w:val="00DA7F4C"/>
    <w:rsid w:val="00DC5F94"/>
    <w:rsid w:val="00DE152F"/>
    <w:rsid w:val="00DE293B"/>
    <w:rsid w:val="00E05626"/>
    <w:rsid w:val="00E131E9"/>
    <w:rsid w:val="00E15887"/>
    <w:rsid w:val="00E25B2F"/>
    <w:rsid w:val="00E373A5"/>
    <w:rsid w:val="00E4319A"/>
    <w:rsid w:val="00E64C49"/>
    <w:rsid w:val="00E66A4D"/>
    <w:rsid w:val="00E7289B"/>
    <w:rsid w:val="00E72B1C"/>
    <w:rsid w:val="00E860ED"/>
    <w:rsid w:val="00E96169"/>
    <w:rsid w:val="00EC760B"/>
    <w:rsid w:val="00F0780F"/>
    <w:rsid w:val="00F16D54"/>
    <w:rsid w:val="00F26A0E"/>
    <w:rsid w:val="00F51223"/>
    <w:rsid w:val="00F6015C"/>
    <w:rsid w:val="00F75715"/>
    <w:rsid w:val="00F86343"/>
    <w:rsid w:val="00FB0CC0"/>
    <w:rsid w:val="00FB2E2F"/>
    <w:rsid w:val="00FD300A"/>
    <w:rsid w:val="00FD3AFC"/>
    <w:rsid w:val="00FF137F"/>
    <w:rsid w:val="00FF6959"/>
    <w:rsid w:val="00FF6C14"/>
    <w:rsid w:val="01BE6316"/>
    <w:rsid w:val="217F35A7"/>
    <w:rsid w:val="24E73B1F"/>
    <w:rsid w:val="26F03C06"/>
    <w:rsid w:val="2A547683"/>
    <w:rsid w:val="2C2511DF"/>
    <w:rsid w:val="57964064"/>
    <w:rsid w:val="667765BF"/>
    <w:rsid w:val="7775238E"/>
    <w:rsid w:val="7A8638D9"/>
    <w:rsid w:val="7D1120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6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4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672</Words>
  <Characters>3832</Characters>
  <Lines>31</Lines>
  <Paragraphs>8</Paragraphs>
  <TotalTime>224</TotalTime>
  <ScaleCrop>false</ScaleCrop>
  <LinksUpToDate>false</LinksUpToDate>
  <CharactersWithSpaces>4496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Apple</cp:lastModifiedBy>
  <dcterms:modified xsi:type="dcterms:W3CDTF">2020-09-05T09:40:29Z</dcterms:modified>
  <dc:title>新疆普天鹏华商务信息咨询有限公司</dc:title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