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720" w:firstLineChars="200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 年度）</w:t>
      </w: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720" w:firstLineChars="200"/>
        <w:jc w:val="left"/>
        <w:rPr>
          <w:rFonts w:hint="eastAsia"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项目名称：自然科学基金专项经费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实施单位（公章）：新疆维吾尔自治区喀什地区科学技术局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自治区主管部门（公章）：新疆维吾尔自治区科学技术厅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b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ascii="仿宋" w:hAnsi="仿宋" w:eastAsia="仿宋" w:cs="宋体"/>
          <w:kern w:val="0"/>
          <w:sz w:val="36"/>
          <w:szCs w:val="36"/>
        </w:rPr>
        <w:t>1</w:t>
      </w:r>
      <w:r>
        <w:rPr>
          <w:rFonts w:hint="eastAsia" w:ascii="仿宋" w:hAnsi="仿宋" w:eastAsia="仿宋" w:cs="宋体"/>
          <w:kern w:val="0"/>
          <w:sz w:val="36"/>
          <w:szCs w:val="36"/>
        </w:rPr>
        <w:t xml:space="preserve">月 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 xml:space="preserve">新疆维吾尔地区喀什地区科学技术局隶属于喀什地区行政公署，坐落于喀什市解放南路260号，行政编制数18个，核定工勤人员编制2名。编制人数 37 人，其中：行政人员编制 18人，核定工勤人员编制2 人，全额拨款事业单位人员编制  17人。实有在职人数 31 人，其中：行政在职 17人，参照公务员管理的事业单位人员 0人，事业在职12 人，工勤在职人数  2人。离退休人员 24 人，其中：离休人员 0 人，退休人员 24 人。此外，我局还有一名在社保局领取养老金的合同制退休工人。  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喀什地区科技局主要职能是：编制全地区民用科技发展的中长期规划和年度计划，合理配置相应的科技经费；研究提出加强全地区科技创新体系建设的政策措施；促进科技型中小企业技术创新工作；指导全地区民办科技工作；负责农村科技示范活动；管理自治区在喀什地区实施的重大科技项目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为提高科技特派员服务农民及科技创业的能力：1、培训5天；2、培训人数80人；3、授课教师人8人；4、培训合格率达到100%；5、培训场次4场；6、考察地点4处；7、项目预算总额11.42万元；8、食宿费4万元；9、授课费2万元；10、培训资料费用2万元；11、会场租用费3.42万元；12、科技创业能力水平预计提高80%以上；13、法律法规及相关政策解读覆盖率达到100%；14、知识更新的及时率达到100%；15、培训完成及时率达到100%；16、对培训内容理解率达到90%以上；17、满意度达到</w:t>
      </w:r>
      <w:r>
        <w:rPr>
          <w:rFonts w:ascii="仿宋" w:hAnsi="仿宋" w:eastAsia="仿宋"/>
          <w:bCs/>
          <w:spacing w:val="-4"/>
          <w:sz w:val="32"/>
          <w:szCs w:val="32"/>
        </w:rPr>
        <w:t>95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%以上。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本项目为及时对最新技术与产业发展动态进行培训与知识的更新，提高科技特派员服务农民及科技创业的能力。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自然科学基金专项经费项目预算安排总额为11.42万元，其中财政资金11.42万元，自筹资金0万元，2018年实际收到预算资金11.42万元。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本项目实际支付资金11.42万元，预算执行率100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。项目资金主要用于支付培训人员及授课教师住宿费、伙食费4万元；授课讲师费用2万元；培训资料费用2万元；学员证制作费用及会场租用费3.42万元。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严格按照政府会计财务管理制度执行，制定了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实施过程中，喀什地区科学技术局建立了《喀什地区科技局财务管理制度》保障项目的顺利实施。项目的实施遵守相关法律法规和业务管理规定，项目资料齐全并及时归档。已建立《喀什地区科技局日常检查监督检查机制》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16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16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经济性：在本项目执行过程中严格控制支出成本，预算总金额为11.42万元，实际支出11.42万元，其中：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培训人员及授课教师食宿费4万元；讲课费2万元；培训资料费用2万元；会场租用费3.42万元。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效率性：本项目按期在5天的培训期间内完成了培训内容，培训人员合格率达到了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100%；培训人员对培训内容的理解率达到95%以上；培训完成及时率达到了100%，保质保量完成了本次项目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效益性：通过此次培训，科技特派员服务农民及科技创业能力水平提高了85%以上；创新创业法律法规及相关政策解读在服务农民中的覆盖率达到了100%；对最新技术与产业发展动态进行培训与知识更新的及时率达到了100%；培训人员对培训内容的理解率达到了95%；参加此次培训人员的满意度达到了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95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 xml:space="preserve"> 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不断创新科技特派员工作方法和模式，统筹科技特派员服务培训行动，加快农村基层科技能力建设。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楷体" w:hAnsi="楷体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制定详细的培训方案，把开展创新创业法律法规培训、科技特派员创新创业相关政策解读培训、市场营销技巧以及现代经营管理培训作为主要内容，与对喀什市色满乡树莓种植基地、疏附县站敏乡农副产品种植销售协会、疏勒县自治区农业科技园区等地进行现场考察相结合，进一步规范和完善培训形式和内容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楷体" w:hAnsi="楷体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培训时间短，培训效果有限。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完善培训机制，提升创新能力。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自然科学基金专项经费项目</w:t>
      </w:r>
      <w:r>
        <w:rPr>
          <w:rFonts w:hint="eastAsia" w:ascii="仿宋" w:hAnsi="仿宋" w:eastAsia="仿宋"/>
          <w:spacing w:val="-4"/>
          <w:sz w:val="32"/>
          <w:szCs w:val="32"/>
        </w:rPr>
        <w:t>资金的使用效率和效果，项目管理过程规范，完成了预期绩效目标等。同时，通过开展自我评价来总结经验和教训，为喀什地区自然科学基金专项经费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</w:t>
      </w:r>
      <w:r>
        <w:rPr>
          <w:rFonts w:hint="eastAsia" w:ascii="仿宋" w:hAnsi="仿宋" w:eastAsia="仿宋"/>
          <w:spacing w:val="-4"/>
          <w:sz w:val="32"/>
          <w:szCs w:val="32"/>
        </w:rPr>
        <w:t>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rPr>
          <w:rFonts w:ascii="宋体" w:hAnsi="宋体" w:cs="宋体"/>
          <w:b/>
          <w:bCs/>
          <w:kern w:val="0"/>
          <w:sz w:val="36"/>
          <w:szCs w:val="36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627892034"/>
                          </w:sdtPr>
                          <w:sdtContent>
                            <w:p>
                              <w:pPr>
                                <w:pStyle w:val="1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627892034"/>
                    </w:sdtPr>
                    <w:sdtContent>
                      <w:p>
                        <w:pPr>
                          <w:pStyle w:val="1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6F3CC"/>
    <w:multiLevelType w:val="singleLevel"/>
    <w:tmpl w:val="45C6F3C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365250"/>
    <w:rsid w:val="0036624C"/>
    <w:rsid w:val="00385849"/>
    <w:rsid w:val="00466DC8"/>
    <w:rsid w:val="0050167F"/>
    <w:rsid w:val="00514506"/>
    <w:rsid w:val="005162F1"/>
    <w:rsid w:val="00535153"/>
    <w:rsid w:val="00575CFE"/>
    <w:rsid w:val="00592D09"/>
    <w:rsid w:val="00675D58"/>
    <w:rsid w:val="006F2E6D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056D"/>
    <w:rsid w:val="00922CB9"/>
    <w:rsid w:val="009B526F"/>
    <w:rsid w:val="009C1AFD"/>
    <w:rsid w:val="00A26421"/>
    <w:rsid w:val="00A4293B"/>
    <w:rsid w:val="00A83BD5"/>
    <w:rsid w:val="00B06CA5"/>
    <w:rsid w:val="00B41F61"/>
    <w:rsid w:val="00B55332"/>
    <w:rsid w:val="00B67BDB"/>
    <w:rsid w:val="00B86E8C"/>
    <w:rsid w:val="00BE1A00"/>
    <w:rsid w:val="00C22CF0"/>
    <w:rsid w:val="00C56C72"/>
    <w:rsid w:val="00CA6457"/>
    <w:rsid w:val="00CC6E4D"/>
    <w:rsid w:val="00D17F2E"/>
    <w:rsid w:val="00D46194"/>
    <w:rsid w:val="00E01293"/>
    <w:rsid w:val="00E769FE"/>
    <w:rsid w:val="00EA2CBE"/>
    <w:rsid w:val="00F32FEE"/>
    <w:rsid w:val="0C5C17CD"/>
    <w:rsid w:val="0F355A8C"/>
    <w:rsid w:val="122A5B31"/>
    <w:rsid w:val="2244009C"/>
    <w:rsid w:val="23970EA0"/>
    <w:rsid w:val="2FC872BC"/>
    <w:rsid w:val="304A21B0"/>
    <w:rsid w:val="4693276C"/>
    <w:rsid w:val="4A0B2B58"/>
    <w:rsid w:val="4A4436DF"/>
    <w:rsid w:val="50151B26"/>
    <w:rsid w:val="50B96373"/>
    <w:rsid w:val="593A4383"/>
    <w:rsid w:val="5DD14F73"/>
    <w:rsid w:val="715E75B3"/>
    <w:rsid w:val="7AED591D"/>
    <w:rsid w:val="7C9C5418"/>
    <w:rsid w:val="7EED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字符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字符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4CB4AF-68A8-4732-BC88-A3A81E1267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364</Words>
  <Characters>2080</Characters>
  <Lines>17</Lines>
  <Paragraphs>4</Paragraphs>
  <TotalTime>16</TotalTime>
  <ScaleCrop>false</ScaleCrop>
  <LinksUpToDate>false</LinksUpToDate>
  <CharactersWithSpaces>2440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菩提_薇薇安</cp:lastModifiedBy>
  <cp:lastPrinted>2018-12-25T03:37:00Z</cp:lastPrinted>
  <dcterms:modified xsi:type="dcterms:W3CDTF">2019-08-23T10:26:32Z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