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rPr>
        <w:t>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项目名称：</w:t>
      </w:r>
      <w:bookmarkStart w:id="0" w:name="_Hlk535369201"/>
      <w:r>
        <w:rPr>
          <w:rFonts w:hint="eastAsia" w:ascii="仿宋" w:hAnsi="仿宋" w:eastAsia="仿宋" w:cs="宋体"/>
          <w:kern w:val="0"/>
          <w:sz w:val="36"/>
          <w:szCs w:val="36"/>
        </w:rPr>
        <w:t>三区人才支持计划科技人员专项经费</w:t>
      </w:r>
    </w:p>
    <w:bookmarkEnd w:id="0"/>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实施单位（公章）：新疆维吾尔自治区喀什地区科学技术局</w:t>
      </w: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自治区主管部门（公章）：新疆维吾尔自治区科学技术厅</w:t>
      </w:r>
    </w:p>
    <w:p>
      <w:pPr>
        <w:spacing w:line="56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项目负责人（签章）：董三军</w:t>
      </w:r>
    </w:p>
    <w:p>
      <w:pPr>
        <w:spacing w:line="560" w:lineRule="exact"/>
        <w:ind w:firstLine="720" w:firstLineChars="200"/>
        <w:jc w:val="left"/>
        <w:rPr>
          <w:rFonts w:ascii="仿宋" w:hAnsi="仿宋" w:eastAsia="仿宋" w:cs="宋体"/>
          <w:b/>
          <w:kern w:val="0"/>
          <w:sz w:val="36"/>
          <w:szCs w:val="36"/>
        </w:rPr>
      </w:pPr>
      <w:r>
        <w:rPr>
          <w:rFonts w:hint="eastAsia" w:ascii="仿宋" w:hAnsi="仿宋" w:eastAsia="仿宋" w:cs="宋体"/>
          <w:kern w:val="0"/>
          <w:sz w:val="36"/>
          <w:szCs w:val="36"/>
        </w:rPr>
        <w:t>填报时间：</w:t>
      </w:r>
      <w:r>
        <w:rPr>
          <w:rFonts w:ascii="仿宋" w:hAnsi="仿宋" w:eastAsia="仿宋" w:cs="宋体"/>
          <w:kern w:val="0"/>
          <w:sz w:val="36"/>
          <w:szCs w:val="36"/>
        </w:rPr>
        <w:t>201</w:t>
      </w:r>
      <w:r>
        <w:rPr>
          <w:rFonts w:hint="eastAsia" w:ascii="仿宋" w:hAnsi="仿宋" w:eastAsia="仿宋" w:cs="宋体"/>
          <w:kern w:val="0"/>
          <w:sz w:val="36"/>
          <w:szCs w:val="36"/>
        </w:rPr>
        <w:t>9 年</w:t>
      </w:r>
      <w:r>
        <w:rPr>
          <w:rFonts w:ascii="仿宋" w:hAnsi="仿宋" w:eastAsia="仿宋" w:cs="宋体"/>
          <w:kern w:val="0"/>
          <w:sz w:val="36"/>
          <w:szCs w:val="36"/>
        </w:rPr>
        <w:t>1</w:t>
      </w:r>
      <w:r>
        <w:rPr>
          <w:rFonts w:hint="eastAsia" w:ascii="仿宋" w:hAnsi="仿宋" w:eastAsia="仿宋" w:cs="宋体"/>
          <w:kern w:val="0"/>
          <w:sz w:val="36"/>
          <w:szCs w:val="36"/>
        </w:rPr>
        <w:t>月</w:t>
      </w:r>
      <w:r>
        <w:rPr>
          <w:rFonts w:ascii="仿宋" w:hAnsi="仿宋" w:eastAsia="仿宋" w:cs="宋体"/>
          <w:kern w:val="0"/>
          <w:sz w:val="36"/>
          <w:szCs w:val="36"/>
        </w:rPr>
        <w:t>1</w:t>
      </w:r>
      <w:r>
        <w:rPr>
          <w:rFonts w:hint="eastAsia" w:ascii="仿宋" w:hAnsi="仿宋" w:eastAsia="仿宋" w:cs="宋体"/>
          <w:kern w:val="0"/>
          <w:sz w:val="36"/>
          <w:szCs w:val="36"/>
        </w:rPr>
        <w:t>2日</w:t>
      </w:r>
    </w:p>
    <w:p>
      <w:pPr>
        <w:spacing w:line="700" w:lineRule="exact"/>
        <w:jc w:val="left"/>
        <w:rPr>
          <w:rFonts w:hAnsi="宋体" w:eastAsia="仿宋_GB2312" w:cs="宋体"/>
          <w:kern w:val="0"/>
          <w:sz w:val="36"/>
          <w:szCs w:val="36"/>
        </w:rPr>
      </w:pPr>
    </w:p>
    <w:p>
      <w:pPr>
        <w:spacing w:line="540" w:lineRule="exact"/>
        <w:rPr>
          <w:rStyle w:val="19"/>
          <w:rFonts w:ascii="黑体" w:hAnsi="黑体" w:eastAsia="黑体"/>
          <w:b w:val="0"/>
          <w:spacing w:val="-4"/>
          <w:sz w:val="32"/>
          <w:szCs w:val="32"/>
        </w:rPr>
        <w:sectPr>
          <w:pgSz w:w="11906" w:h="16838"/>
          <w:pgMar w:top="1440" w:right="1558" w:bottom="1440" w:left="1800" w:header="851" w:footer="992" w:gutter="0"/>
          <w:cols w:space="425" w:num="1"/>
          <w:docGrid w:type="lines" w:linePitch="312" w:charSpace="0"/>
        </w:sectPr>
      </w:pPr>
    </w:p>
    <w:p>
      <w:pPr>
        <w:pStyle w:val="2"/>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 xml:space="preserve">新疆维吾尔地区喀什地区科学技术局隶属于喀什地区行政公署，坐落于喀什市解放南路260号，行政编制数18个，核定工勤人员编制2名。编制人数 37 人，其中：行政人员编制 18人，核定工勤人员编制2 人，全额拨款事业单位人员编制  17人。实有在职人数 31 人，其中：行政在职 17人，参照公务员管理的事业单位人员 0人，事业在职12 人，工勤在职人数  2人。离退休人员 24 人，其中：离休人员 0 人，退休人员 24 人。此外，我局还有一名在社保局领取养老金的合同制退休工人。  </w:t>
      </w:r>
    </w:p>
    <w:p>
      <w:pPr>
        <w:adjustRightInd w:val="0"/>
        <w:snapToGrid w:val="0"/>
        <w:spacing w:line="560" w:lineRule="exact"/>
        <w:ind w:firstLine="624" w:firstLineChars="200"/>
        <w:rPr>
          <w:rStyle w:val="19"/>
          <w:rFonts w:ascii="仿宋" w:hAnsi="仿宋" w:eastAsia="仿宋"/>
          <w:b w:val="0"/>
          <w:spacing w:val="-4"/>
          <w:sz w:val="32"/>
          <w:szCs w:val="32"/>
        </w:rPr>
      </w:pPr>
      <w:r>
        <w:rPr>
          <w:rFonts w:hint="eastAsia" w:ascii="仿宋" w:hAnsi="仿宋" w:eastAsia="仿宋"/>
          <w:bCs/>
          <w:spacing w:val="-4"/>
          <w:sz w:val="32"/>
          <w:szCs w:val="32"/>
        </w:rPr>
        <w:t>喀什地区科技局主要职能是：编制全地区民用科技发展的中长期规划和年度计划，合理配置相应的科技经费；研究提出加强全地区科技创新体系建设的政策措施；促进科技型中小企业技术创新工作；指导全地区民办科技工作；负责农村科技示范活动；管理自治区在喀什地区实施的重大科技项目。</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Style w:val="19"/>
          <w:rFonts w:ascii="仿宋" w:hAnsi="仿宋" w:eastAsia="仿宋"/>
          <w:spacing w:val="-4"/>
          <w:sz w:val="32"/>
          <w:szCs w:val="32"/>
        </w:rPr>
      </w:pPr>
      <w:r>
        <w:rPr>
          <w:rFonts w:hint="eastAsia" w:ascii="仿宋" w:hAnsi="仿宋" w:eastAsia="仿宋"/>
          <w:b/>
          <w:bCs/>
          <w:spacing w:val="-4"/>
          <w:sz w:val="32"/>
          <w:szCs w:val="32"/>
        </w:rPr>
        <w:t>1、项目预期目标及阶段性目标</w:t>
      </w:r>
    </w:p>
    <w:p>
      <w:pPr>
        <w:spacing w:line="540" w:lineRule="exact"/>
        <w:ind w:firstLine="640"/>
        <w:rPr>
          <w:rStyle w:val="19"/>
          <w:rFonts w:ascii="仿宋" w:hAnsi="仿宋" w:eastAsia="仿宋"/>
          <w:b w:val="0"/>
          <w:spacing w:val="-4"/>
          <w:sz w:val="32"/>
          <w:szCs w:val="32"/>
        </w:rPr>
      </w:pPr>
      <w:bookmarkStart w:id="6" w:name="_GoBack"/>
      <w:r>
        <w:rPr>
          <w:rStyle w:val="19"/>
          <w:rFonts w:hint="eastAsia" w:ascii="仿宋" w:hAnsi="仿宋" w:eastAsia="仿宋"/>
          <w:b w:val="0"/>
          <w:spacing w:val="-4"/>
          <w:sz w:val="32"/>
          <w:szCs w:val="32"/>
        </w:rPr>
        <w:t>为充分发挥科技创新在助力脱贫攻坚、推动乡村振兴中的支撑作用，实施该项目：服务项目数45个；下派人数92人；服务县（市）数量12个；培养本土科技人才</w:t>
      </w:r>
      <w:r>
        <w:rPr>
          <w:rStyle w:val="19"/>
          <w:rFonts w:hint="eastAsia" w:ascii="仿宋" w:hAnsi="仿宋" w:eastAsia="仿宋"/>
          <w:b w:val="0"/>
          <w:spacing w:val="-4"/>
          <w:sz w:val="32"/>
          <w:szCs w:val="32"/>
          <w:lang w:val="en-US" w:eastAsia="zh-CN"/>
        </w:rPr>
        <w:t>合格率达到</w:t>
      </w:r>
      <w:r>
        <w:rPr>
          <w:rStyle w:val="19"/>
          <w:rFonts w:hint="eastAsia" w:ascii="仿宋" w:hAnsi="仿宋" w:eastAsia="仿宋"/>
          <w:b w:val="0"/>
          <w:spacing w:val="-4"/>
          <w:sz w:val="32"/>
          <w:szCs w:val="32"/>
        </w:rPr>
        <w:t>90%</w:t>
      </w:r>
      <w:r>
        <w:rPr>
          <w:rStyle w:val="19"/>
          <w:rFonts w:hint="eastAsia" w:ascii="仿宋" w:hAnsi="仿宋" w:eastAsia="仿宋"/>
          <w:b w:val="0"/>
          <w:spacing w:val="-4"/>
          <w:sz w:val="32"/>
          <w:szCs w:val="32"/>
          <w:lang w:val="en-US" w:eastAsia="zh-CN"/>
        </w:rPr>
        <w:t>以上</w:t>
      </w:r>
      <w:r>
        <w:rPr>
          <w:rStyle w:val="19"/>
          <w:rFonts w:hint="eastAsia" w:ascii="仿宋" w:hAnsi="仿宋" w:eastAsia="仿宋"/>
          <w:b w:val="0"/>
          <w:spacing w:val="-4"/>
          <w:sz w:val="32"/>
          <w:szCs w:val="32"/>
        </w:rPr>
        <w:t>；培养农村科技创业人才</w:t>
      </w:r>
      <w:r>
        <w:rPr>
          <w:rStyle w:val="19"/>
          <w:rFonts w:hint="eastAsia" w:ascii="仿宋" w:hAnsi="仿宋" w:eastAsia="仿宋"/>
          <w:b w:val="0"/>
          <w:spacing w:val="-4"/>
          <w:sz w:val="32"/>
          <w:szCs w:val="32"/>
          <w:lang w:val="en-US" w:eastAsia="zh-CN"/>
        </w:rPr>
        <w:t>合格率达到</w:t>
      </w:r>
      <w:r>
        <w:rPr>
          <w:rStyle w:val="19"/>
          <w:rFonts w:hint="eastAsia" w:ascii="仿宋" w:hAnsi="仿宋" w:eastAsia="仿宋"/>
          <w:b w:val="0"/>
          <w:spacing w:val="-4"/>
          <w:sz w:val="32"/>
          <w:szCs w:val="32"/>
        </w:rPr>
        <w:t>90%</w:t>
      </w:r>
      <w:r>
        <w:rPr>
          <w:rStyle w:val="19"/>
          <w:rFonts w:hint="eastAsia" w:ascii="仿宋" w:hAnsi="仿宋" w:eastAsia="仿宋"/>
          <w:b w:val="0"/>
          <w:spacing w:val="-4"/>
          <w:sz w:val="32"/>
          <w:szCs w:val="32"/>
          <w:lang w:val="en-US" w:eastAsia="zh-CN"/>
        </w:rPr>
        <w:t>以上</w:t>
      </w:r>
      <w:r>
        <w:rPr>
          <w:rStyle w:val="19"/>
          <w:rFonts w:hint="eastAsia" w:ascii="仿宋" w:hAnsi="仿宋" w:eastAsia="仿宋"/>
          <w:b w:val="0"/>
          <w:spacing w:val="-4"/>
          <w:sz w:val="32"/>
          <w:szCs w:val="32"/>
        </w:rPr>
        <w:t>；服务受援单位及时率</w:t>
      </w:r>
      <w:r>
        <w:rPr>
          <w:rStyle w:val="19"/>
          <w:rFonts w:hint="eastAsia" w:ascii="仿宋" w:hAnsi="仿宋" w:eastAsia="仿宋"/>
          <w:b w:val="0"/>
          <w:spacing w:val="-4"/>
          <w:sz w:val="32"/>
          <w:szCs w:val="32"/>
          <w:lang w:val="en-US" w:eastAsia="zh-CN"/>
        </w:rPr>
        <w:t>达到</w:t>
      </w:r>
      <w:r>
        <w:rPr>
          <w:rStyle w:val="19"/>
          <w:rFonts w:hint="eastAsia" w:ascii="仿宋" w:hAnsi="仿宋" w:eastAsia="仿宋"/>
          <w:b w:val="0"/>
          <w:spacing w:val="-4"/>
          <w:sz w:val="32"/>
          <w:szCs w:val="32"/>
        </w:rPr>
        <w:t>100%；资金拨付及时率</w:t>
      </w:r>
      <w:r>
        <w:rPr>
          <w:rStyle w:val="19"/>
          <w:rFonts w:hint="eastAsia" w:ascii="仿宋" w:hAnsi="仿宋" w:eastAsia="仿宋"/>
          <w:b w:val="0"/>
          <w:spacing w:val="-4"/>
          <w:sz w:val="32"/>
          <w:szCs w:val="32"/>
          <w:lang w:val="en-US" w:eastAsia="zh-CN"/>
        </w:rPr>
        <w:t>达到</w:t>
      </w:r>
      <w:r>
        <w:rPr>
          <w:rStyle w:val="19"/>
          <w:rFonts w:hint="eastAsia" w:ascii="仿宋" w:hAnsi="仿宋" w:eastAsia="仿宋"/>
          <w:b w:val="0"/>
          <w:spacing w:val="-4"/>
          <w:sz w:val="32"/>
          <w:szCs w:val="32"/>
        </w:rPr>
        <w:t>100%；</w:t>
      </w:r>
      <w:bookmarkStart w:id="1" w:name="_Hlk535368273"/>
      <w:r>
        <w:rPr>
          <w:rStyle w:val="19"/>
          <w:rFonts w:hint="eastAsia" w:ascii="仿宋" w:hAnsi="仿宋" w:eastAsia="仿宋"/>
          <w:b w:val="0"/>
          <w:spacing w:val="-4"/>
          <w:sz w:val="32"/>
          <w:szCs w:val="32"/>
        </w:rPr>
        <w:t>派出科技人员差旅费25.31万元；资料费15.24万元</w:t>
      </w:r>
      <w:bookmarkEnd w:id="1"/>
      <w:r>
        <w:rPr>
          <w:rStyle w:val="19"/>
          <w:rFonts w:hint="eastAsia" w:ascii="仿宋" w:hAnsi="仿宋" w:eastAsia="仿宋"/>
          <w:b w:val="0"/>
          <w:spacing w:val="-4"/>
          <w:sz w:val="32"/>
          <w:szCs w:val="32"/>
        </w:rPr>
        <w:t>；创业能力水平提高率</w:t>
      </w:r>
      <w:r>
        <w:rPr>
          <w:rStyle w:val="19"/>
          <w:rFonts w:hint="eastAsia" w:ascii="仿宋" w:hAnsi="仿宋" w:eastAsia="仿宋"/>
          <w:b w:val="0"/>
          <w:spacing w:val="-4"/>
          <w:sz w:val="32"/>
          <w:szCs w:val="32"/>
          <w:lang w:val="en-US" w:eastAsia="zh-CN"/>
        </w:rPr>
        <w:t>达到</w:t>
      </w:r>
      <w:r>
        <w:rPr>
          <w:rStyle w:val="19"/>
          <w:rFonts w:hint="eastAsia" w:ascii="仿宋" w:hAnsi="仿宋" w:eastAsia="仿宋"/>
          <w:b w:val="0"/>
          <w:spacing w:val="-4"/>
          <w:sz w:val="32"/>
          <w:szCs w:val="32"/>
        </w:rPr>
        <w:t>80%</w:t>
      </w:r>
      <w:r>
        <w:rPr>
          <w:rStyle w:val="19"/>
          <w:rFonts w:hint="eastAsia" w:ascii="仿宋" w:hAnsi="仿宋" w:eastAsia="仿宋"/>
          <w:b w:val="0"/>
          <w:spacing w:val="-4"/>
          <w:sz w:val="32"/>
          <w:szCs w:val="32"/>
          <w:lang w:val="en-US" w:eastAsia="zh-CN"/>
        </w:rPr>
        <w:t>以上</w:t>
      </w:r>
      <w:r>
        <w:rPr>
          <w:rStyle w:val="19"/>
          <w:rFonts w:hint="eastAsia" w:ascii="仿宋" w:hAnsi="仿宋" w:eastAsia="仿宋"/>
          <w:b w:val="0"/>
          <w:spacing w:val="-4"/>
          <w:sz w:val="32"/>
          <w:szCs w:val="32"/>
        </w:rPr>
        <w:t>；服务创业工作及时率</w:t>
      </w:r>
      <w:r>
        <w:rPr>
          <w:rStyle w:val="19"/>
          <w:rFonts w:hint="eastAsia" w:ascii="仿宋" w:hAnsi="仿宋" w:eastAsia="仿宋"/>
          <w:b w:val="0"/>
          <w:spacing w:val="-4"/>
          <w:sz w:val="32"/>
          <w:szCs w:val="32"/>
          <w:lang w:val="en-US" w:eastAsia="zh-CN"/>
        </w:rPr>
        <w:t>达到</w:t>
      </w:r>
      <w:r>
        <w:rPr>
          <w:rStyle w:val="19"/>
          <w:rFonts w:hint="eastAsia" w:ascii="仿宋" w:hAnsi="仿宋" w:eastAsia="仿宋"/>
          <w:b w:val="0"/>
          <w:spacing w:val="-4"/>
          <w:sz w:val="32"/>
          <w:szCs w:val="32"/>
        </w:rPr>
        <w:t>95%</w:t>
      </w:r>
      <w:r>
        <w:rPr>
          <w:rStyle w:val="19"/>
          <w:rFonts w:hint="eastAsia" w:ascii="仿宋" w:hAnsi="仿宋" w:eastAsia="仿宋"/>
          <w:b w:val="0"/>
          <w:spacing w:val="-4"/>
          <w:sz w:val="32"/>
          <w:szCs w:val="32"/>
          <w:lang w:val="en-US" w:eastAsia="zh-CN"/>
        </w:rPr>
        <w:t>以上</w:t>
      </w:r>
      <w:r>
        <w:rPr>
          <w:rStyle w:val="19"/>
          <w:rFonts w:hint="eastAsia" w:ascii="仿宋" w:hAnsi="仿宋" w:eastAsia="仿宋"/>
          <w:b w:val="0"/>
          <w:spacing w:val="-4"/>
          <w:sz w:val="32"/>
          <w:szCs w:val="32"/>
        </w:rPr>
        <w:t>；受援单位的满意度</w:t>
      </w:r>
      <w:r>
        <w:rPr>
          <w:rStyle w:val="19"/>
          <w:rFonts w:hint="eastAsia" w:ascii="仿宋" w:hAnsi="仿宋" w:eastAsia="仿宋"/>
          <w:b w:val="0"/>
          <w:spacing w:val="-4"/>
          <w:sz w:val="32"/>
          <w:szCs w:val="32"/>
          <w:lang w:val="en-US" w:eastAsia="zh-CN"/>
        </w:rPr>
        <w:t>达到</w:t>
      </w:r>
      <w:r>
        <w:rPr>
          <w:rStyle w:val="19"/>
          <w:rFonts w:hint="eastAsia" w:ascii="仿宋" w:hAnsi="仿宋" w:eastAsia="仿宋"/>
          <w:b w:val="0"/>
          <w:spacing w:val="-4"/>
          <w:sz w:val="32"/>
          <w:szCs w:val="32"/>
        </w:rPr>
        <w:t>95%</w:t>
      </w:r>
      <w:r>
        <w:rPr>
          <w:rStyle w:val="19"/>
          <w:rFonts w:hint="eastAsia" w:ascii="仿宋" w:hAnsi="仿宋" w:eastAsia="仿宋"/>
          <w:b w:val="0"/>
          <w:spacing w:val="-4"/>
          <w:sz w:val="32"/>
          <w:szCs w:val="32"/>
          <w:lang w:val="en-US" w:eastAsia="zh-CN"/>
        </w:rPr>
        <w:t>以上</w:t>
      </w:r>
      <w:r>
        <w:rPr>
          <w:rStyle w:val="19"/>
          <w:rFonts w:hint="eastAsia" w:ascii="仿宋" w:hAnsi="仿宋" w:eastAsia="仿宋"/>
          <w:b w:val="0"/>
          <w:spacing w:val="-4"/>
          <w:sz w:val="32"/>
          <w:szCs w:val="32"/>
        </w:rPr>
        <w:t>。</w:t>
      </w:r>
    </w:p>
    <w:bookmarkEnd w:id="6"/>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outlineLvl w:val="0"/>
        <w:rPr>
          <w:rStyle w:val="19"/>
          <w:rFonts w:ascii="仿宋" w:hAnsi="仿宋" w:eastAsia="仿宋"/>
          <w:b w:val="0"/>
          <w:spacing w:val="-4"/>
          <w:sz w:val="32"/>
          <w:szCs w:val="32"/>
        </w:rPr>
      </w:pPr>
      <w:r>
        <w:rPr>
          <w:rFonts w:hint="eastAsia" w:ascii="仿宋" w:hAnsi="仿宋" w:eastAsia="仿宋"/>
          <w:bCs/>
          <w:spacing w:val="-4"/>
          <w:sz w:val="32"/>
          <w:szCs w:val="32"/>
        </w:rPr>
        <w:t>本项目为及时对最新技术与产业发展动态进行培训与知识的更新，提高“三区”科技人才服务农民及科技创业的能力。</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预算安排总额为40.55万元，其中财政资金40.55万元，自筹资金0万元，2018年实际收到预算资金40.55万元。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Style w:val="19"/>
          <w:rFonts w:ascii="仿宋" w:hAnsi="仿宋" w:eastAsia="仿宋"/>
          <w:b w:val="0"/>
          <w:spacing w:val="-4"/>
          <w:sz w:val="32"/>
          <w:szCs w:val="32"/>
        </w:rPr>
      </w:pPr>
      <w:r>
        <w:rPr>
          <w:rFonts w:hint="eastAsia" w:ascii="仿宋" w:hAnsi="仿宋" w:eastAsia="仿宋"/>
          <w:bCs/>
          <w:spacing w:val="-4"/>
          <w:sz w:val="32"/>
          <w:szCs w:val="32"/>
        </w:rPr>
        <w:t>本项目实际支付资金40.55万元，预算执行率100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。项目资金主要用于支付</w:t>
      </w:r>
      <w:bookmarkStart w:id="2" w:name="_Hlk535368641"/>
      <w:r>
        <w:rPr>
          <w:rStyle w:val="19"/>
          <w:rFonts w:hint="eastAsia" w:ascii="仿宋" w:hAnsi="仿宋" w:eastAsia="仿宋"/>
          <w:b w:val="0"/>
          <w:spacing w:val="-4"/>
          <w:sz w:val="32"/>
          <w:szCs w:val="32"/>
        </w:rPr>
        <w:t>派出科技人员差旅费25.31万元；资料费15.24万元。</w:t>
      </w:r>
    </w:p>
    <w:bookmarkEnd w:id="2"/>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严格按照政府会计财务管理制度执行，制定了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本项目不存在调整情况。</w:t>
      </w:r>
    </w:p>
    <w:p>
      <w:pPr>
        <w:spacing w:line="540" w:lineRule="exact"/>
        <w:ind w:firstLine="564" w:firstLineChars="181"/>
        <w:rPr>
          <w:rFonts w:ascii="仿宋" w:hAnsi="仿宋" w:eastAsia="仿宋"/>
          <w:bCs/>
          <w:spacing w:val="-4"/>
          <w:sz w:val="32"/>
          <w:szCs w:val="32"/>
        </w:rPr>
      </w:pPr>
      <w:r>
        <w:rPr>
          <w:rFonts w:hint="eastAsia" w:ascii="仿宋" w:hAnsi="仿宋" w:eastAsia="仿宋"/>
          <w:bCs/>
          <w:spacing w:val="-4"/>
          <w:sz w:val="32"/>
          <w:szCs w:val="32"/>
        </w:rPr>
        <w:t>本项目不存在检查验收程序。</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outlineLvl w:val="0"/>
        <w:rPr>
          <w:rStyle w:val="19"/>
          <w:rFonts w:ascii="仿宋" w:hAnsi="仿宋" w:eastAsia="仿宋"/>
          <w:b w:val="0"/>
          <w:color w:val="FF0000"/>
          <w:spacing w:val="-4"/>
          <w:sz w:val="32"/>
          <w:szCs w:val="32"/>
        </w:rPr>
      </w:pPr>
      <w:r>
        <w:rPr>
          <w:rFonts w:hint="eastAsia" w:ascii="仿宋" w:hAnsi="仿宋" w:eastAsia="仿宋"/>
          <w:bCs/>
          <w:spacing w:val="-4"/>
          <w:sz w:val="32"/>
          <w:szCs w:val="32"/>
        </w:rPr>
        <w:t>项目实施过程中，喀什地区科学技术局建立了《喀什地区科技局财务管理制度》保障项目的顺利实施。项目的实施遵守相关法律法规和业务管理规定，项目资料齐全并及时归档。已建立《喀什地区科技局日常检查监督检查机制》，不定期对项目进度情况进行督导检查，对检查过程中发现的问题及时督促整改，确保了项目按时保质完成。</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w:t>
      </w:r>
      <w:r>
        <w:rPr>
          <w:rFonts w:ascii="仿宋" w:hAnsi="仿宋" w:eastAsia="仿宋"/>
          <w:bCs/>
          <w:spacing w:val="-4"/>
          <w:sz w:val="32"/>
          <w:szCs w:val="32"/>
        </w:rPr>
        <w:t>2个</w:t>
      </w:r>
      <w:r>
        <w:rPr>
          <w:rFonts w:hint="eastAsia" w:ascii="仿宋" w:hAnsi="仿宋" w:eastAsia="仿宋"/>
          <w:bCs/>
          <w:spacing w:val="-4"/>
          <w:sz w:val="32"/>
          <w:szCs w:val="32"/>
        </w:rPr>
        <w:t>，其中</w:t>
      </w:r>
      <w:r>
        <w:rPr>
          <w:rFonts w:ascii="仿宋" w:hAnsi="仿宋" w:eastAsia="仿宋"/>
          <w:bCs/>
          <w:spacing w:val="-4"/>
          <w:sz w:val="32"/>
          <w:szCs w:val="32"/>
        </w:rPr>
        <w:t>已完成三级指标12个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经济性：在本项目执行过程中严格控制支出成本，预算总金额为40.55万元，实际支出40.55万元，其中：</w:t>
      </w:r>
      <w:r>
        <w:rPr>
          <w:rStyle w:val="19"/>
          <w:rFonts w:hint="eastAsia" w:ascii="仿宋" w:hAnsi="仿宋" w:eastAsia="仿宋"/>
          <w:b w:val="0"/>
          <w:spacing w:val="-4"/>
          <w:sz w:val="32"/>
          <w:szCs w:val="32"/>
        </w:rPr>
        <w:t>派出科技人员差旅费25.31万元；资料费15.24万元。</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效率性：本项目服务项目数45个；下派人数92人服务到12县（市）；培养本土科技人才达到95%；培养农村科技创业人才达到95%；服务受援单位及时率达到100%；资金拨付及时率达到100%；保质保量完成了本次项目。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效益性：通过此次项目“三区”科技人才创业能力水平提高率达到85%；服务创业工作及时率达到95%；受援单位的满意度95%。</w:t>
      </w:r>
    </w:p>
    <w:p>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Fonts w:hint="eastAsia" w:ascii="仿宋" w:hAnsi="仿宋" w:eastAsia="仿宋"/>
          <w:bCs/>
          <w:spacing w:val="-4"/>
          <w:sz w:val="32"/>
          <w:szCs w:val="32"/>
        </w:rPr>
        <w:t>不断创新“三区”科技人才工作方法和模式，统筹科技特派员服务培训行动，加快农村基层科技能力建设。</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7" w:firstLineChars="200"/>
        <w:rPr>
          <w:rFonts w:ascii="楷体" w:hAnsi="楷体" w:eastAsia="楷体"/>
          <w:b/>
          <w:bCs/>
          <w:spacing w:val="-4"/>
          <w:sz w:val="32"/>
          <w:szCs w:val="32"/>
        </w:rPr>
      </w:pPr>
      <w:bookmarkStart w:id="3" w:name="_Hlk535372662"/>
      <w:r>
        <w:rPr>
          <w:rFonts w:hint="eastAsia" w:ascii="楷体" w:hAnsi="楷体" w:eastAsia="楷体"/>
          <w:b/>
          <w:bCs/>
          <w:spacing w:val="-4"/>
          <w:sz w:val="32"/>
          <w:szCs w:val="32"/>
        </w:rPr>
        <w:t>1、主要经验及做法</w:t>
      </w:r>
    </w:p>
    <w:p>
      <w:pPr>
        <w:adjustRightInd w:val="0"/>
        <w:snapToGrid w:val="0"/>
        <w:spacing w:line="560" w:lineRule="exact"/>
        <w:ind w:firstLine="624" w:firstLineChars="200"/>
        <w:rPr>
          <w:rFonts w:ascii="楷体" w:hAnsi="楷体" w:eastAsia="仿宋"/>
          <w:b/>
          <w:bCs/>
          <w:spacing w:val="-4"/>
          <w:sz w:val="32"/>
          <w:szCs w:val="32"/>
        </w:rPr>
      </w:pPr>
      <w:r>
        <w:rPr>
          <w:rFonts w:hint="eastAsia" w:ascii="仿宋" w:hAnsi="仿宋" w:eastAsia="仿宋"/>
          <w:bCs/>
          <w:spacing w:val="-4"/>
          <w:sz w:val="32"/>
          <w:szCs w:val="32"/>
        </w:rPr>
        <w:t>无。</w:t>
      </w:r>
    </w:p>
    <w:p>
      <w:pPr>
        <w:numPr>
          <w:ilvl w:val="0"/>
          <w:numId w:val="1"/>
        </w:num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存在的问题</w:t>
      </w:r>
    </w:p>
    <w:p>
      <w:pPr>
        <w:adjustRightInd w:val="0"/>
        <w:snapToGrid w:val="0"/>
        <w:spacing w:line="560" w:lineRule="exact"/>
        <w:ind w:firstLine="624" w:firstLineChars="200"/>
        <w:rPr>
          <w:rFonts w:ascii="楷体" w:hAnsi="楷体" w:eastAsia="仿宋"/>
          <w:b/>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rPr>
          <w:rFonts w:ascii="楷体" w:hAnsi="楷体" w:eastAsia="楷体"/>
          <w:b/>
          <w:bCs/>
          <w:spacing w:val="-4"/>
          <w:sz w:val="32"/>
          <w:szCs w:val="32"/>
        </w:rPr>
      </w:pPr>
      <w:r>
        <w:rPr>
          <w:rFonts w:hint="eastAsia" w:ascii="楷体" w:hAnsi="楷体" w:eastAsia="楷体"/>
          <w:b/>
          <w:bCs/>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bookmarkEnd w:id="3"/>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bookmarkStart w:id="4" w:name="_Hlk535372686"/>
      <w:r>
        <w:rPr>
          <w:rFonts w:hint="eastAsia" w:ascii="仿宋" w:hAnsi="仿宋" w:eastAsia="仿宋"/>
          <w:spacing w:val="-4"/>
          <w:sz w:val="32"/>
          <w:szCs w:val="32"/>
        </w:rPr>
        <w:t>无其他说明内容。</w:t>
      </w:r>
    </w:p>
    <w:bookmarkEnd w:id="4"/>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24" w:firstLineChars="200"/>
        <w:jc w:val="left"/>
        <w:rPr>
          <w:rFonts w:ascii="仿宋" w:hAnsi="仿宋" w:eastAsia="仿宋" w:cs="宋体"/>
          <w:kern w:val="0"/>
          <w:sz w:val="36"/>
          <w:szCs w:val="36"/>
        </w:rPr>
      </w:pPr>
      <w:bookmarkStart w:id="5" w:name="_Hlk535372710"/>
      <w:r>
        <w:rPr>
          <w:rFonts w:hint="eastAsia" w:ascii="仿宋" w:hAnsi="仿宋" w:eastAsia="仿宋"/>
          <w:spacing w:val="-4"/>
          <w:sz w:val="32"/>
          <w:szCs w:val="32"/>
        </w:rPr>
        <w:t>本次评价通过文件研读、实地调研、数据分析等方式，全面</w:t>
      </w:r>
      <w:r>
        <w:rPr>
          <w:rFonts w:hint="eastAsia" w:ascii="仿宋" w:hAnsi="仿宋" w:eastAsia="仿宋"/>
          <w:bCs/>
          <w:spacing w:val="-4"/>
          <w:sz w:val="32"/>
          <w:szCs w:val="32"/>
        </w:rPr>
        <w:t>了解三区人才支持计划科技人员专项经费项目资金的</w:t>
      </w:r>
      <w:r>
        <w:rPr>
          <w:rFonts w:hint="eastAsia" w:ascii="仿宋" w:hAnsi="仿宋" w:eastAsia="仿宋"/>
          <w:spacing w:val="-4"/>
          <w:sz w:val="32"/>
          <w:szCs w:val="32"/>
        </w:rPr>
        <w:t>使用效率和效果，项目管理过程规范，完成了预期绩效目标等。同时，通过开展自我评价来总结经验和教训，</w:t>
      </w:r>
      <w:r>
        <w:rPr>
          <w:rFonts w:hint="eastAsia" w:ascii="仿宋" w:hAnsi="仿宋" w:eastAsia="仿宋"/>
          <w:bCs/>
          <w:spacing w:val="-4"/>
          <w:sz w:val="32"/>
          <w:szCs w:val="32"/>
        </w:rPr>
        <w:t>为喀什地区三区人才支持计划科技人员专项经费项目今后的开展提供参考建议</w:t>
      </w:r>
      <w:r>
        <w:rPr>
          <w:rFonts w:hint="eastAsia" w:ascii="仿宋" w:hAnsi="仿宋" w:eastAsia="仿宋"/>
          <w:spacing w:val="-4"/>
          <w:sz w:val="32"/>
          <w:szCs w:val="32"/>
        </w:rPr>
        <w:t>。</w:t>
      </w:r>
    </w:p>
    <w:bookmarkEnd w:id="5"/>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3</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6F3CC"/>
    <w:multiLevelType w:val="singleLevel"/>
    <w:tmpl w:val="45C6F3C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09FD"/>
    <w:rsid w:val="000520B6"/>
    <w:rsid w:val="00056465"/>
    <w:rsid w:val="00121AE4"/>
    <w:rsid w:val="0012630E"/>
    <w:rsid w:val="00146AAD"/>
    <w:rsid w:val="001B3A40"/>
    <w:rsid w:val="001C5281"/>
    <w:rsid w:val="002A30C0"/>
    <w:rsid w:val="004366A8"/>
    <w:rsid w:val="004419BA"/>
    <w:rsid w:val="004959AC"/>
    <w:rsid w:val="004D189C"/>
    <w:rsid w:val="004F4636"/>
    <w:rsid w:val="00502BA7"/>
    <w:rsid w:val="005162F1"/>
    <w:rsid w:val="00535153"/>
    <w:rsid w:val="00554F82"/>
    <w:rsid w:val="0056390D"/>
    <w:rsid w:val="005719B0"/>
    <w:rsid w:val="005B4B14"/>
    <w:rsid w:val="005D10D6"/>
    <w:rsid w:val="006D42F6"/>
    <w:rsid w:val="006F4902"/>
    <w:rsid w:val="008548E5"/>
    <w:rsid w:val="00855E3A"/>
    <w:rsid w:val="008E5A11"/>
    <w:rsid w:val="00917473"/>
    <w:rsid w:val="00922CB9"/>
    <w:rsid w:val="009E5CD9"/>
    <w:rsid w:val="00A26421"/>
    <w:rsid w:val="00A4293B"/>
    <w:rsid w:val="00A46B54"/>
    <w:rsid w:val="00A67D50"/>
    <w:rsid w:val="00A8691A"/>
    <w:rsid w:val="00AC1946"/>
    <w:rsid w:val="00B40063"/>
    <w:rsid w:val="00B41F61"/>
    <w:rsid w:val="00BA46E6"/>
    <w:rsid w:val="00C46D32"/>
    <w:rsid w:val="00C56C72"/>
    <w:rsid w:val="00CA6457"/>
    <w:rsid w:val="00D17F2E"/>
    <w:rsid w:val="00D30354"/>
    <w:rsid w:val="00DF42A0"/>
    <w:rsid w:val="00E14AD0"/>
    <w:rsid w:val="00E769FE"/>
    <w:rsid w:val="00EA2CBE"/>
    <w:rsid w:val="00F15E0C"/>
    <w:rsid w:val="00F32FEE"/>
    <w:rsid w:val="00F55898"/>
    <w:rsid w:val="00FB10BB"/>
    <w:rsid w:val="2B753604"/>
    <w:rsid w:val="329E480E"/>
    <w:rsid w:val="69791906"/>
    <w:rsid w:val="73746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Layout w:type="fixed"/>
      <w:tblCellMar>
        <w:top w:w="0" w:type="dxa"/>
        <w:left w:w="108" w:type="dxa"/>
        <w:bottom w:w="0" w:type="dxa"/>
        <w:right w:w="108" w:type="dxa"/>
      </w:tblCellMar>
    </w:tblPr>
  </w:style>
  <w:style w:type="paragraph" w:styleId="11">
    <w:name w:val="annotation text"/>
    <w:basedOn w:val="1"/>
    <w:semiHidden/>
    <w:unhideWhenUsed/>
    <w:qFormat/>
    <w:uiPriority w:val="99"/>
    <w:pPr>
      <w:jc w:val="left"/>
    </w:pPr>
  </w:style>
  <w:style w:type="paragraph" w:styleId="12">
    <w:name w:val="Balloon Text"/>
    <w:basedOn w:val="1"/>
    <w:link w:val="47"/>
    <w:semiHidden/>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styleId="21">
    <w:name w:val="annotation reference"/>
    <w:basedOn w:val="18"/>
    <w:semiHidden/>
    <w:unhideWhenUsed/>
    <w:qFormat/>
    <w:uiPriority w:val="99"/>
    <w:rPr>
      <w:sz w:val="21"/>
      <w:szCs w:val="21"/>
    </w:rPr>
  </w:style>
  <w:style w:type="character" w:customStyle="1" w:styleId="22">
    <w:name w:val="标题 1 字符"/>
    <w:basedOn w:val="18"/>
    <w:link w:val="3"/>
    <w:qFormat/>
    <w:uiPriority w:val="9"/>
    <w:rPr>
      <w:rFonts w:asciiTheme="majorHAnsi" w:hAnsiTheme="majorHAnsi" w:eastAsiaTheme="majorEastAsia"/>
      <w:b/>
      <w:bCs/>
      <w:kern w:val="32"/>
      <w:sz w:val="32"/>
      <w:szCs w:val="32"/>
    </w:rPr>
  </w:style>
  <w:style w:type="character" w:customStyle="1" w:styleId="23">
    <w:name w:val="标题 2 字符"/>
    <w:basedOn w:val="18"/>
    <w:link w:val="4"/>
    <w:semiHidden/>
    <w:qFormat/>
    <w:uiPriority w:val="9"/>
    <w:rPr>
      <w:rFonts w:asciiTheme="majorHAnsi" w:hAnsiTheme="majorHAnsi" w:eastAsiaTheme="majorEastAsia"/>
      <w:b/>
      <w:bCs/>
      <w:i/>
      <w:iCs/>
      <w:sz w:val="28"/>
      <w:szCs w:val="28"/>
    </w:rPr>
  </w:style>
  <w:style w:type="character" w:customStyle="1" w:styleId="24">
    <w:name w:val="标题 3 字符"/>
    <w:basedOn w:val="18"/>
    <w:link w:val="2"/>
    <w:semiHidden/>
    <w:qFormat/>
    <w:uiPriority w:val="9"/>
    <w:rPr>
      <w:rFonts w:asciiTheme="majorHAnsi" w:hAnsiTheme="majorHAnsi" w:eastAsiaTheme="majorEastAsia"/>
      <w:b/>
      <w:bCs/>
      <w:sz w:val="26"/>
      <w:szCs w:val="26"/>
    </w:rPr>
  </w:style>
  <w:style w:type="character" w:customStyle="1" w:styleId="25">
    <w:name w:val="标题 4 字符"/>
    <w:basedOn w:val="18"/>
    <w:link w:val="5"/>
    <w:semiHidden/>
    <w:qFormat/>
    <w:uiPriority w:val="9"/>
    <w:rPr>
      <w:b/>
      <w:bCs/>
      <w:sz w:val="28"/>
      <w:szCs w:val="28"/>
    </w:rPr>
  </w:style>
  <w:style w:type="character" w:customStyle="1" w:styleId="26">
    <w:name w:val="标题 5 字符"/>
    <w:basedOn w:val="18"/>
    <w:link w:val="6"/>
    <w:semiHidden/>
    <w:qFormat/>
    <w:uiPriority w:val="9"/>
    <w:rPr>
      <w:b/>
      <w:bCs/>
      <w:i/>
      <w:iCs/>
      <w:sz w:val="26"/>
      <w:szCs w:val="26"/>
    </w:rPr>
  </w:style>
  <w:style w:type="character" w:customStyle="1" w:styleId="27">
    <w:name w:val="标题 6 字符"/>
    <w:basedOn w:val="18"/>
    <w:link w:val="7"/>
    <w:semiHidden/>
    <w:qFormat/>
    <w:uiPriority w:val="9"/>
    <w:rPr>
      <w:b/>
      <w:bCs/>
    </w:rPr>
  </w:style>
  <w:style w:type="character" w:customStyle="1" w:styleId="28">
    <w:name w:val="标题 7 字符"/>
    <w:basedOn w:val="18"/>
    <w:link w:val="8"/>
    <w:semiHidden/>
    <w:qFormat/>
    <w:uiPriority w:val="9"/>
    <w:rPr>
      <w:sz w:val="24"/>
      <w:szCs w:val="24"/>
    </w:rPr>
  </w:style>
  <w:style w:type="character" w:customStyle="1" w:styleId="29">
    <w:name w:val="标题 8 字符"/>
    <w:basedOn w:val="18"/>
    <w:link w:val="9"/>
    <w:semiHidden/>
    <w:qFormat/>
    <w:uiPriority w:val="9"/>
    <w:rPr>
      <w:i/>
      <w:iCs/>
      <w:sz w:val="24"/>
      <w:szCs w:val="24"/>
    </w:rPr>
  </w:style>
  <w:style w:type="character" w:customStyle="1" w:styleId="30">
    <w:name w:val="标题 9 字符"/>
    <w:basedOn w:val="18"/>
    <w:link w:val="10"/>
    <w:semiHidden/>
    <w:qFormat/>
    <w:uiPriority w:val="9"/>
    <w:rPr>
      <w:rFonts w:asciiTheme="majorHAnsi" w:hAnsiTheme="majorHAnsi" w:eastAsiaTheme="majorEastAsia"/>
    </w:rPr>
  </w:style>
  <w:style w:type="character" w:customStyle="1" w:styleId="31">
    <w:name w:val="标题 字符"/>
    <w:basedOn w:val="18"/>
    <w:link w:val="16"/>
    <w:qFormat/>
    <w:uiPriority w:val="10"/>
    <w:rPr>
      <w:rFonts w:asciiTheme="majorHAnsi" w:hAnsiTheme="majorHAnsi" w:eastAsiaTheme="majorEastAsia"/>
      <w:b/>
      <w:bCs/>
      <w:kern w:val="28"/>
      <w:sz w:val="32"/>
      <w:szCs w:val="32"/>
    </w:rPr>
  </w:style>
  <w:style w:type="character" w:customStyle="1" w:styleId="32">
    <w:name w:val="副标题 字符"/>
    <w:basedOn w:val="18"/>
    <w:link w:val="15"/>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8"/>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3"/>
    <w:next w:val="1"/>
    <w:semiHidden/>
    <w:unhideWhenUsed/>
    <w:qFormat/>
    <w:uiPriority w:val="39"/>
    <w:pPr>
      <w:outlineLvl w:val="9"/>
    </w:pPr>
    <w:rPr>
      <w:lang w:eastAsia="en-US" w:bidi="en-US"/>
    </w:rPr>
  </w:style>
  <w:style w:type="character" w:customStyle="1" w:styleId="45">
    <w:name w:val="页眉 字符"/>
    <w:basedOn w:val="18"/>
    <w:link w:val="14"/>
    <w:qFormat/>
    <w:uiPriority w:val="99"/>
    <w:rPr>
      <w:rFonts w:ascii="Calibri" w:hAnsi="Calibri" w:eastAsia="宋体"/>
      <w:kern w:val="2"/>
      <w:sz w:val="18"/>
      <w:szCs w:val="18"/>
    </w:rPr>
  </w:style>
  <w:style w:type="character" w:customStyle="1" w:styleId="46">
    <w:name w:val="页脚 字符"/>
    <w:basedOn w:val="18"/>
    <w:link w:val="13"/>
    <w:qFormat/>
    <w:uiPriority w:val="99"/>
    <w:rPr>
      <w:rFonts w:ascii="Calibri" w:hAnsi="Calibri" w:eastAsia="宋体"/>
      <w:kern w:val="2"/>
      <w:sz w:val="18"/>
      <w:szCs w:val="18"/>
    </w:rPr>
  </w:style>
  <w:style w:type="character" w:customStyle="1" w:styleId="47">
    <w:name w:val="批注框文本 字符"/>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310</Words>
  <Characters>1771</Characters>
  <Lines>14</Lines>
  <Paragraphs>4</Paragraphs>
  <TotalTime>7</TotalTime>
  <ScaleCrop>false</ScaleCrop>
  <LinksUpToDate>false</LinksUpToDate>
  <CharactersWithSpaces>2077</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菩提_薇薇安</cp:lastModifiedBy>
  <cp:lastPrinted>2018-12-31T10:56:00Z</cp:lastPrinted>
  <dcterms:modified xsi:type="dcterms:W3CDTF">2019-08-23T08:40:11Z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