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1041" w:firstLineChars="200"/>
        <w:jc w:val="center"/>
        <w:rPr>
          <w:rFonts w:ascii="华文中宋" w:hAnsi="华文中宋" w:eastAsia="华文中宋" w:cs="宋体"/>
          <w:b/>
          <w:kern w:val="0"/>
          <w:sz w:val="52"/>
          <w:szCs w:val="52"/>
        </w:rPr>
      </w:pPr>
    </w:p>
    <w:p>
      <w:pPr>
        <w:spacing w:line="560" w:lineRule="exact"/>
        <w:ind w:firstLine="1041" w:firstLineChars="200"/>
        <w:jc w:val="center"/>
        <w:rPr>
          <w:rFonts w:ascii="华文中宋" w:hAnsi="华文中宋" w:eastAsia="华文中宋" w:cs="宋体"/>
          <w:b/>
          <w:kern w:val="0"/>
          <w:sz w:val="52"/>
          <w:szCs w:val="52"/>
        </w:rPr>
      </w:pPr>
    </w:p>
    <w:p>
      <w:pPr>
        <w:spacing w:line="560" w:lineRule="exact"/>
        <w:ind w:firstLine="1041" w:firstLineChars="200"/>
        <w:jc w:val="center"/>
        <w:rPr>
          <w:rFonts w:ascii="华文中宋" w:hAnsi="华文中宋" w:eastAsia="华文中宋" w:cs="宋体"/>
          <w:b/>
          <w:kern w:val="0"/>
          <w:sz w:val="52"/>
          <w:szCs w:val="52"/>
        </w:rPr>
      </w:pPr>
    </w:p>
    <w:p>
      <w:pPr>
        <w:spacing w:line="560" w:lineRule="exact"/>
        <w:ind w:firstLine="1041" w:firstLineChars="200"/>
        <w:jc w:val="center"/>
        <w:rPr>
          <w:rFonts w:ascii="华文中宋" w:hAnsi="华文中宋" w:eastAsia="华文中宋" w:cs="宋体"/>
          <w:b/>
          <w:kern w:val="0"/>
          <w:sz w:val="52"/>
          <w:szCs w:val="52"/>
        </w:rPr>
      </w:pPr>
    </w:p>
    <w:p>
      <w:pPr>
        <w:spacing w:line="560" w:lineRule="exact"/>
        <w:ind w:firstLine="1041" w:firstLineChars="200"/>
        <w:jc w:val="center"/>
        <w:rPr>
          <w:rFonts w:ascii="华文中宋" w:hAnsi="华文中宋" w:eastAsia="华文中宋" w:cs="宋体"/>
          <w:b/>
          <w:kern w:val="0"/>
          <w:sz w:val="52"/>
          <w:szCs w:val="52"/>
        </w:rPr>
      </w:pPr>
    </w:p>
    <w:p>
      <w:pPr>
        <w:spacing w:line="560" w:lineRule="exact"/>
        <w:ind w:firstLine="1041" w:firstLineChars="200"/>
        <w:jc w:val="center"/>
        <w:rPr>
          <w:rFonts w:ascii="华文中宋" w:hAnsi="华文中宋" w:eastAsia="华文中宋" w:cs="宋体"/>
          <w:b/>
          <w:kern w:val="0"/>
          <w:sz w:val="52"/>
          <w:szCs w:val="52"/>
        </w:rPr>
      </w:pPr>
    </w:p>
    <w:p>
      <w:pPr>
        <w:spacing w:line="560" w:lineRule="exact"/>
        <w:ind w:firstLine="1041" w:firstLineChars="200"/>
        <w:jc w:val="center"/>
        <w:rPr>
          <w:rFonts w:ascii="华文中宋" w:hAnsi="华文中宋" w:eastAsia="华文中宋" w:cs="宋体"/>
          <w:b/>
          <w:kern w:val="0"/>
          <w:sz w:val="52"/>
          <w:szCs w:val="52"/>
        </w:rPr>
      </w:pPr>
    </w:p>
    <w:p>
      <w:pPr>
        <w:spacing w:line="560" w:lineRule="exact"/>
        <w:ind w:firstLine="1041" w:firstLineChars="200"/>
        <w:jc w:val="center"/>
        <w:rPr>
          <w:rFonts w:ascii="华文中宋" w:hAnsi="华文中宋" w:eastAsia="华文中宋" w:cs="宋体"/>
          <w:b/>
          <w:kern w:val="0"/>
          <w:sz w:val="52"/>
          <w:szCs w:val="52"/>
        </w:rPr>
      </w:pPr>
      <w:r>
        <w:rPr>
          <w:rFonts w:hint="eastAsia" w:ascii="华文中宋" w:hAnsi="华文中宋" w:eastAsia="华文中宋" w:cs="宋体"/>
          <w:b/>
          <w:kern w:val="0"/>
          <w:sz w:val="52"/>
          <w:szCs w:val="52"/>
        </w:rPr>
        <w:t>新疆财政支出绩效自评报告</w:t>
      </w:r>
    </w:p>
    <w:p>
      <w:pPr>
        <w:spacing w:line="560" w:lineRule="exact"/>
        <w:ind w:firstLine="1041" w:firstLineChars="200"/>
        <w:jc w:val="center"/>
        <w:rPr>
          <w:rFonts w:ascii="华文中宋" w:hAnsi="华文中宋" w:eastAsia="华文中宋" w:cs="宋体"/>
          <w:b/>
          <w:kern w:val="0"/>
          <w:sz w:val="52"/>
          <w:szCs w:val="52"/>
        </w:rPr>
      </w:pPr>
    </w:p>
    <w:p>
      <w:pPr>
        <w:spacing w:line="560" w:lineRule="exact"/>
        <w:ind w:firstLine="720" w:firstLineChars="200"/>
        <w:jc w:val="center"/>
        <w:rPr>
          <w:rFonts w:ascii="仿宋" w:hAnsi="仿宋" w:eastAsia="仿宋" w:cs="宋体"/>
          <w:kern w:val="0"/>
          <w:sz w:val="36"/>
          <w:szCs w:val="36"/>
        </w:rPr>
      </w:pPr>
      <w:r>
        <w:rPr>
          <w:rFonts w:hint="eastAsia" w:ascii="仿宋" w:hAnsi="仿宋" w:eastAsia="仿宋" w:cs="宋体"/>
          <w:kern w:val="0"/>
          <w:sz w:val="36"/>
          <w:szCs w:val="36"/>
        </w:rPr>
        <w:t>（   201</w:t>
      </w:r>
      <w:r>
        <w:rPr>
          <w:rFonts w:hint="eastAsia" w:ascii="仿宋" w:hAnsi="仿宋" w:eastAsia="仿宋" w:cs="宋体"/>
          <w:kern w:val="0"/>
          <w:sz w:val="36"/>
          <w:szCs w:val="36"/>
          <w:lang w:val="en-US" w:eastAsia="zh-CN"/>
        </w:rPr>
        <w:t>8</w:t>
      </w:r>
      <w:r>
        <w:rPr>
          <w:rFonts w:hint="eastAsia" w:ascii="仿宋" w:hAnsi="仿宋" w:eastAsia="仿宋" w:cs="宋体"/>
          <w:kern w:val="0"/>
          <w:sz w:val="36"/>
          <w:szCs w:val="36"/>
        </w:rPr>
        <w:t>年度）</w:t>
      </w:r>
    </w:p>
    <w:p>
      <w:pPr>
        <w:spacing w:line="560" w:lineRule="exact"/>
        <w:ind w:firstLine="600" w:firstLineChars="200"/>
        <w:jc w:val="center"/>
        <w:rPr>
          <w:rFonts w:ascii="仿宋" w:hAnsi="仿宋" w:eastAsia="仿宋" w:cs="宋体"/>
          <w:kern w:val="0"/>
          <w:sz w:val="30"/>
          <w:szCs w:val="30"/>
        </w:rPr>
      </w:pPr>
    </w:p>
    <w:p>
      <w:pPr>
        <w:spacing w:line="560" w:lineRule="exact"/>
        <w:ind w:firstLine="600" w:firstLineChars="200"/>
        <w:jc w:val="center"/>
        <w:rPr>
          <w:rFonts w:ascii="仿宋" w:hAnsi="仿宋" w:eastAsia="仿宋" w:cs="宋体"/>
          <w:kern w:val="0"/>
          <w:sz w:val="30"/>
          <w:szCs w:val="30"/>
        </w:rPr>
      </w:pPr>
    </w:p>
    <w:p>
      <w:pPr>
        <w:spacing w:line="560" w:lineRule="exact"/>
        <w:ind w:firstLine="600" w:firstLineChars="200"/>
        <w:jc w:val="center"/>
        <w:rPr>
          <w:rFonts w:ascii="仿宋" w:hAnsi="仿宋" w:eastAsia="仿宋" w:cs="宋体"/>
          <w:kern w:val="0"/>
          <w:sz w:val="30"/>
          <w:szCs w:val="30"/>
        </w:rPr>
      </w:pPr>
    </w:p>
    <w:p>
      <w:pPr>
        <w:spacing w:line="560" w:lineRule="exact"/>
        <w:ind w:firstLine="600" w:firstLineChars="200"/>
        <w:jc w:val="center"/>
        <w:rPr>
          <w:rFonts w:ascii="仿宋" w:hAnsi="仿宋" w:eastAsia="仿宋" w:cs="宋体"/>
          <w:kern w:val="0"/>
          <w:sz w:val="30"/>
          <w:szCs w:val="30"/>
        </w:rPr>
      </w:pPr>
    </w:p>
    <w:p>
      <w:pPr>
        <w:spacing w:line="560" w:lineRule="exact"/>
        <w:ind w:firstLine="600" w:firstLineChars="200"/>
        <w:jc w:val="center"/>
        <w:rPr>
          <w:rFonts w:ascii="仿宋" w:hAnsi="仿宋" w:eastAsia="仿宋" w:cs="宋体"/>
          <w:kern w:val="0"/>
          <w:sz w:val="30"/>
          <w:szCs w:val="30"/>
        </w:rPr>
      </w:pPr>
    </w:p>
    <w:p>
      <w:pPr>
        <w:spacing w:line="560" w:lineRule="exact"/>
        <w:ind w:firstLine="600" w:firstLineChars="200"/>
        <w:jc w:val="center"/>
        <w:rPr>
          <w:rFonts w:ascii="仿宋" w:hAnsi="仿宋" w:eastAsia="仿宋" w:cs="宋体"/>
          <w:kern w:val="0"/>
          <w:sz w:val="30"/>
          <w:szCs w:val="30"/>
        </w:rPr>
      </w:pPr>
    </w:p>
    <w:p>
      <w:pPr>
        <w:spacing w:line="560" w:lineRule="exact"/>
        <w:ind w:firstLine="720" w:firstLineChars="200"/>
        <w:jc w:val="left"/>
        <w:rPr>
          <w:rFonts w:ascii="仿宋" w:hAnsi="仿宋" w:eastAsia="仿宋" w:cs="宋体"/>
          <w:kern w:val="0"/>
          <w:sz w:val="36"/>
          <w:szCs w:val="36"/>
        </w:rPr>
      </w:pPr>
      <w:r>
        <w:rPr>
          <w:rFonts w:hint="eastAsia" w:ascii="仿宋" w:hAnsi="仿宋" w:eastAsia="仿宋" w:cs="宋体"/>
          <w:kern w:val="0"/>
          <w:sz w:val="36"/>
          <w:szCs w:val="36"/>
        </w:rPr>
        <w:t>项目名称：自治区公益性科研院所基本科研业务专项经费</w:t>
      </w:r>
    </w:p>
    <w:p>
      <w:pPr>
        <w:spacing w:line="560" w:lineRule="exact"/>
        <w:ind w:firstLine="720" w:firstLineChars="200"/>
        <w:jc w:val="left"/>
        <w:rPr>
          <w:rFonts w:ascii="仿宋" w:hAnsi="仿宋" w:eastAsia="仿宋" w:cs="宋体"/>
          <w:kern w:val="0"/>
          <w:sz w:val="36"/>
          <w:szCs w:val="36"/>
        </w:rPr>
      </w:pPr>
      <w:r>
        <w:rPr>
          <w:rFonts w:hint="eastAsia" w:ascii="仿宋" w:hAnsi="仿宋" w:eastAsia="仿宋" w:cs="宋体"/>
          <w:kern w:val="0"/>
          <w:sz w:val="36"/>
          <w:szCs w:val="36"/>
        </w:rPr>
        <w:t>实施单位（公章）：新疆维吾尔自治区喀什地区科学技术局</w:t>
      </w:r>
    </w:p>
    <w:p>
      <w:pPr>
        <w:spacing w:line="560" w:lineRule="exact"/>
        <w:ind w:firstLine="720" w:firstLineChars="200"/>
        <w:jc w:val="left"/>
        <w:rPr>
          <w:rFonts w:ascii="仿宋" w:hAnsi="仿宋" w:eastAsia="仿宋" w:cs="宋体"/>
          <w:kern w:val="0"/>
          <w:sz w:val="36"/>
          <w:szCs w:val="36"/>
        </w:rPr>
      </w:pPr>
      <w:r>
        <w:rPr>
          <w:rFonts w:hint="eastAsia" w:ascii="仿宋" w:hAnsi="仿宋" w:eastAsia="仿宋" w:cs="宋体"/>
          <w:kern w:val="0"/>
          <w:sz w:val="36"/>
          <w:szCs w:val="36"/>
        </w:rPr>
        <w:t>自治区主管部门（公章）：新疆维吾尔自治区科学技术厅</w:t>
      </w:r>
    </w:p>
    <w:p>
      <w:pPr>
        <w:spacing w:line="560" w:lineRule="exact"/>
        <w:ind w:firstLine="720" w:firstLineChars="200"/>
        <w:jc w:val="left"/>
        <w:rPr>
          <w:rFonts w:ascii="仿宋" w:hAnsi="仿宋" w:eastAsia="仿宋" w:cs="宋体"/>
          <w:kern w:val="0"/>
          <w:sz w:val="36"/>
          <w:szCs w:val="36"/>
        </w:rPr>
      </w:pPr>
      <w:r>
        <w:rPr>
          <w:rFonts w:hint="eastAsia" w:ascii="仿宋" w:hAnsi="仿宋" w:eastAsia="仿宋" w:cs="宋体"/>
          <w:kern w:val="0"/>
          <w:sz w:val="36"/>
          <w:szCs w:val="36"/>
        </w:rPr>
        <w:t>项目负责人（签章）：董三军</w:t>
      </w:r>
    </w:p>
    <w:p>
      <w:pPr>
        <w:adjustRightInd w:val="0"/>
        <w:snapToGrid w:val="0"/>
        <w:spacing w:line="560" w:lineRule="exact"/>
        <w:ind w:firstLine="720" w:firstLineChars="200"/>
        <w:rPr>
          <w:rStyle w:val="19"/>
          <w:rFonts w:ascii="仿宋" w:hAnsi="仿宋" w:eastAsia="仿宋" w:cs="宋体"/>
          <w:bCs w:val="0"/>
          <w:kern w:val="0"/>
          <w:sz w:val="36"/>
          <w:szCs w:val="36"/>
        </w:rPr>
        <w:sectPr>
          <w:pgSz w:w="11906" w:h="16838"/>
          <w:pgMar w:top="1440" w:right="1800" w:bottom="1440" w:left="1800" w:header="851" w:footer="992" w:gutter="0"/>
          <w:cols w:space="425" w:num="1"/>
          <w:docGrid w:type="lines" w:linePitch="312" w:charSpace="0"/>
        </w:sectPr>
      </w:pPr>
      <w:r>
        <w:rPr>
          <w:rFonts w:hint="eastAsia" w:ascii="仿宋" w:hAnsi="仿宋" w:eastAsia="仿宋" w:cs="宋体"/>
          <w:kern w:val="0"/>
          <w:sz w:val="36"/>
          <w:szCs w:val="36"/>
        </w:rPr>
        <w:t>填报时间： 201</w:t>
      </w:r>
      <w:r>
        <w:rPr>
          <w:rFonts w:hint="eastAsia" w:ascii="仿宋" w:hAnsi="仿宋" w:eastAsia="仿宋" w:cs="宋体"/>
          <w:kern w:val="0"/>
          <w:sz w:val="36"/>
          <w:szCs w:val="36"/>
          <w:lang w:val="en-US" w:eastAsia="zh-CN"/>
        </w:rPr>
        <w:t>9</w:t>
      </w:r>
      <w:r>
        <w:rPr>
          <w:rFonts w:hint="eastAsia" w:ascii="仿宋" w:hAnsi="仿宋" w:eastAsia="仿宋" w:cs="宋体"/>
          <w:kern w:val="0"/>
          <w:sz w:val="36"/>
          <w:szCs w:val="36"/>
        </w:rPr>
        <w:t xml:space="preserve"> 年1月 1</w:t>
      </w:r>
      <w:r>
        <w:rPr>
          <w:rFonts w:hint="eastAsia" w:ascii="仿宋" w:hAnsi="仿宋" w:eastAsia="仿宋" w:cs="宋体"/>
          <w:kern w:val="0"/>
          <w:sz w:val="36"/>
          <w:szCs w:val="36"/>
          <w:lang w:val="en-US" w:eastAsia="zh-CN"/>
        </w:rPr>
        <w:t>2</w:t>
      </w:r>
      <w:r>
        <w:rPr>
          <w:rFonts w:hint="eastAsia" w:ascii="仿宋" w:hAnsi="仿宋" w:eastAsia="仿宋" w:cs="宋体"/>
          <w:kern w:val="0"/>
          <w:sz w:val="36"/>
          <w:szCs w:val="36"/>
        </w:rPr>
        <w:t xml:space="preserve"> 日</w:t>
      </w:r>
    </w:p>
    <w:p>
      <w:pPr>
        <w:adjustRightInd w:val="0"/>
        <w:snapToGrid w:val="0"/>
        <w:spacing w:line="560" w:lineRule="exact"/>
        <w:ind w:firstLine="624" w:firstLineChars="200"/>
        <w:outlineLvl w:val="0"/>
        <w:rPr>
          <w:rStyle w:val="19"/>
          <w:rFonts w:ascii="黑体" w:hAnsi="黑体" w:eastAsia="黑体"/>
          <w:b w:val="0"/>
          <w:spacing w:val="-4"/>
          <w:sz w:val="32"/>
          <w:szCs w:val="32"/>
        </w:rPr>
      </w:pPr>
      <w:r>
        <w:rPr>
          <w:rStyle w:val="19"/>
          <w:rFonts w:hint="eastAsia" w:ascii="黑体" w:hAnsi="黑体" w:eastAsia="黑体"/>
          <w:b w:val="0"/>
          <w:spacing w:val="-4"/>
          <w:sz w:val="32"/>
          <w:szCs w:val="32"/>
        </w:rPr>
        <w:t>一、项目概况</w:t>
      </w:r>
    </w:p>
    <w:p>
      <w:pPr>
        <w:adjustRightInd w:val="0"/>
        <w:snapToGrid w:val="0"/>
        <w:spacing w:line="56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（一）项目单位基本情况</w:t>
      </w:r>
    </w:p>
    <w:p>
      <w:pPr>
        <w:adjustRightInd w:val="0"/>
        <w:snapToGrid w:val="0"/>
        <w:spacing w:line="56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 xml:space="preserve">新疆维吾尔地区喀什地区科学技术局隶属于喀什地区行政公署，坐落于喀什市解放南路260号，行政编制数18个，核定工勤人员编制2名。编制人数 37 人，其中：行政人员编制 18人，核定工勤人员编制2 人，全额拨款事业单位人员编制  17人。实有在职人数 31 人，其中：行政在职 17人，参照公务员管理的事业单位人员 0人，事业在职12 人，工勤在职人数  2人。离退休人员 24 人，其中：离休人员 0 人，退休人员 24 人。此外，我局还有一名在社保局领取养老金的合同制退休工人。  </w:t>
      </w:r>
    </w:p>
    <w:p>
      <w:pPr>
        <w:adjustRightInd w:val="0"/>
        <w:snapToGrid w:val="0"/>
        <w:spacing w:line="56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喀什地区科技局主要职能是：编制全地区民用科技发展的中长期规划和年度计划，合理配置相应的科技经费；指导、协调各有关部门和各县、市的科技体制改革工作；研究提出加强全地区科技创新体系建设的政策措施；促进科技型中小企业技术创新工作；指导全地区民办科技工作；负责农村科技示范活动；管理自治区在喀什地区实施的重大科技项目。</w:t>
      </w:r>
    </w:p>
    <w:p>
      <w:pPr>
        <w:adjustRightInd w:val="0"/>
        <w:snapToGrid w:val="0"/>
        <w:spacing w:line="56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（二）项目预算</w:t>
      </w:r>
      <w:r>
        <w:rPr>
          <w:rStyle w:val="19"/>
          <w:rFonts w:ascii="楷体" w:hAnsi="楷体" w:eastAsia="楷体"/>
          <w:spacing w:val="-4"/>
          <w:sz w:val="32"/>
          <w:szCs w:val="32"/>
        </w:rPr>
        <w:t>绩效目标</w:t>
      </w:r>
      <w:r>
        <w:rPr>
          <w:rStyle w:val="19"/>
          <w:rFonts w:hint="eastAsia" w:ascii="楷体" w:hAnsi="楷体" w:eastAsia="楷体"/>
          <w:spacing w:val="-4"/>
          <w:sz w:val="32"/>
          <w:szCs w:val="32"/>
        </w:rPr>
        <w:t>设定情况</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1、项目预期目标及阶段性目标</w:t>
      </w:r>
    </w:p>
    <w:p>
      <w:pPr>
        <w:adjustRightInd w:val="0"/>
        <w:snapToGrid w:val="0"/>
        <w:spacing w:line="560" w:lineRule="exact"/>
        <w:ind w:firstLine="624" w:firstLineChars="200"/>
        <w:rPr>
          <w:rFonts w:ascii="仿宋" w:hAnsi="仿宋" w:eastAsia="仿宋"/>
          <w:bCs/>
          <w:spacing w:val="-4"/>
          <w:sz w:val="32"/>
          <w:szCs w:val="32"/>
        </w:rPr>
      </w:pPr>
      <w:bookmarkStart w:id="1" w:name="_GoBack"/>
      <w:r>
        <w:rPr>
          <w:rFonts w:hint="eastAsia" w:ascii="仿宋" w:hAnsi="仿宋" w:eastAsia="仿宋"/>
          <w:bCs/>
          <w:spacing w:val="-4"/>
          <w:sz w:val="32"/>
          <w:szCs w:val="32"/>
        </w:rPr>
        <w:t>企业数据库1个；科技数据库1个；人才数据库1个；预计整合科技信息资源400条，整合数据库信息800条；设备采购合格率100%；项目</w:t>
      </w:r>
      <w:r>
        <w:rPr>
          <w:rFonts w:hint="eastAsia" w:ascii="仿宋" w:hAnsi="仿宋" w:eastAsia="仿宋"/>
          <w:bCs/>
          <w:spacing w:val="-4"/>
          <w:sz w:val="32"/>
          <w:szCs w:val="32"/>
          <w:lang w:val="en-US" w:eastAsia="zh-CN"/>
        </w:rPr>
        <w:t>资金支付</w:t>
      </w:r>
      <w:r>
        <w:rPr>
          <w:rFonts w:hint="eastAsia" w:ascii="仿宋" w:hAnsi="仿宋" w:eastAsia="仿宋"/>
          <w:bCs/>
          <w:spacing w:val="-4"/>
          <w:sz w:val="32"/>
          <w:szCs w:val="32"/>
        </w:rPr>
        <w:t>及时率达到100%；声像室建设、数据库建设、配备设备费15万元；数据库使用率达到95%以上；数据库使用增长率达到100%；1使用者满意度达到100%。</w:t>
      </w:r>
    </w:p>
    <w:bookmarkEnd w:id="1"/>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2、项目基本性质</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本项目性质为延续项目。</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3、项目用途及范围</w:t>
      </w:r>
    </w:p>
    <w:p>
      <w:pPr>
        <w:adjustRightInd w:val="0"/>
        <w:snapToGrid w:val="0"/>
        <w:spacing w:line="560" w:lineRule="exact"/>
        <w:ind w:firstLine="624" w:firstLineChars="200"/>
        <w:outlineLvl w:val="0"/>
        <w:rPr>
          <w:rFonts w:ascii="仿宋" w:hAnsi="仿宋" w:eastAsia="仿宋"/>
          <w:bCs/>
          <w:spacing w:val="-4"/>
          <w:sz w:val="32"/>
          <w:szCs w:val="32"/>
        </w:rPr>
      </w:pPr>
      <w:r>
        <w:rPr>
          <w:rFonts w:hint="eastAsia" w:ascii="仿宋" w:hAnsi="仿宋" w:eastAsia="仿宋"/>
          <w:bCs/>
          <w:spacing w:val="-4"/>
          <w:sz w:val="32"/>
          <w:szCs w:val="32"/>
        </w:rPr>
        <w:t>为建立以数据库为表现形式建立喀什地区各类企业库、科技项目库、科技成果库和人才库，切实发挥科技信息网络在整个科技工作中的窗口作用，提高政府网站政务公开透明度，避免科技项目的重复立项，检索已经获奖的科技成果，避免重复申报，完善喀什地区人才库信息。</w:t>
      </w:r>
    </w:p>
    <w:p>
      <w:pPr>
        <w:adjustRightInd w:val="0"/>
        <w:snapToGrid w:val="0"/>
        <w:spacing w:line="560" w:lineRule="exact"/>
        <w:ind w:firstLine="624" w:firstLineChars="200"/>
        <w:outlineLvl w:val="0"/>
        <w:rPr>
          <w:rStyle w:val="19"/>
          <w:rFonts w:ascii="黑体" w:hAnsi="黑体" w:eastAsia="黑体"/>
          <w:b w:val="0"/>
          <w:spacing w:val="-4"/>
          <w:sz w:val="32"/>
          <w:szCs w:val="32"/>
        </w:rPr>
      </w:pPr>
      <w:r>
        <w:rPr>
          <w:rStyle w:val="19"/>
          <w:rFonts w:hint="eastAsia" w:ascii="黑体" w:hAnsi="黑体" w:eastAsia="黑体"/>
          <w:b w:val="0"/>
          <w:spacing w:val="-4"/>
          <w:sz w:val="32"/>
          <w:szCs w:val="32"/>
        </w:rPr>
        <w:t>二、项目资金使用及管理情况</w:t>
      </w:r>
    </w:p>
    <w:p>
      <w:pPr>
        <w:adjustRightInd w:val="0"/>
        <w:snapToGrid w:val="0"/>
        <w:spacing w:line="560" w:lineRule="exact"/>
        <w:ind w:firstLine="627" w:firstLineChars="200"/>
        <w:outlineLvl w:val="0"/>
        <w:rPr>
          <w:rStyle w:val="19"/>
          <w:rFonts w:ascii="楷体" w:hAnsi="楷体" w:eastAsia="楷体"/>
          <w:spacing w:val="-4"/>
          <w:sz w:val="32"/>
          <w:szCs w:val="32"/>
        </w:rPr>
      </w:pPr>
      <w:r>
        <w:rPr>
          <w:rStyle w:val="19"/>
          <w:rFonts w:hint="eastAsia" w:ascii="楷体" w:hAnsi="楷体" w:eastAsia="楷体"/>
          <w:spacing w:val="-4"/>
          <w:sz w:val="32"/>
          <w:szCs w:val="32"/>
        </w:rPr>
        <w:t>（一）项目资金安排落实、总投入等情况分析</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项目预算安排总额为</w:t>
      </w:r>
      <w:r>
        <w:rPr>
          <w:rFonts w:ascii="仿宋" w:hAnsi="仿宋" w:eastAsia="仿宋"/>
          <w:bCs/>
          <w:spacing w:val="-4"/>
          <w:sz w:val="32"/>
          <w:szCs w:val="32"/>
        </w:rPr>
        <w:t>15</w:t>
      </w:r>
      <w:r>
        <w:rPr>
          <w:rFonts w:hint="eastAsia" w:ascii="仿宋" w:hAnsi="仿宋" w:eastAsia="仿宋"/>
          <w:bCs/>
          <w:spacing w:val="-4"/>
          <w:sz w:val="32"/>
          <w:szCs w:val="32"/>
        </w:rPr>
        <w:t>万元，其中财政资金</w:t>
      </w:r>
      <w:r>
        <w:rPr>
          <w:rFonts w:ascii="仿宋" w:hAnsi="仿宋" w:eastAsia="仿宋"/>
          <w:bCs/>
          <w:spacing w:val="-4"/>
          <w:sz w:val="32"/>
          <w:szCs w:val="32"/>
        </w:rPr>
        <w:t>15</w:t>
      </w:r>
      <w:r>
        <w:rPr>
          <w:rFonts w:hint="eastAsia" w:ascii="仿宋" w:hAnsi="仿宋" w:eastAsia="仿宋"/>
          <w:bCs/>
          <w:spacing w:val="-4"/>
          <w:sz w:val="32"/>
          <w:szCs w:val="32"/>
        </w:rPr>
        <w:t>万元，自筹资金0万元，201</w:t>
      </w:r>
      <w:r>
        <w:rPr>
          <w:rFonts w:hint="eastAsia" w:ascii="仿宋" w:hAnsi="仿宋" w:eastAsia="仿宋"/>
          <w:bCs/>
          <w:spacing w:val="-4"/>
          <w:sz w:val="32"/>
          <w:szCs w:val="32"/>
          <w:lang w:val="en-US" w:eastAsia="zh-CN"/>
        </w:rPr>
        <w:t>8</w:t>
      </w:r>
      <w:r>
        <w:rPr>
          <w:rFonts w:hint="eastAsia" w:ascii="仿宋" w:hAnsi="仿宋" w:eastAsia="仿宋"/>
          <w:bCs/>
          <w:spacing w:val="-4"/>
          <w:sz w:val="32"/>
          <w:szCs w:val="32"/>
        </w:rPr>
        <w:t>年实际收到预算资金</w:t>
      </w:r>
      <w:r>
        <w:rPr>
          <w:rFonts w:ascii="仿宋" w:hAnsi="仿宋" w:eastAsia="仿宋"/>
          <w:bCs/>
          <w:spacing w:val="-4"/>
          <w:sz w:val="32"/>
          <w:szCs w:val="32"/>
        </w:rPr>
        <w:t>15</w:t>
      </w:r>
      <w:r>
        <w:rPr>
          <w:rFonts w:hint="eastAsia" w:ascii="仿宋" w:hAnsi="仿宋" w:eastAsia="仿宋"/>
          <w:bCs/>
          <w:spacing w:val="-4"/>
          <w:sz w:val="32"/>
          <w:szCs w:val="32"/>
        </w:rPr>
        <w:t>万元。</w:t>
      </w:r>
    </w:p>
    <w:p>
      <w:pPr>
        <w:adjustRightInd w:val="0"/>
        <w:snapToGrid w:val="0"/>
        <w:spacing w:line="560" w:lineRule="exact"/>
        <w:ind w:firstLine="627" w:firstLineChars="200"/>
        <w:outlineLvl w:val="0"/>
        <w:rPr>
          <w:rStyle w:val="19"/>
          <w:rFonts w:ascii="楷体" w:hAnsi="楷体" w:eastAsia="楷体"/>
          <w:spacing w:val="-4"/>
          <w:sz w:val="32"/>
          <w:szCs w:val="32"/>
        </w:rPr>
      </w:pPr>
      <w:r>
        <w:rPr>
          <w:rStyle w:val="19"/>
          <w:rFonts w:hint="eastAsia" w:ascii="楷体" w:hAnsi="楷体" w:eastAsia="楷体"/>
          <w:spacing w:val="-4"/>
          <w:sz w:val="32"/>
          <w:szCs w:val="32"/>
        </w:rPr>
        <w:t>（二）项目资金实际使用情况分析</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spacing w:val="-4"/>
          <w:sz w:val="32"/>
          <w:szCs w:val="32"/>
        </w:rPr>
        <w:t>自治区公益性科研院所基本科研业务专项经费</w:t>
      </w:r>
      <w:r>
        <w:rPr>
          <w:rFonts w:hint="eastAsia" w:ascii="仿宋" w:hAnsi="仿宋" w:eastAsia="仿宋"/>
          <w:bCs/>
          <w:spacing w:val="-4"/>
          <w:sz w:val="32"/>
          <w:szCs w:val="32"/>
        </w:rPr>
        <w:t>项目预算安排总额为</w:t>
      </w:r>
      <w:r>
        <w:rPr>
          <w:rFonts w:hint="eastAsia" w:ascii="仿宋" w:hAnsi="仿宋" w:eastAsia="仿宋"/>
          <w:bCs/>
          <w:spacing w:val="-4"/>
          <w:sz w:val="32"/>
          <w:szCs w:val="32"/>
          <w:lang w:val="en-US" w:eastAsia="zh-CN"/>
        </w:rPr>
        <w:t>15</w:t>
      </w:r>
      <w:r>
        <w:rPr>
          <w:rFonts w:hint="eastAsia" w:ascii="仿宋" w:hAnsi="仿宋" w:eastAsia="仿宋"/>
          <w:bCs/>
          <w:spacing w:val="-4"/>
          <w:sz w:val="32"/>
          <w:szCs w:val="32"/>
        </w:rPr>
        <w:t>万元，其中财政资金1</w:t>
      </w:r>
      <w:r>
        <w:rPr>
          <w:rFonts w:hint="eastAsia" w:ascii="仿宋" w:hAnsi="仿宋" w:eastAsia="仿宋"/>
          <w:bCs/>
          <w:spacing w:val="-4"/>
          <w:sz w:val="32"/>
          <w:szCs w:val="32"/>
          <w:lang w:val="en-US" w:eastAsia="zh-CN"/>
        </w:rPr>
        <w:t>5</w:t>
      </w:r>
      <w:r>
        <w:rPr>
          <w:rFonts w:hint="eastAsia" w:ascii="仿宋" w:hAnsi="仿宋" w:eastAsia="仿宋"/>
          <w:bCs/>
          <w:spacing w:val="-4"/>
          <w:sz w:val="32"/>
          <w:szCs w:val="32"/>
        </w:rPr>
        <w:t>万元，自筹资金0万元，2018年实际收到预算资金1</w:t>
      </w:r>
      <w:r>
        <w:rPr>
          <w:rFonts w:hint="eastAsia" w:ascii="仿宋" w:hAnsi="仿宋" w:eastAsia="仿宋"/>
          <w:bCs/>
          <w:spacing w:val="-4"/>
          <w:sz w:val="32"/>
          <w:szCs w:val="32"/>
          <w:lang w:val="en-US" w:eastAsia="zh-CN"/>
        </w:rPr>
        <w:t>5</w:t>
      </w:r>
      <w:r>
        <w:rPr>
          <w:rFonts w:hint="eastAsia" w:ascii="仿宋" w:hAnsi="仿宋" w:eastAsia="仿宋"/>
          <w:bCs/>
          <w:spacing w:val="-4"/>
          <w:sz w:val="32"/>
          <w:szCs w:val="32"/>
        </w:rPr>
        <w:t>万元。</w:t>
      </w:r>
    </w:p>
    <w:p>
      <w:pPr>
        <w:adjustRightInd w:val="0"/>
        <w:snapToGrid w:val="0"/>
        <w:spacing w:line="560" w:lineRule="exact"/>
        <w:ind w:firstLine="627" w:firstLineChars="200"/>
        <w:outlineLvl w:val="0"/>
        <w:rPr>
          <w:rStyle w:val="19"/>
          <w:rFonts w:ascii="楷体" w:hAnsi="楷体" w:eastAsia="楷体"/>
          <w:spacing w:val="-4"/>
          <w:sz w:val="32"/>
          <w:szCs w:val="32"/>
        </w:rPr>
      </w:pPr>
      <w:r>
        <w:rPr>
          <w:rStyle w:val="19"/>
          <w:rFonts w:hint="eastAsia" w:ascii="楷体" w:hAnsi="楷体" w:eastAsia="楷体"/>
          <w:spacing w:val="-4"/>
          <w:sz w:val="32"/>
          <w:szCs w:val="32"/>
        </w:rPr>
        <w:t>（三）项目资金管理情况分析</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本项目支出严格按照政府会计财务管理制度执行，制定了会计人员集中核算工作管理制度、财务收支审批制度、财务稽核制度、财务牵制制度、会计主管岗位职责等制度规定，资金的拨付有完整的审批程序和手续，不存在截留、挤占、挪用等情况。</w:t>
      </w:r>
    </w:p>
    <w:p>
      <w:pPr>
        <w:adjustRightInd w:val="0"/>
        <w:snapToGrid w:val="0"/>
        <w:spacing w:line="560" w:lineRule="exact"/>
        <w:ind w:firstLine="624" w:firstLineChars="200"/>
        <w:outlineLvl w:val="0"/>
        <w:rPr>
          <w:rStyle w:val="19"/>
          <w:rFonts w:ascii="黑体" w:hAnsi="黑体" w:eastAsia="黑体"/>
          <w:b w:val="0"/>
          <w:spacing w:val="-4"/>
          <w:sz w:val="32"/>
          <w:szCs w:val="32"/>
        </w:rPr>
      </w:pPr>
      <w:r>
        <w:rPr>
          <w:rStyle w:val="19"/>
          <w:rFonts w:hint="eastAsia" w:ascii="黑体" w:hAnsi="黑体" w:eastAsia="黑体"/>
          <w:b w:val="0"/>
          <w:spacing w:val="-4"/>
          <w:sz w:val="32"/>
          <w:szCs w:val="32"/>
        </w:rPr>
        <w:t>三、项目组织实施情况</w:t>
      </w:r>
    </w:p>
    <w:p>
      <w:pPr>
        <w:adjustRightInd w:val="0"/>
        <w:snapToGrid w:val="0"/>
        <w:spacing w:line="560" w:lineRule="exact"/>
        <w:ind w:firstLine="627" w:firstLineChars="200"/>
        <w:outlineLvl w:val="0"/>
        <w:rPr>
          <w:rStyle w:val="19"/>
          <w:rFonts w:ascii="楷体" w:hAnsi="楷体" w:eastAsia="楷体"/>
          <w:spacing w:val="-4"/>
          <w:sz w:val="32"/>
          <w:szCs w:val="32"/>
        </w:rPr>
      </w:pPr>
      <w:r>
        <w:rPr>
          <w:rStyle w:val="19"/>
          <w:rFonts w:hint="eastAsia" w:ascii="楷体" w:hAnsi="楷体" w:eastAsia="楷体"/>
          <w:spacing w:val="-4"/>
          <w:sz w:val="32"/>
          <w:szCs w:val="32"/>
        </w:rPr>
        <w:t>（一）项目组织情况分析</w:t>
      </w:r>
    </w:p>
    <w:p>
      <w:pPr>
        <w:adjustRightInd w:val="0"/>
        <w:snapToGrid w:val="0"/>
        <w:spacing w:line="56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该项目属于政府采购类项目,严格按照招投标制度执行，按照政府采购程序办理招投标手续。</w:t>
      </w:r>
    </w:p>
    <w:p>
      <w:pPr>
        <w:adjustRightInd w:val="0"/>
        <w:snapToGrid w:val="0"/>
        <w:spacing w:line="56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本项目不存在调整情况。</w:t>
      </w:r>
    </w:p>
    <w:p>
      <w:pPr>
        <w:adjustRightInd w:val="0"/>
        <w:snapToGrid w:val="0"/>
        <w:spacing w:line="56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为保证项目质量和成本控制，项目实施完成后，将组织本项目相关人员进行检查验收，检查验收合格后按合同规定支付款项。</w:t>
      </w:r>
    </w:p>
    <w:p>
      <w:pPr>
        <w:adjustRightInd w:val="0"/>
        <w:snapToGrid w:val="0"/>
        <w:spacing w:line="560" w:lineRule="exact"/>
        <w:ind w:firstLine="627" w:firstLineChars="200"/>
        <w:outlineLvl w:val="0"/>
        <w:rPr>
          <w:rStyle w:val="19"/>
          <w:rFonts w:ascii="楷体" w:hAnsi="楷体" w:eastAsia="楷体"/>
          <w:spacing w:val="-4"/>
          <w:sz w:val="32"/>
          <w:szCs w:val="32"/>
        </w:rPr>
      </w:pPr>
      <w:r>
        <w:rPr>
          <w:rStyle w:val="19"/>
          <w:rFonts w:hint="eastAsia" w:ascii="楷体" w:hAnsi="楷体" w:eastAsia="楷体"/>
          <w:spacing w:val="-4"/>
          <w:sz w:val="32"/>
          <w:szCs w:val="32"/>
        </w:rPr>
        <w:t>（二）项目管理情况分析</w:t>
      </w:r>
    </w:p>
    <w:p>
      <w:pPr>
        <w:adjustRightInd w:val="0"/>
        <w:snapToGrid w:val="0"/>
        <w:spacing w:line="560" w:lineRule="exact"/>
        <w:ind w:firstLine="624" w:firstLineChars="200"/>
        <w:outlineLvl w:val="0"/>
        <w:rPr>
          <w:rStyle w:val="19"/>
          <w:rFonts w:ascii="仿宋" w:hAnsi="仿宋" w:eastAsia="仿宋"/>
          <w:b w:val="0"/>
          <w:spacing w:val="-4"/>
          <w:sz w:val="32"/>
          <w:szCs w:val="32"/>
        </w:rPr>
      </w:pPr>
      <w:r>
        <w:rPr>
          <w:rStyle w:val="19"/>
          <w:rFonts w:hint="eastAsia" w:ascii="仿宋" w:hAnsi="仿宋" w:eastAsia="仿宋"/>
          <w:b w:val="0"/>
          <w:spacing w:val="-4"/>
          <w:sz w:val="32"/>
          <w:szCs w:val="32"/>
        </w:rPr>
        <w:t>项目实施过程中，喀什地区科学技术局建立了《喀什地区科技局财务管理制度》保障项目的顺利实施。项目的实施遵守相关法律法规和业务管理规定，项目资料齐全并及时归档。已建立《喀什地区科技局日常检查监督检查机制》，不定期对项目进度情况进行督导检查，对检查过程中发现的问题及时督促整改，确保了项目按时保质完成。</w:t>
      </w:r>
    </w:p>
    <w:p>
      <w:pPr>
        <w:adjustRightInd w:val="0"/>
        <w:snapToGrid w:val="0"/>
        <w:spacing w:line="560" w:lineRule="exact"/>
        <w:ind w:firstLine="624" w:firstLineChars="200"/>
        <w:outlineLvl w:val="0"/>
        <w:rPr>
          <w:rStyle w:val="19"/>
          <w:rFonts w:ascii="黑体" w:hAnsi="黑体" w:eastAsia="黑体"/>
        </w:rPr>
      </w:pPr>
      <w:r>
        <w:rPr>
          <w:rStyle w:val="19"/>
          <w:rFonts w:hint="eastAsia" w:ascii="黑体" w:hAnsi="黑体" w:eastAsia="黑体"/>
          <w:b w:val="0"/>
          <w:spacing w:val="-4"/>
          <w:sz w:val="32"/>
          <w:szCs w:val="32"/>
        </w:rPr>
        <w:t>四、项目绩效情况</w:t>
      </w:r>
      <w:r>
        <w:rPr>
          <w:rStyle w:val="19"/>
          <w:rFonts w:hint="eastAsia" w:ascii="黑体" w:hAnsi="黑体" w:eastAsia="黑体"/>
        </w:rPr>
        <w:t xml:space="preserve"> </w:t>
      </w:r>
    </w:p>
    <w:p>
      <w:pPr>
        <w:adjustRightInd w:val="0"/>
        <w:snapToGrid w:val="0"/>
        <w:spacing w:line="560" w:lineRule="exact"/>
        <w:ind w:firstLine="627" w:firstLineChars="200"/>
        <w:outlineLvl w:val="0"/>
        <w:rPr>
          <w:rStyle w:val="19"/>
          <w:rFonts w:ascii="楷体" w:hAnsi="楷体" w:eastAsia="楷体"/>
          <w:bCs w:val="0"/>
          <w:spacing w:val="-4"/>
          <w:sz w:val="32"/>
          <w:szCs w:val="32"/>
        </w:rPr>
      </w:pPr>
      <w:r>
        <w:rPr>
          <w:rFonts w:hint="eastAsia" w:ascii="楷体" w:hAnsi="楷体" w:eastAsia="楷体"/>
          <w:b/>
          <w:spacing w:val="-4"/>
          <w:sz w:val="32"/>
          <w:szCs w:val="32"/>
        </w:rPr>
        <w:t>（一）项目绩效目标完成情况分析</w:t>
      </w:r>
    </w:p>
    <w:p>
      <w:pPr>
        <w:adjustRightInd w:val="0"/>
        <w:snapToGrid w:val="0"/>
        <w:spacing w:line="560" w:lineRule="exact"/>
        <w:ind w:firstLine="624" w:firstLineChars="200"/>
        <w:rPr>
          <w:rFonts w:ascii="仿宋" w:hAnsi="仿宋" w:eastAsia="仿宋"/>
          <w:bCs/>
          <w:spacing w:val="-4"/>
          <w:sz w:val="32"/>
          <w:szCs w:val="32"/>
        </w:rPr>
      </w:pPr>
      <w:r>
        <w:rPr>
          <w:rFonts w:ascii="仿宋" w:hAnsi="仿宋" w:eastAsia="仿宋"/>
          <w:bCs/>
          <w:spacing w:val="-4"/>
          <w:sz w:val="32"/>
          <w:szCs w:val="32"/>
        </w:rPr>
        <w:t>本项目共设置一级指标</w:t>
      </w:r>
      <w:r>
        <w:rPr>
          <w:rFonts w:hint="eastAsia" w:ascii="仿宋" w:hAnsi="仿宋" w:eastAsia="仿宋"/>
          <w:bCs/>
          <w:spacing w:val="-4"/>
          <w:sz w:val="32"/>
          <w:szCs w:val="32"/>
        </w:rPr>
        <w:t>3</w:t>
      </w:r>
      <w:r>
        <w:rPr>
          <w:rFonts w:ascii="仿宋" w:hAnsi="仿宋" w:eastAsia="仿宋"/>
          <w:bCs/>
          <w:spacing w:val="-4"/>
          <w:sz w:val="32"/>
          <w:szCs w:val="32"/>
        </w:rPr>
        <w:t>个</w:t>
      </w:r>
      <w:r>
        <w:rPr>
          <w:rFonts w:hint="eastAsia" w:ascii="仿宋" w:hAnsi="仿宋" w:eastAsia="仿宋"/>
          <w:bCs/>
          <w:spacing w:val="-4"/>
          <w:sz w:val="32"/>
          <w:szCs w:val="32"/>
        </w:rPr>
        <w:t>，</w:t>
      </w:r>
      <w:r>
        <w:rPr>
          <w:rFonts w:ascii="仿宋" w:hAnsi="仿宋" w:eastAsia="仿宋"/>
          <w:bCs/>
          <w:spacing w:val="-4"/>
          <w:sz w:val="32"/>
          <w:szCs w:val="32"/>
        </w:rPr>
        <w:t>二级指标</w:t>
      </w:r>
      <w:r>
        <w:rPr>
          <w:rFonts w:hint="eastAsia" w:ascii="仿宋" w:hAnsi="仿宋" w:eastAsia="仿宋"/>
          <w:bCs/>
          <w:spacing w:val="-4"/>
          <w:sz w:val="32"/>
          <w:szCs w:val="32"/>
        </w:rPr>
        <w:t>9</w:t>
      </w:r>
      <w:r>
        <w:rPr>
          <w:rFonts w:ascii="仿宋" w:hAnsi="仿宋" w:eastAsia="仿宋"/>
          <w:bCs/>
          <w:spacing w:val="-4"/>
          <w:sz w:val="32"/>
          <w:szCs w:val="32"/>
        </w:rPr>
        <w:t>个</w:t>
      </w:r>
      <w:r>
        <w:rPr>
          <w:rFonts w:hint="eastAsia" w:ascii="仿宋" w:hAnsi="仿宋" w:eastAsia="仿宋"/>
          <w:bCs/>
          <w:spacing w:val="-4"/>
          <w:sz w:val="32"/>
          <w:szCs w:val="32"/>
        </w:rPr>
        <w:t>，</w:t>
      </w:r>
      <w:r>
        <w:rPr>
          <w:rFonts w:ascii="仿宋" w:hAnsi="仿宋" w:eastAsia="仿宋"/>
          <w:bCs/>
          <w:spacing w:val="-4"/>
          <w:sz w:val="32"/>
          <w:szCs w:val="32"/>
        </w:rPr>
        <w:t>三级指标</w:t>
      </w:r>
      <w:r>
        <w:rPr>
          <w:rFonts w:hint="eastAsia" w:ascii="仿宋" w:hAnsi="仿宋" w:eastAsia="仿宋"/>
          <w:bCs/>
          <w:spacing w:val="-4"/>
          <w:sz w:val="32"/>
          <w:szCs w:val="32"/>
        </w:rPr>
        <w:t>1</w:t>
      </w:r>
      <w:r>
        <w:rPr>
          <w:rFonts w:ascii="仿宋" w:hAnsi="仿宋" w:eastAsia="仿宋"/>
          <w:bCs/>
          <w:spacing w:val="-4"/>
          <w:sz w:val="32"/>
          <w:szCs w:val="32"/>
        </w:rPr>
        <w:t>1个</w:t>
      </w:r>
      <w:r>
        <w:rPr>
          <w:rFonts w:hint="eastAsia" w:ascii="仿宋" w:hAnsi="仿宋" w:eastAsia="仿宋"/>
          <w:bCs/>
          <w:spacing w:val="-4"/>
          <w:sz w:val="32"/>
          <w:szCs w:val="32"/>
        </w:rPr>
        <w:t>，其中</w:t>
      </w:r>
      <w:r>
        <w:rPr>
          <w:rFonts w:ascii="仿宋" w:hAnsi="仿宋" w:eastAsia="仿宋"/>
          <w:bCs/>
          <w:spacing w:val="-4"/>
          <w:sz w:val="32"/>
          <w:szCs w:val="32"/>
        </w:rPr>
        <w:t>已完成三级指标</w:t>
      </w:r>
      <w:r>
        <w:rPr>
          <w:rFonts w:hint="eastAsia" w:ascii="仿宋" w:hAnsi="仿宋" w:eastAsia="仿宋"/>
          <w:bCs/>
          <w:spacing w:val="-4"/>
          <w:sz w:val="32"/>
          <w:szCs w:val="32"/>
        </w:rPr>
        <w:t>1</w:t>
      </w:r>
      <w:r>
        <w:rPr>
          <w:rFonts w:hint="eastAsia" w:ascii="仿宋" w:hAnsi="仿宋" w:eastAsia="仿宋"/>
          <w:bCs/>
          <w:spacing w:val="-4"/>
          <w:sz w:val="32"/>
          <w:szCs w:val="32"/>
          <w:lang w:val="en-US" w:eastAsia="zh-CN"/>
        </w:rPr>
        <w:t>1</w:t>
      </w:r>
      <w:r>
        <w:rPr>
          <w:rFonts w:ascii="仿宋" w:hAnsi="仿宋" w:eastAsia="仿宋"/>
          <w:bCs/>
          <w:spacing w:val="-4"/>
          <w:sz w:val="32"/>
          <w:szCs w:val="32"/>
        </w:rPr>
        <w:t>个</w:t>
      </w:r>
      <w:r>
        <w:rPr>
          <w:rFonts w:hint="eastAsia" w:ascii="仿宋" w:hAnsi="仿宋" w:eastAsia="仿宋"/>
          <w:bCs/>
          <w:spacing w:val="-4"/>
          <w:sz w:val="32"/>
          <w:szCs w:val="32"/>
        </w:rPr>
        <w:t>，指标完成率为</w:t>
      </w:r>
      <w:bookmarkStart w:id="0" w:name="_Hlk535376724"/>
      <w:r>
        <w:rPr>
          <w:rFonts w:hint="eastAsia" w:ascii="仿宋" w:hAnsi="仿宋" w:eastAsia="仿宋"/>
          <w:bCs/>
          <w:spacing w:val="-4"/>
          <w:sz w:val="32"/>
          <w:szCs w:val="32"/>
          <w:lang w:val="en-US" w:eastAsia="zh-CN"/>
        </w:rPr>
        <w:t>100</w:t>
      </w:r>
      <w:r>
        <w:rPr>
          <w:rFonts w:hint="eastAsia" w:ascii="仿宋" w:hAnsi="仿宋" w:eastAsia="仿宋"/>
          <w:bCs/>
          <w:spacing w:val="-4"/>
          <w:sz w:val="32"/>
          <w:szCs w:val="32"/>
        </w:rPr>
        <w:t>%</w:t>
      </w:r>
      <w:bookmarkEnd w:id="0"/>
      <w:r>
        <w:rPr>
          <w:rFonts w:hint="eastAsia" w:ascii="仿宋" w:hAnsi="仿宋" w:eastAsia="仿宋"/>
          <w:bCs/>
          <w:spacing w:val="-4"/>
          <w:sz w:val="32"/>
          <w:szCs w:val="32"/>
        </w:rPr>
        <w:t>。</w:t>
      </w:r>
    </w:p>
    <w:p>
      <w:pPr>
        <w:adjustRightInd w:val="0"/>
        <w:snapToGrid w:val="0"/>
        <w:spacing w:line="56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经济性：在本项目执行过程中严格控制支出成本，预算总金额为</w:t>
      </w:r>
      <w:r>
        <w:rPr>
          <w:rStyle w:val="19"/>
          <w:rFonts w:ascii="仿宋" w:hAnsi="仿宋" w:eastAsia="仿宋"/>
          <w:b w:val="0"/>
          <w:spacing w:val="-4"/>
          <w:sz w:val="32"/>
          <w:szCs w:val="32"/>
        </w:rPr>
        <w:t>15</w:t>
      </w:r>
      <w:r>
        <w:rPr>
          <w:rStyle w:val="19"/>
          <w:rFonts w:hint="eastAsia" w:ascii="仿宋" w:hAnsi="仿宋" w:eastAsia="仿宋"/>
          <w:b w:val="0"/>
          <w:spacing w:val="-4"/>
          <w:sz w:val="32"/>
          <w:szCs w:val="32"/>
        </w:rPr>
        <w:t>万元，实际支出</w:t>
      </w:r>
      <w:r>
        <w:rPr>
          <w:rStyle w:val="19"/>
          <w:rFonts w:hint="eastAsia" w:ascii="仿宋" w:hAnsi="仿宋" w:eastAsia="仿宋"/>
          <w:b w:val="0"/>
          <w:spacing w:val="-4"/>
          <w:sz w:val="32"/>
          <w:szCs w:val="32"/>
          <w:lang w:val="en-US" w:eastAsia="zh-CN"/>
        </w:rPr>
        <w:t>15</w:t>
      </w:r>
      <w:r>
        <w:rPr>
          <w:rStyle w:val="19"/>
          <w:rFonts w:hint="eastAsia" w:ascii="仿宋" w:hAnsi="仿宋" w:eastAsia="仿宋"/>
          <w:b w:val="0"/>
          <w:spacing w:val="-4"/>
          <w:sz w:val="32"/>
          <w:szCs w:val="32"/>
        </w:rPr>
        <w:t>万元。</w:t>
      </w:r>
    </w:p>
    <w:p>
      <w:pPr>
        <w:adjustRightInd w:val="0"/>
        <w:snapToGrid w:val="0"/>
        <w:spacing w:line="56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效率性：本项目严格按照项目进度计划实施，项目实施及时率达到100%。严格执行政府采购制度，设备的购置按规定办理政府采购手续，设备采购合格率达到100%。数据库建成后整合科技信息资源500条，整合数据库信息1000条。</w:t>
      </w:r>
    </w:p>
    <w:p>
      <w:pPr>
        <w:adjustRightInd w:val="0"/>
        <w:snapToGrid w:val="0"/>
        <w:spacing w:line="560" w:lineRule="exact"/>
        <w:ind w:firstLine="624" w:firstLineChars="200"/>
        <w:rPr>
          <w:rFonts w:ascii="仿宋" w:hAnsi="仿宋" w:eastAsia="仿宋"/>
          <w:bCs/>
          <w:spacing w:val="-4"/>
          <w:sz w:val="32"/>
          <w:szCs w:val="32"/>
        </w:rPr>
      </w:pPr>
      <w:r>
        <w:rPr>
          <w:rStyle w:val="19"/>
          <w:rFonts w:hint="eastAsia" w:ascii="仿宋" w:hAnsi="仿宋" w:eastAsia="仿宋"/>
          <w:b w:val="0"/>
          <w:spacing w:val="-4"/>
          <w:sz w:val="32"/>
          <w:szCs w:val="32"/>
        </w:rPr>
        <w:t>效益性：项目实施后数据库使用率达到了100%，数据库使用增长率达到了，数据库使用者满意度达到了</w:t>
      </w:r>
      <w:r>
        <w:rPr>
          <w:rStyle w:val="19"/>
          <w:rFonts w:ascii="仿宋" w:hAnsi="仿宋" w:eastAsia="仿宋"/>
          <w:b w:val="0"/>
          <w:spacing w:val="-4"/>
          <w:sz w:val="32"/>
          <w:szCs w:val="32"/>
        </w:rPr>
        <w:t>95</w:t>
      </w:r>
      <w:r>
        <w:rPr>
          <w:rStyle w:val="19"/>
          <w:rFonts w:hint="eastAsia" w:ascii="仿宋" w:hAnsi="仿宋" w:eastAsia="仿宋"/>
          <w:b w:val="0"/>
          <w:spacing w:val="-4"/>
          <w:sz w:val="32"/>
          <w:szCs w:val="32"/>
        </w:rPr>
        <w:t>%。</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adjustRightInd w:val="0"/>
        <w:snapToGrid w:val="0"/>
        <w:spacing w:line="560" w:lineRule="exact"/>
        <w:ind w:firstLine="624" w:firstLineChars="200"/>
        <w:rPr>
          <w:rFonts w:ascii="仿宋" w:hAnsi="仿宋" w:eastAsia="仿宋"/>
          <w:spacing w:val="-4"/>
          <w:sz w:val="32"/>
          <w:szCs w:val="32"/>
        </w:rPr>
      </w:pPr>
      <w:r>
        <w:rPr>
          <w:rFonts w:hint="eastAsia" w:ascii="仿宋" w:hAnsi="仿宋" w:eastAsia="仿宋"/>
          <w:spacing w:val="-4"/>
          <w:sz w:val="32"/>
          <w:szCs w:val="32"/>
        </w:rPr>
        <w:t>2018年本项目绩效目标全部达成，不存在未完成原因分析。</w:t>
      </w:r>
    </w:p>
    <w:p>
      <w:pPr>
        <w:adjustRightInd w:val="0"/>
        <w:snapToGrid w:val="0"/>
        <w:spacing w:line="56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五、其他需要说明的问题</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（一）后续工作计划</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项目移交后，定期对数据库信息进行更新与维护，定期检测数据库使用情况，充分发挥科技信息网络在整个科技工作中的窗口作用</w:t>
      </w:r>
      <w:r>
        <w:rPr>
          <w:rFonts w:ascii="仿宋" w:hAnsi="仿宋" w:eastAsia="仿宋"/>
          <w:bCs/>
          <w:spacing w:val="-4"/>
          <w:sz w:val="32"/>
          <w:szCs w:val="32"/>
        </w:rPr>
        <w:t>。</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1、主要经验及做法：无。</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2、存在的问题：无。</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3、建议：无。</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（三）其他</w:t>
      </w:r>
    </w:p>
    <w:p>
      <w:pPr>
        <w:adjustRightInd w:val="0"/>
        <w:snapToGrid w:val="0"/>
        <w:spacing w:line="560" w:lineRule="exact"/>
        <w:ind w:firstLine="624" w:firstLineChars="200"/>
        <w:rPr>
          <w:rFonts w:ascii="仿宋" w:hAnsi="仿宋" w:eastAsia="仿宋"/>
          <w:spacing w:val="-4"/>
          <w:sz w:val="32"/>
          <w:szCs w:val="32"/>
        </w:rPr>
      </w:pPr>
      <w:r>
        <w:rPr>
          <w:rFonts w:hint="eastAsia" w:ascii="仿宋" w:hAnsi="仿宋" w:eastAsia="仿宋"/>
          <w:spacing w:val="-4"/>
          <w:sz w:val="32"/>
          <w:szCs w:val="32"/>
        </w:rPr>
        <w:t>无其他说明内容。</w:t>
      </w:r>
    </w:p>
    <w:p>
      <w:pPr>
        <w:adjustRightInd w:val="0"/>
        <w:snapToGrid w:val="0"/>
        <w:spacing w:line="560" w:lineRule="exact"/>
        <w:ind w:firstLine="624" w:firstLineChars="200"/>
        <w:outlineLvl w:val="0"/>
        <w:rPr>
          <w:rFonts w:ascii="黑体" w:hAnsi="黑体" w:eastAsia="黑体"/>
          <w:bCs/>
          <w:spacing w:val="-4"/>
          <w:sz w:val="32"/>
          <w:szCs w:val="32"/>
        </w:rPr>
      </w:pPr>
      <w:r>
        <w:rPr>
          <w:rStyle w:val="19"/>
          <w:rFonts w:hint="eastAsia" w:ascii="黑体" w:hAnsi="黑体" w:eastAsia="黑体"/>
          <w:b w:val="0"/>
          <w:spacing w:val="-4"/>
          <w:sz w:val="32"/>
          <w:szCs w:val="32"/>
        </w:rPr>
        <w:t>六、项目评价工作情况</w:t>
      </w:r>
    </w:p>
    <w:p>
      <w:pPr>
        <w:adjustRightInd w:val="0"/>
        <w:snapToGrid w:val="0"/>
        <w:spacing w:line="560" w:lineRule="exact"/>
        <w:ind w:firstLine="624" w:firstLineChars="200"/>
        <w:rPr>
          <w:rFonts w:ascii="仿宋" w:hAnsi="仿宋" w:eastAsia="仿宋"/>
          <w:spacing w:val="-4"/>
          <w:sz w:val="32"/>
          <w:szCs w:val="32"/>
        </w:rPr>
      </w:pPr>
      <w:r>
        <w:rPr>
          <w:rFonts w:hint="eastAsia" w:ascii="仿宋" w:hAnsi="仿宋" w:eastAsia="仿宋"/>
          <w:spacing w:val="-4"/>
          <w:sz w:val="32"/>
          <w:szCs w:val="32"/>
        </w:rPr>
        <w:t>本次评价通过文件研读、实地调研、数据分析等方式，全面了解自治区公益性科研院所基本科研业务专项经费项目资金的使用效率和效果，项目管理过程规范，完成了预期绩效目标等。同时，通过开展自我评价来总结经验和教训，为喀什地区</w:t>
      </w:r>
      <w:r>
        <w:rPr>
          <w:rFonts w:hint="eastAsia" w:ascii="仿宋" w:hAnsi="仿宋" w:eastAsia="仿宋"/>
          <w:bCs/>
          <w:spacing w:val="-4"/>
          <w:sz w:val="32"/>
          <w:szCs w:val="32"/>
        </w:rPr>
        <w:t>自治区公益性科研院所基本科研业务专项经费</w:t>
      </w:r>
      <w:r>
        <w:rPr>
          <w:rFonts w:hint="eastAsia" w:ascii="仿宋" w:hAnsi="仿宋" w:eastAsia="仿宋"/>
          <w:spacing w:val="-4"/>
          <w:sz w:val="32"/>
          <w:szCs w:val="32"/>
        </w:rPr>
        <w:t>项目今后的开展提供参考建议。</w:t>
      </w:r>
    </w:p>
    <w:p>
      <w:pPr>
        <w:adjustRightInd w:val="0"/>
        <w:snapToGrid w:val="0"/>
        <w:spacing w:line="560" w:lineRule="exact"/>
        <w:ind w:firstLine="624" w:firstLineChars="200"/>
        <w:outlineLvl w:val="0"/>
        <w:rPr>
          <w:rStyle w:val="19"/>
          <w:rFonts w:ascii="黑体" w:hAnsi="黑体" w:eastAsia="黑体"/>
          <w:b w:val="0"/>
          <w:spacing w:val="-4"/>
          <w:sz w:val="32"/>
          <w:szCs w:val="32"/>
        </w:rPr>
      </w:pPr>
      <w:r>
        <w:rPr>
          <w:rStyle w:val="19"/>
          <w:rFonts w:hint="eastAsia" w:ascii="黑体" w:hAnsi="黑体" w:eastAsia="黑体"/>
          <w:b w:val="0"/>
          <w:spacing w:val="-4"/>
          <w:sz w:val="32"/>
          <w:szCs w:val="32"/>
        </w:rPr>
        <w:t>七、附表</w:t>
      </w:r>
    </w:p>
    <w:p>
      <w:pPr>
        <w:adjustRightInd w:val="0"/>
        <w:snapToGrid w:val="0"/>
        <w:spacing w:line="56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《项目支出绩效目标自评表》</w:t>
      </w:r>
    </w:p>
    <w:p>
      <w:pPr>
        <w:adjustRightInd w:val="0"/>
        <w:snapToGrid w:val="0"/>
        <w:spacing w:line="560" w:lineRule="exact"/>
        <w:ind w:firstLine="723" w:firstLineChars="200"/>
        <w:jc w:val="center"/>
        <w:rPr>
          <w:rFonts w:ascii="宋体" w:hAnsi="宋体" w:cs="宋体"/>
          <w:b/>
          <w:bCs/>
          <w:kern w:val="0"/>
          <w:sz w:val="36"/>
          <w:szCs w:val="36"/>
        </w:rPr>
      </w:pPr>
    </w:p>
    <w:p>
      <w:pPr>
        <w:adjustRightInd w:val="0"/>
        <w:snapToGrid w:val="0"/>
        <w:spacing w:line="560" w:lineRule="exact"/>
        <w:ind w:firstLine="723" w:firstLineChars="200"/>
        <w:jc w:val="center"/>
        <w:rPr>
          <w:rFonts w:ascii="宋体" w:hAnsi="宋体" w:cs="宋体"/>
          <w:b/>
          <w:bCs/>
          <w:kern w:val="0"/>
          <w:sz w:val="36"/>
          <w:szCs w:val="36"/>
        </w:rPr>
      </w:pPr>
    </w:p>
    <w:p>
      <w:pPr>
        <w:adjustRightInd w:val="0"/>
        <w:snapToGrid w:val="0"/>
        <w:spacing w:line="560" w:lineRule="exact"/>
        <w:ind w:firstLine="723" w:firstLineChars="200"/>
        <w:jc w:val="center"/>
        <w:rPr>
          <w:rFonts w:ascii="宋体" w:hAnsi="宋体" w:cs="宋体"/>
          <w:b/>
          <w:bCs/>
          <w:kern w:val="0"/>
          <w:sz w:val="36"/>
          <w:szCs w:val="36"/>
        </w:rPr>
      </w:pPr>
    </w:p>
    <w:p>
      <w:pPr>
        <w:adjustRightInd w:val="0"/>
        <w:snapToGrid w:val="0"/>
        <w:spacing w:line="560" w:lineRule="exact"/>
        <w:ind w:firstLine="723" w:firstLineChars="200"/>
        <w:jc w:val="center"/>
        <w:rPr>
          <w:rFonts w:ascii="宋体" w:hAnsi="宋体" w:cs="宋体"/>
          <w:b/>
          <w:bCs/>
          <w:kern w:val="0"/>
          <w:sz w:val="36"/>
          <w:szCs w:val="36"/>
        </w:rPr>
      </w:pPr>
    </w:p>
    <w:p>
      <w:pPr>
        <w:adjustRightInd w:val="0"/>
        <w:snapToGrid w:val="0"/>
        <w:spacing w:line="560" w:lineRule="exact"/>
        <w:ind w:firstLine="723" w:firstLineChars="200"/>
        <w:jc w:val="center"/>
        <w:rPr>
          <w:rFonts w:ascii="宋体" w:hAnsi="宋体" w:cs="宋体"/>
          <w:b/>
          <w:bCs/>
          <w:kern w:val="0"/>
          <w:sz w:val="36"/>
          <w:szCs w:val="36"/>
        </w:rPr>
      </w:pPr>
    </w:p>
    <w:p>
      <w:pPr>
        <w:adjustRightInd w:val="0"/>
        <w:snapToGrid w:val="0"/>
        <w:spacing w:line="560" w:lineRule="exact"/>
        <w:ind w:firstLine="723" w:firstLineChars="200"/>
        <w:jc w:val="center"/>
        <w:rPr>
          <w:rFonts w:ascii="宋体" w:hAnsi="宋体" w:cs="宋体"/>
          <w:b/>
          <w:bCs/>
          <w:kern w:val="0"/>
          <w:sz w:val="36"/>
          <w:szCs w:val="36"/>
        </w:rPr>
      </w:pPr>
    </w:p>
    <w:p>
      <w:pPr>
        <w:adjustRightInd w:val="0"/>
        <w:snapToGrid w:val="0"/>
        <w:spacing w:line="560" w:lineRule="exact"/>
        <w:ind w:firstLine="723" w:firstLineChars="200"/>
        <w:jc w:val="center"/>
        <w:rPr>
          <w:rFonts w:ascii="宋体" w:hAnsi="宋体" w:cs="宋体"/>
          <w:b/>
          <w:bCs/>
          <w:kern w:val="0"/>
          <w:sz w:val="36"/>
          <w:szCs w:val="36"/>
        </w:rPr>
      </w:pPr>
    </w:p>
    <w:p>
      <w:pPr>
        <w:adjustRightInd w:val="0"/>
        <w:snapToGrid w:val="0"/>
        <w:spacing w:line="560" w:lineRule="exact"/>
        <w:ind w:firstLine="723" w:firstLineChars="200"/>
        <w:jc w:val="center"/>
        <w:rPr>
          <w:rFonts w:ascii="宋体" w:hAnsi="宋体" w:cs="宋体"/>
          <w:b/>
          <w:bCs/>
          <w:kern w:val="0"/>
          <w:sz w:val="36"/>
          <w:szCs w:val="36"/>
        </w:rPr>
      </w:pPr>
    </w:p>
    <w:p>
      <w:pPr>
        <w:adjustRightInd w:val="0"/>
        <w:snapToGrid w:val="0"/>
        <w:spacing w:line="560" w:lineRule="exact"/>
        <w:ind w:firstLine="723" w:firstLineChars="200"/>
        <w:jc w:val="center"/>
        <w:rPr>
          <w:rFonts w:ascii="宋体" w:hAnsi="宋体" w:cs="宋体"/>
          <w:b/>
          <w:bCs/>
          <w:kern w:val="0"/>
          <w:sz w:val="36"/>
          <w:szCs w:val="36"/>
        </w:rPr>
      </w:pPr>
    </w:p>
    <w:p>
      <w:pPr>
        <w:adjustRightInd w:val="0"/>
        <w:snapToGrid w:val="0"/>
        <w:spacing w:line="560" w:lineRule="exact"/>
        <w:ind w:firstLine="723" w:firstLineChars="200"/>
        <w:jc w:val="center"/>
        <w:rPr>
          <w:rFonts w:ascii="宋体" w:hAnsi="宋体" w:cs="宋体"/>
          <w:b/>
          <w:bCs/>
          <w:kern w:val="0"/>
          <w:sz w:val="36"/>
          <w:szCs w:val="36"/>
        </w:rPr>
      </w:pPr>
    </w:p>
    <w:p>
      <w:pPr>
        <w:adjustRightInd w:val="0"/>
        <w:snapToGrid w:val="0"/>
        <w:spacing w:line="560" w:lineRule="exact"/>
        <w:ind w:firstLine="723" w:firstLineChars="200"/>
        <w:jc w:val="center"/>
        <w:rPr>
          <w:rFonts w:ascii="宋体" w:hAnsi="宋体" w:cs="宋体"/>
          <w:b/>
          <w:bCs/>
          <w:kern w:val="0"/>
          <w:sz w:val="36"/>
          <w:szCs w:val="36"/>
        </w:rPr>
      </w:pPr>
    </w:p>
    <w:p>
      <w:pPr>
        <w:adjustRightInd w:val="0"/>
        <w:snapToGrid w:val="0"/>
        <w:spacing w:line="560" w:lineRule="exact"/>
        <w:ind w:firstLine="723" w:firstLineChars="200"/>
        <w:jc w:val="center"/>
        <w:rPr>
          <w:rFonts w:ascii="宋体" w:hAnsi="宋体" w:cs="宋体"/>
          <w:b/>
          <w:bCs/>
          <w:kern w:val="0"/>
          <w:sz w:val="36"/>
          <w:szCs w:val="36"/>
        </w:rPr>
      </w:pPr>
    </w:p>
    <w:p>
      <w:pPr>
        <w:adjustRightInd w:val="0"/>
        <w:snapToGrid w:val="0"/>
        <w:spacing w:line="560" w:lineRule="exact"/>
        <w:ind w:firstLine="723" w:firstLineChars="200"/>
        <w:jc w:val="center"/>
        <w:rPr>
          <w:rFonts w:ascii="宋体" w:hAnsi="宋体" w:cs="宋体"/>
          <w:b/>
          <w:bCs/>
          <w:kern w:val="0"/>
          <w:sz w:val="36"/>
          <w:szCs w:val="36"/>
        </w:rPr>
      </w:pPr>
    </w:p>
    <w:p>
      <w:pPr>
        <w:adjustRightInd w:val="0"/>
        <w:snapToGrid w:val="0"/>
        <w:spacing w:line="560" w:lineRule="exact"/>
        <w:ind w:firstLine="723" w:firstLineChars="200"/>
        <w:jc w:val="center"/>
        <w:rPr>
          <w:rFonts w:ascii="宋体" w:hAnsi="宋体" w:cs="宋体"/>
          <w:b/>
          <w:bCs/>
          <w:kern w:val="0"/>
          <w:sz w:val="36"/>
          <w:szCs w:val="36"/>
        </w:rPr>
      </w:pPr>
    </w:p>
    <w:p>
      <w:pPr>
        <w:adjustRightInd w:val="0"/>
        <w:snapToGrid w:val="0"/>
        <w:spacing w:line="560" w:lineRule="exact"/>
        <w:ind w:firstLine="723" w:firstLineChars="200"/>
        <w:jc w:val="center"/>
        <w:rPr>
          <w:rFonts w:ascii="宋体" w:hAnsi="宋体" w:cs="宋体"/>
          <w:b/>
          <w:bCs/>
          <w:kern w:val="0"/>
          <w:sz w:val="36"/>
          <w:szCs w:val="36"/>
        </w:rPr>
      </w:pPr>
    </w:p>
    <w:p>
      <w:pPr>
        <w:adjustRightInd w:val="0"/>
        <w:snapToGrid w:val="0"/>
        <w:spacing w:line="560" w:lineRule="exact"/>
        <w:ind w:firstLine="723" w:firstLineChars="200"/>
        <w:jc w:val="center"/>
        <w:rPr>
          <w:rFonts w:ascii="宋体" w:hAnsi="宋体" w:cs="宋体"/>
          <w:b/>
          <w:bCs/>
          <w:kern w:val="0"/>
          <w:sz w:val="36"/>
          <w:szCs w:val="36"/>
        </w:rPr>
      </w:pPr>
    </w:p>
    <w:p>
      <w:pPr>
        <w:adjustRightInd w:val="0"/>
        <w:snapToGrid w:val="0"/>
        <w:spacing w:line="560" w:lineRule="exact"/>
        <w:ind w:firstLine="723" w:firstLineChars="200"/>
        <w:jc w:val="center"/>
        <w:rPr>
          <w:rFonts w:ascii="宋体" w:hAnsi="宋体" w:cs="宋体"/>
          <w:b/>
          <w:bCs/>
          <w:kern w:val="0"/>
          <w:sz w:val="36"/>
          <w:szCs w:val="36"/>
        </w:rPr>
      </w:pPr>
    </w:p>
    <w:p>
      <w:pPr>
        <w:adjustRightInd w:val="0"/>
        <w:snapToGrid w:val="0"/>
        <w:spacing w:line="560" w:lineRule="exact"/>
        <w:ind w:firstLine="627" w:firstLineChars="200"/>
        <w:rPr>
          <w:rStyle w:val="19"/>
          <w:rFonts w:ascii="仿宋" w:hAnsi="仿宋" w:eastAsia="仿宋"/>
          <w:spacing w:val="-4"/>
          <w:sz w:val="32"/>
          <w:szCs w:val="32"/>
        </w:rPr>
      </w:pP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27892034"/>
    </w:sdtPr>
    <w:sdtContent>
      <w:p>
        <w:pPr>
          <w:pStyle w:val="13"/>
          <w:jc w:val="center"/>
        </w:pPr>
        <w:r>
          <w:fldChar w:fldCharType="begin"/>
        </w:r>
        <w:r>
          <w:instrText xml:space="preserve">PAGE   \* MERGEFORMAT</w:instrText>
        </w:r>
        <w:r>
          <w:fldChar w:fldCharType="separate"/>
        </w:r>
        <w:r>
          <w:rPr>
            <w:lang w:val="zh-CN"/>
          </w:rPr>
          <w:t>2</w:t>
        </w:r>
        <w:r>
          <w:fldChar w:fldCharType="end"/>
        </w:r>
      </w:p>
    </w:sdtContent>
  </w:sdt>
  <w:p>
    <w:pPr>
      <w:pStyle w:val="1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457"/>
    <w:rsid w:val="00016412"/>
    <w:rsid w:val="00065A36"/>
    <w:rsid w:val="0012208E"/>
    <w:rsid w:val="00124ABA"/>
    <w:rsid w:val="00135256"/>
    <w:rsid w:val="001A4E1F"/>
    <w:rsid w:val="001A57B9"/>
    <w:rsid w:val="001C3847"/>
    <w:rsid w:val="001F3031"/>
    <w:rsid w:val="00210A26"/>
    <w:rsid w:val="002A2532"/>
    <w:rsid w:val="002B3F8F"/>
    <w:rsid w:val="00365250"/>
    <w:rsid w:val="0036624C"/>
    <w:rsid w:val="00385849"/>
    <w:rsid w:val="0050167F"/>
    <w:rsid w:val="00514506"/>
    <w:rsid w:val="005162F1"/>
    <w:rsid w:val="00535153"/>
    <w:rsid w:val="00575CFE"/>
    <w:rsid w:val="00592D09"/>
    <w:rsid w:val="005B1372"/>
    <w:rsid w:val="00675D58"/>
    <w:rsid w:val="006F2E6D"/>
    <w:rsid w:val="007218B8"/>
    <w:rsid w:val="00785FDE"/>
    <w:rsid w:val="007A0351"/>
    <w:rsid w:val="007A14BC"/>
    <w:rsid w:val="007C1025"/>
    <w:rsid w:val="007E6845"/>
    <w:rsid w:val="007F5F8A"/>
    <w:rsid w:val="00826CA1"/>
    <w:rsid w:val="00835B7F"/>
    <w:rsid w:val="00855E3A"/>
    <w:rsid w:val="008E1993"/>
    <w:rsid w:val="00922CB9"/>
    <w:rsid w:val="009B526F"/>
    <w:rsid w:val="009C1AFD"/>
    <w:rsid w:val="00A26421"/>
    <w:rsid w:val="00A4293B"/>
    <w:rsid w:val="00A83BD5"/>
    <w:rsid w:val="00AF1F03"/>
    <w:rsid w:val="00B05354"/>
    <w:rsid w:val="00B06CA5"/>
    <w:rsid w:val="00B313F8"/>
    <w:rsid w:val="00B41F61"/>
    <w:rsid w:val="00B55332"/>
    <w:rsid w:val="00B86E8C"/>
    <w:rsid w:val="00BE1A00"/>
    <w:rsid w:val="00C22CF0"/>
    <w:rsid w:val="00C34B2F"/>
    <w:rsid w:val="00C56C72"/>
    <w:rsid w:val="00CA6457"/>
    <w:rsid w:val="00CC6E4D"/>
    <w:rsid w:val="00D17F2E"/>
    <w:rsid w:val="00D46194"/>
    <w:rsid w:val="00E01293"/>
    <w:rsid w:val="00E6166F"/>
    <w:rsid w:val="00E769FE"/>
    <w:rsid w:val="00EA2CBE"/>
    <w:rsid w:val="00F32FEE"/>
    <w:rsid w:val="01613F21"/>
    <w:rsid w:val="066111D1"/>
    <w:rsid w:val="19E57412"/>
    <w:rsid w:val="200861F9"/>
    <w:rsid w:val="23970EA0"/>
    <w:rsid w:val="40A56F91"/>
    <w:rsid w:val="42B321EA"/>
    <w:rsid w:val="565E6E87"/>
    <w:rsid w:val="5DD14F73"/>
    <w:rsid w:val="659E1257"/>
    <w:rsid w:val="70BD78B6"/>
    <w:rsid w:val="73FB0AC7"/>
    <w:rsid w:val="744906AC"/>
    <w:rsid w:val="750A734B"/>
    <w:rsid w:val="7DCF39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Layout w:type="fixed"/>
      <w:tblCellMar>
        <w:top w:w="0" w:type="dxa"/>
        <w:left w:w="108" w:type="dxa"/>
        <w:bottom w:w="0" w:type="dxa"/>
        <w:right w:w="108" w:type="dxa"/>
      </w:tblCellMar>
    </w:tblPr>
  </w:style>
  <w:style w:type="paragraph" w:styleId="11">
    <w:name w:val="Document Map"/>
    <w:basedOn w:val="1"/>
    <w:link w:val="46"/>
    <w:semiHidden/>
    <w:unhideWhenUsed/>
    <w:qFormat/>
    <w:uiPriority w:val="99"/>
    <w:rPr>
      <w:rFonts w:ascii="宋体"/>
      <w:sz w:val="18"/>
      <w:szCs w:val="18"/>
    </w:rPr>
  </w:style>
  <w:style w:type="paragraph" w:styleId="12">
    <w:name w:val="Balloon Text"/>
    <w:basedOn w:val="1"/>
    <w:link w:val="47"/>
    <w:semiHidden/>
    <w:unhideWhenUsed/>
    <w:qFormat/>
    <w:uiPriority w:val="99"/>
    <w:rPr>
      <w:sz w:val="18"/>
      <w:szCs w:val="18"/>
    </w:rPr>
  </w:style>
  <w:style w:type="paragraph" w:styleId="13">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4">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5">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semiHidden/>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6"/>
    <w:qFormat/>
    <w:uiPriority w:val="10"/>
    <w:rPr>
      <w:rFonts w:asciiTheme="majorHAnsi" w:hAnsiTheme="majorHAnsi" w:eastAsiaTheme="majorEastAsia"/>
      <w:b/>
      <w:bCs/>
      <w:kern w:val="28"/>
      <w:sz w:val="32"/>
      <w:szCs w:val="32"/>
    </w:rPr>
  </w:style>
  <w:style w:type="character" w:customStyle="1" w:styleId="31">
    <w:name w:val="副标题 字符"/>
    <w:basedOn w:val="18"/>
    <w:link w:val="15"/>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4"/>
    <w:qFormat/>
    <w:uiPriority w:val="99"/>
    <w:rPr>
      <w:rFonts w:ascii="Calibri" w:hAnsi="Calibri" w:eastAsia="宋体"/>
      <w:kern w:val="2"/>
      <w:sz w:val="18"/>
      <w:szCs w:val="18"/>
    </w:rPr>
  </w:style>
  <w:style w:type="character" w:customStyle="1" w:styleId="45">
    <w:name w:val="页脚 字符"/>
    <w:basedOn w:val="18"/>
    <w:link w:val="13"/>
    <w:qFormat/>
    <w:uiPriority w:val="99"/>
    <w:rPr>
      <w:rFonts w:ascii="Calibri" w:hAnsi="Calibri" w:eastAsia="宋体"/>
      <w:kern w:val="2"/>
      <w:sz w:val="18"/>
      <w:szCs w:val="18"/>
    </w:rPr>
  </w:style>
  <w:style w:type="character" w:customStyle="1" w:styleId="46">
    <w:name w:val="文档结构图 字符"/>
    <w:basedOn w:val="18"/>
    <w:link w:val="11"/>
    <w:semiHidden/>
    <w:qFormat/>
    <w:uiPriority w:val="99"/>
    <w:rPr>
      <w:rFonts w:ascii="宋体" w:hAnsi="Times New Roman" w:eastAsia="宋体"/>
      <w:kern w:val="2"/>
      <w:sz w:val="18"/>
      <w:szCs w:val="18"/>
    </w:rPr>
  </w:style>
  <w:style w:type="character" w:customStyle="1" w:styleId="47">
    <w:name w:val="批注框文本 字符"/>
    <w:basedOn w:val="18"/>
    <w:link w:val="12"/>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828FA11-8729-408B-ADCC-1540852F887E}">
  <ds:schemaRefs/>
</ds:datastoreItem>
</file>

<file path=docProps/app.xml><?xml version="1.0" encoding="utf-8"?>
<Properties xmlns="http://schemas.openxmlformats.org/officeDocument/2006/extended-properties" xmlns:vt="http://schemas.openxmlformats.org/officeDocument/2006/docPropsVTypes">
  <Template>Normal</Template>
  <Pages>6</Pages>
  <Words>322</Words>
  <Characters>1837</Characters>
  <Lines>15</Lines>
  <Paragraphs>4</Paragraphs>
  <TotalTime>7</TotalTime>
  <ScaleCrop>false</ScaleCrop>
  <LinksUpToDate>false</LinksUpToDate>
  <CharactersWithSpaces>2155</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2018-12-17T10:14:00Z</dcterms:created>
  <dc:creator>赵 恺（预算处）</dc:creator>
  <cp:lastModifiedBy>菩提_薇薇安</cp:lastModifiedBy>
  <cp:lastPrinted>2018-12-25T03:31:00Z</cp:lastPrinted>
  <dcterms:modified xsi:type="dcterms:W3CDTF">2019-08-23T10:15:27Z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