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60" w:lineRule="exact"/>
        <w:ind w:firstLine="1041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ind w:firstLine="720" w:firstLineChars="200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6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宋体"/>
          <w:kern w:val="0"/>
          <w:sz w:val="36"/>
          <w:szCs w:val="36"/>
          <w:lang w:eastAsia="zh-CN"/>
        </w:rPr>
        <w:t>广东拨付</w:t>
      </w:r>
      <w:r>
        <w:rPr>
          <w:rFonts w:hint="eastAsia" w:ascii="仿宋" w:hAnsi="仿宋" w:eastAsia="仿宋" w:cs="宋体"/>
          <w:kern w:val="0"/>
          <w:sz w:val="36"/>
          <w:szCs w:val="36"/>
        </w:rPr>
        <w:t>科技援疆工作经费项目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实施单位（公章）：新疆维吾尔自治区喀什地区科学技术局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自治区主管部门（公章）：新疆维吾尔自治区科学技术厅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</w:t>
      </w:r>
    </w:p>
    <w:p>
      <w:pPr>
        <w:spacing w:line="560" w:lineRule="exact"/>
        <w:ind w:firstLine="720" w:firstLineChars="200"/>
        <w:jc w:val="left"/>
        <w:rPr>
          <w:rFonts w:ascii="仿宋" w:hAnsi="仿宋" w:eastAsia="仿宋" w:cs="宋体"/>
          <w:b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</w:t>
      </w:r>
      <w:r>
        <w:rPr>
          <w:rFonts w:ascii="仿宋" w:hAnsi="仿宋" w:eastAsia="仿宋" w:cs="宋体"/>
          <w:kern w:val="0"/>
          <w:sz w:val="36"/>
          <w:szCs w:val="36"/>
        </w:rPr>
        <w:t>201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ascii="仿宋" w:hAnsi="仿宋" w:eastAsia="仿宋" w:cs="宋体"/>
          <w:kern w:val="0"/>
          <w:sz w:val="36"/>
          <w:szCs w:val="36"/>
        </w:rPr>
        <w:t xml:space="preserve"> 年</w:t>
      </w:r>
      <w:r>
        <w:rPr>
          <w:rFonts w:ascii="仿宋" w:hAnsi="仿宋" w:eastAsia="仿宋" w:cs="宋体"/>
          <w:kern w:val="0"/>
          <w:sz w:val="36"/>
          <w:szCs w:val="36"/>
        </w:rPr>
        <w:t>1</w:t>
      </w:r>
      <w:r>
        <w:rPr>
          <w:rFonts w:hint="eastAsia" w:ascii="仿宋" w:hAnsi="仿宋" w:eastAsia="仿宋" w:cs="宋体"/>
          <w:kern w:val="0"/>
          <w:sz w:val="36"/>
          <w:szCs w:val="36"/>
        </w:rPr>
        <w:t>月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1</w:t>
      </w:r>
      <w:r>
        <w:rPr>
          <w:rFonts w:ascii="仿宋" w:hAnsi="仿宋" w:eastAsia="仿宋" w:cs="宋体"/>
          <w:kern w:val="0"/>
          <w:sz w:val="36"/>
          <w:szCs w:val="36"/>
        </w:rPr>
        <w:t>2</w:t>
      </w:r>
      <w:r>
        <w:rPr>
          <w:rFonts w:hint="eastAsia" w:ascii="仿宋" w:hAnsi="仿宋" w:eastAsia="仿宋" w:cs="宋体"/>
          <w:kern w:val="0"/>
          <w:sz w:val="36"/>
          <w:szCs w:val="36"/>
        </w:rPr>
        <w:t>日</w:t>
      </w: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start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新疆维吾尔地区喀什地区科学技术局隶属于喀什地区行政公署，坐落于喀什市解放南路2</w:t>
      </w:r>
      <w:r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60</w:t>
      </w: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 xml:space="preserve">号，行政编制数18个，核定工勤人员编制2名。编制人数 37 人，其中：行政人员编制 18人，核定工勤人员编制2 人，全额拨款事业单位人员编制  17人。实有在职人数 31 人，其中：行政在职 17人，参照公务员管理的事业单位人员 0人，事业在职12 人，工勤在职人数  2人。离退休人员 24 人，其中：离休人员 0 人，退休人员 24 人。此外，我局还有一名在社保局领取养老金的合同制退休工人。 </w:t>
      </w:r>
      <w:r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喀什地区科技局主要职能是：编制全地区民用科技发展的中长期规划和年度计划，合理配置相应的科技经费；指导、协调各有关部门和各县、市的科技体制改革工作；研究提出加强全地区科技创新体系建设的政策措施；促进科技型中小企业技术创新工作；指导全地区民办科技工作；负责农村科技示范活动；管理自治区在喀什地区实施的重大科技项目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该项目计划于2018年11月在广东省广州市举办粤喀农业科技创新培训班及“丝路创新人才优选培养”工程项目培训班。1、培训人数25人；2、专题讲座7场； 3、考察地点6处，培训人员合格率达到100%；5、培训出勤率达到100%；6、培训计划按期完成率100%；7、培训天数10天；8、培训人员住宿，机票，伙食费用18.2万元；9、授课教师费用7.8万元；10、外出现场学习调研费用12.88万元；11、课室租赁费用6.1万元；12、高技能人才培训完成率达到85%以上；13、受训人员上岗率达到100%；14、实施教学模式创新率达到100%；15、人才增长率达到85%以上；16、受训学员满意度达到95%以上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本项目性质为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延续性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主要是为了促进喀什地区现代农业科技事业发展，更新理念，提升能力水平，助力脱贫攻坚举办的粤喀农业科技创新培训班及“丝路创新人才优选培养”工程项目培训班。通过到广东省农业科学院与农业产业园、深圳市现代农业科技示范园区、珠海市国家农业科技园区、东莞市农产品销售示范基地、中山市农业专业镇、河源市乡村振兴战略示范点等地进行实地考察，结合专题讲座，提高培训人员的科学素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广东拨付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科技援疆工作经费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项目预算安排总额为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66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.98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万元，其中财政资金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万元，自筹资金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，其他资金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66.98万元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，2018年实际收到预算资金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66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.98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本项目实际支付资金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.98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万元，预算执行率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。项目资金主要用于培训人员住宿，机票，伙食费用8.2万元，授课教师费用7.8万元，外出现场学习调研费用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.88万元，课室租赁费用6.1万元。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支出严格按照政府会计财务管理制度执行，制定了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实施过程中，喀什地区科学技术局建立了《喀什地区科技局财务管理制度》保障项目的顺利实施。项目的实施遵守相关法律法规和业务管理规定，项目资料齐全并及时归档。已建立《喀什地区科技局日常检查监督检查机制》，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本项目共设置一级指标3个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二级指标9个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三级指标1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，其中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已完成三级指标1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，指标完成率为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62.5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经济性：在本项目执行过程中严格控制支出成本，预算总金额为</w:t>
      </w: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66</w:t>
      </w:r>
      <w:r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.98</w:t>
      </w: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万元，实际支出</w:t>
      </w: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.98</w:t>
      </w: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万元，其中：培训人员住宿，机票，伙食费支出8.2万元，授课教师费用7.8万元，外出现场学习调研费用</w:t>
      </w: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.88万元，课室租赁费用6.1万元，未超预算支出。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效率性：本项目培训天数10天，按期完成了培训，培训计划按期完成率100%，培训人员合格率达到100%，培训出勤率达到100%。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效益性：项目实施后高技能人才培训完成率达到了85%，受训人员上岗率达到100%，实施教学模式创新率达到了100%，人才增长率达到了85%，受训学员满意度达到了95%。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2018年本项目绩效目标</w:t>
      </w: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完成率是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62.5</w:t>
      </w:r>
      <w:bookmarkStart w:id="1" w:name="_GoBack"/>
      <w:bookmarkEnd w:id="1"/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，资金尚有结转，结转资金用于下一年度科技援疆工作。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本项目完成后定期监督培训人员此次培训知识在实际工作中的运用，保证此次培训质量。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1、主要经验及做法：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制定详细的培训计划，严格落实培训期间考勤制度，结合工作实际，有针对性地安排培训内容，理论学习方式多样、效果明显。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2、存在的问题：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培训效果的测试方法单一、不全面。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bCs/>
          <w:spacing w:val="-4"/>
          <w:sz w:val="32"/>
          <w:szCs w:val="32"/>
        </w:rPr>
        <w:t>3、建议：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完善评估机制，评估与实际工作接轨，促进培训成果转化在实际工作中的应用。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本次评价通过文件研读、实地调研、数据分析等方式，全面了解</w:t>
      </w:r>
      <w:bookmarkStart w:id="0" w:name="_Hlk533359272"/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广东拨付</w:t>
      </w: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科技援疆工作经费项目</w:t>
      </w:r>
      <w:bookmarkEnd w:id="0"/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资金的使用效率和效果，项目管理过程规范，完成了预期绩效目标等。同时，通过开展自我评价来总结经验和教训，为喀什地区</w:t>
      </w: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广东拨付</w:t>
      </w: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科技援疆工作经费项目今后的开展提供参考建议。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jc w:val="center"/>
        <w:rPr>
          <w:rStyle w:val="19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jc w:val="center"/>
        <w:rPr>
          <w:rStyle w:val="19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jc w:val="center"/>
        <w:rPr>
          <w:rStyle w:val="19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jc w:val="center"/>
        <w:rPr>
          <w:rStyle w:val="19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jc w:val="center"/>
        <w:rPr>
          <w:rStyle w:val="19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jc w:val="center"/>
        <w:rPr>
          <w:rStyle w:val="19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jc w:val="center"/>
        <w:rPr>
          <w:rStyle w:val="19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jc w:val="center"/>
        <w:rPr>
          <w:rStyle w:val="19"/>
          <w:rFonts w:ascii="仿宋" w:hAnsi="仿宋" w:eastAsia="仿宋"/>
          <w:color w:val="FF000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11224C"/>
    <w:rsid w:val="0012208E"/>
    <w:rsid w:val="0013314C"/>
    <w:rsid w:val="00135256"/>
    <w:rsid w:val="0016296E"/>
    <w:rsid w:val="001A4E1F"/>
    <w:rsid w:val="001A57B9"/>
    <w:rsid w:val="001C3847"/>
    <w:rsid w:val="001F3031"/>
    <w:rsid w:val="00210A26"/>
    <w:rsid w:val="00243FEB"/>
    <w:rsid w:val="0025644E"/>
    <w:rsid w:val="002A2532"/>
    <w:rsid w:val="002A3EFF"/>
    <w:rsid w:val="002E7262"/>
    <w:rsid w:val="003048A2"/>
    <w:rsid w:val="00365250"/>
    <w:rsid w:val="0036624C"/>
    <w:rsid w:val="00385849"/>
    <w:rsid w:val="00491FF1"/>
    <w:rsid w:val="004C1792"/>
    <w:rsid w:val="0050167F"/>
    <w:rsid w:val="00514506"/>
    <w:rsid w:val="005162F1"/>
    <w:rsid w:val="00535153"/>
    <w:rsid w:val="00563A97"/>
    <w:rsid w:val="0056671F"/>
    <w:rsid w:val="00575CFE"/>
    <w:rsid w:val="00592D09"/>
    <w:rsid w:val="0060642A"/>
    <w:rsid w:val="00675D58"/>
    <w:rsid w:val="006D54B4"/>
    <w:rsid w:val="006E3D85"/>
    <w:rsid w:val="006F2E6D"/>
    <w:rsid w:val="007218B8"/>
    <w:rsid w:val="00764774"/>
    <w:rsid w:val="00785FDE"/>
    <w:rsid w:val="00786C84"/>
    <w:rsid w:val="0078786B"/>
    <w:rsid w:val="007A0351"/>
    <w:rsid w:val="007A14BC"/>
    <w:rsid w:val="007A4477"/>
    <w:rsid w:val="007C1025"/>
    <w:rsid w:val="007E6845"/>
    <w:rsid w:val="007F075C"/>
    <w:rsid w:val="007F5F8A"/>
    <w:rsid w:val="00826CA1"/>
    <w:rsid w:val="00835B7F"/>
    <w:rsid w:val="00855E3A"/>
    <w:rsid w:val="008B5D60"/>
    <w:rsid w:val="00922CB9"/>
    <w:rsid w:val="00945D77"/>
    <w:rsid w:val="009B526F"/>
    <w:rsid w:val="009C1AFD"/>
    <w:rsid w:val="00A13BAC"/>
    <w:rsid w:val="00A26421"/>
    <w:rsid w:val="00A4293B"/>
    <w:rsid w:val="00A5453F"/>
    <w:rsid w:val="00A83BD5"/>
    <w:rsid w:val="00AE35B1"/>
    <w:rsid w:val="00B06CA5"/>
    <w:rsid w:val="00B27732"/>
    <w:rsid w:val="00B37D8D"/>
    <w:rsid w:val="00B41F61"/>
    <w:rsid w:val="00B55332"/>
    <w:rsid w:val="00B82FEA"/>
    <w:rsid w:val="00B86E8C"/>
    <w:rsid w:val="00BB2EB9"/>
    <w:rsid w:val="00BE1A00"/>
    <w:rsid w:val="00C22CF0"/>
    <w:rsid w:val="00C31762"/>
    <w:rsid w:val="00C56C72"/>
    <w:rsid w:val="00CA6457"/>
    <w:rsid w:val="00CC6E4D"/>
    <w:rsid w:val="00D17F2E"/>
    <w:rsid w:val="00D46194"/>
    <w:rsid w:val="00D6367A"/>
    <w:rsid w:val="00D97198"/>
    <w:rsid w:val="00E01293"/>
    <w:rsid w:val="00E459D3"/>
    <w:rsid w:val="00E769FE"/>
    <w:rsid w:val="00EA2CBE"/>
    <w:rsid w:val="00EB5047"/>
    <w:rsid w:val="00F32FEE"/>
    <w:rsid w:val="00F45003"/>
    <w:rsid w:val="00FF692D"/>
    <w:rsid w:val="08237D01"/>
    <w:rsid w:val="1A2D4D50"/>
    <w:rsid w:val="1D995F8B"/>
    <w:rsid w:val="23970EA0"/>
    <w:rsid w:val="2A5C1AF8"/>
    <w:rsid w:val="2FB306BA"/>
    <w:rsid w:val="41CE3327"/>
    <w:rsid w:val="5DD14F73"/>
    <w:rsid w:val="617B7A29"/>
    <w:rsid w:val="69D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6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字符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字符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0D312A-9955-4ED6-A04D-72EA390916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373</Words>
  <Characters>2129</Characters>
  <Lines>17</Lines>
  <Paragraphs>4</Paragraphs>
  <TotalTime>16</TotalTime>
  <ScaleCrop>false</ScaleCrop>
  <LinksUpToDate>false</LinksUpToDate>
  <CharactersWithSpaces>2498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菩提_薇薇安</cp:lastModifiedBy>
  <cp:lastPrinted>2018-12-25T03:39:00Z</cp:lastPrinted>
  <dcterms:modified xsi:type="dcterms:W3CDTF">2019-08-23T06:07:13Z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