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w:t>
      </w:r>
      <w:r>
        <w:rPr>
          <w:rFonts w:hint="eastAsia" w:hAnsi="宋体" w:eastAsia="仿宋_GB2312" w:cs="宋体"/>
          <w:kern w:val="0"/>
          <w:sz w:val="36"/>
          <w:szCs w:val="36"/>
        </w:rPr>
        <w:t>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项目名称：地区科技成果转化与扩散专项经费</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实施单位（公章）：新疆维吾尔自治区喀什地区科学技术局</w:t>
      </w:r>
    </w:p>
    <w:p>
      <w:pPr>
        <w:spacing w:line="56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主管部门（公章）：新疆维吾尔自治区科学技术厅</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项目负责人（签章）：董三军</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填报时间：2019年 1月12日</w:t>
      </w:r>
      <w:bookmarkStart w:id="6" w:name="_GoBack"/>
      <w:bookmarkEnd w:id="6"/>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sectPr>
          <w:pgSz w:w="11906" w:h="16838"/>
          <w:pgMar w:top="1440" w:right="1558" w:bottom="1440" w:left="1800" w:header="851" w:footer="992" w:gutter="0"/>
          <w:cols w:space="425" w:num="1"/>
          <w:docGrid w:type="lines" w:linePitch="312" w:charSpace="0"/>
        </w:sect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 xml:space="preserve">新疆维吾尔地区喀什地区科学技术局隶属于喀什地区行政公署，坐落于喀什市解放南路260号，行政编制数18个，核定工勤人员编制2名。编制人数 37 人，其中：行政人员编制 18人，核定工勤人员编制2 人，全额拨款事业单位人员编制  17人。实有在职人数 31 人，其中：行政在职 17人，参照公务员管理的事业单位人员 0人，事业在职12 人，工勤在职人数  2人。离退休人员 24 人，其中：离休人员 0 人，退休人员 24 人。此外，我局还有一名在社保局领取养老金的合同制退休工人。  </w:t>
      </w:r>
    </w:p>
    <w:p>
      <w:pPr>
        <w:spacing w:line="540" w:lineRule="exact"/>
        <w:ind w:firstLine="567"/>
        <w:rPr>
          <w:rStyle w:val="19"/>
          <w:rFonts w:ascii="楷体" w:hAnsi="楷体" w:eastAsia="楷体"/>
          <w:spacing w:val="-4"/>
          <w:sz w:val="32"/>
          <w:szCs w:val="32"/>
        </w:rPr>
      </w:pPr>
      <w:r>
        <w:rPr>
          <w:rFonts w:hint="eastAsia" w:ascii="仿宋" w:hAnsi="仿宋" w:eastAsia="仿宋"/>
          <w:bCs/>
          <w:spacing w:val="-4"/>
          <w:sz w:val="32"/>
          <w:szCs w:val="32"/>
        </w:rPr>
        <w:t>喀什地区科技局主要职能是：编制全地区民用科技发展的中长期规划和年度计划，合理配置相应的科技经费；研究提出加强全地区科技创新体系建设的政策措施；促进科技型中小企业技术创新工作；指导全地区民办科技工作；负责农村科技示范活动；管理自治区在喀什地区实施的重大科技项目。</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bookmarkStart w:id="0" w:name="_Hlk535368011"/>
      <w:r>
        <w:rPr>
          <w:rFonts w:hint="eastAsia" w:ascii="仿宋" w:hAnsi="仿宋" w:eastAsia="仿宋"/>
          <w:b/>
          <w:bCs/>
          <w:spacing w:val="-4"/>
          <w:sz w:val="32"/>
          <w:szCs w:val="32"/>
        </w:rPr>
        <w:t>1、项目预期目标及阶段性目标</w:t>
      </w:r>
      <w:bookmarkEnd w:id="0"/>
    </w:p>
    <w:p>
      <w:pPr>
        <w:spacing w:line="540" w:lineRule="exact"/>
        <w:ind w:firstLine="640"/>
        <w:rPr>
          <w:rStyle w:val="19"/>
          <w:rFonts w:ascii="仿宋" w:hAnsi="仿宋" w:eastAsia="仿宋"/>
          <w:b w:val="0"/>
          <w:spacing w:val="-4"/>
          <w:sz w:val="32"/>
          <w:szCs w:val="32"/>
        </w:rPr>
      </w:pPr>
      <w:r>
        <w:rPr>
          <w:rFonts w:hint="eastAsia" w:ascii="仿宋" w:hAnsi="仿宋" w:eastAsia="仿宋"/>
          <w:bCs/>
          <w:spacing w:val="-4"/>
          <w:sz w:val="32"/>
          <w:szCs w:val="32"/>
        </w:rPr>
        <w:t>为提高科技特派员服务农民及科技创业的能力：</w:t>
      </w:r>
      <w:r>
        <w:rPr>
          <w:rStyle w:val="19"/>
          <w:rFonts w:hint="eastAsia" w:ascii="仿宋" w:hAnsi="仿宋" w:eastAsia="仿宋"/>
          <w:b w:val="0"/>
          <w:spacing w:val="-4"/>
          <w:sz w:val="32"/>
          <w:szCs w:val="32"/>
        </w:rPr>
        <w:t>服务项目数45个；下派人数92人；服务县（市）数量12个；培养本土科技人才≥90%；培养农村科技创业人才≥90%；服务受援单位及时率100%；资金拨付及时率100%；资料费28万元；创业能力水平提高率≥80%；贫困县、贫困村科技人才覆盖率≥95%；受援单位的满意度≥95%。</w:t>
      </w:r>
    </w:p>
    <w:p>
      <w:pPr>
        <w:adjustRightInd w:val="0"/>
        <w:snapToGrid w:val="0"/>
        <w:spacing w:line="560" w:lineRule="exact"/>
        <w:ind w:firstLine="627" w:firstLineChars="200"/>
        <w:rPr>
          <w:rFonts w:ascii="仿宋" w:hAnsi="仿宋" w:eastAsia="仿宋"/>
          <w:b/>
          <w:bCs/>
          <w:spacing w:val="-4"/>
          <w:sz w:val="32"/>
          <w:szCs w:val="32"/>
        </w:rPr>
      </w:pPr>
      <w:bookmarkStart w:id="1" w:name="_Hlk535368040"/>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outlineLvl w:val="0"/>
        <w:rPr>
          <w:rStyle w:val="19"/>
          <w:rFonts w:ascii="仿宋" w:hAnsi="仿宋" w:eastAsia="仿宋"/>
          <w:b w:val="0"/>
          <w:spacing w:val="-4"/>
          <w:sz w:val="32"/>
          <w:szCs w:val="32"/>
        </w:rPr>
      </w:pPr>
      <w:r>
        <w:rPr>
          <w:rFonts w:hint="eastAsia" w:ascii="仿宋" w:hAnsi="仿宋" w:eastAsia="仿宋"/>
          <w:bCs/>
          <w:spacing w:val="-4"/>
          <w:sz w:val="32"/>
          <w:szCs w:val="32"/>
        </w:rPr>
        <w:t>本项目为及时对最新技术与产业发展动态进行知识的更新，提高科技特派员服务农民及科技创业的能力。</w:t>
      </w:r>
      <w:bookmarkEnd w:id="1"/>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项目</w:t>
      </w:r>
      <w:bookmarkStart w:id="2" w:name="_Hlk535368129"/>
      <w:r>
        <w:rPr>
          <w:rFonts w:hint="eastAsia" w:ascii="仿宋" w:hAnsi="仿宋" w:eastAsia="仿宋"/>
          <w:bCs/>
          <w:spacing w:val="-4"/>
          <w:sz w:val="32"/>
          <w:szCs w:val="32"/>
        </w:rPr>
        <w:t>预算安排总额为2</w:t>
      </w:r>
      <w:r>
        <w:rPr>
          <w:rFonts w:ascii="仿宋" w:hAnsi="仿宋" w:eastAsia="仿宋"/>
          <w:bCs/>
          <w:spacing w:val="-4"/>
          <w:sz w:val="32"/>
          <w:szCs w:val="32"/>
        </w:rPr>
        <w:t>8</w:t>
      </w:r>
      <w:r>
        <w:rPr>
          <w:rFonts w:hint="eastAsia" w:ascii="仿宋" w:hAnsi="仿宋" w:eastAsia="仿宋"/>
          <w:bCs/>
          <w:spacing w:val="-4"/>
          <w:sz w:val="32"/>
          <w:szCs w:val="32"/>
        </w:rPr>
        <w:t>万元，其中财政资金28万元，自筹资金0万元，其他资金0万元，2018年实际收到预算资金2</w:t>
      </w:r>
      <w:r>
        <w:rPr>
          <w:rFonts w:ascii="仿宋" w:hAnsi="仿宋" w:eastAsia="仿宋"/>
          <w:bCs/>
          <w:spacing w:val="-4"/>
          <w:sz w:val="32"/>
          <w:szCs w:val="32"/>
        </w:rPr>
        <w:t>8</w:t>
      </w:r>
      <w:r>
        <w:rPr>
          <w:rFonts w:hint="eastAsia" w:ascii="仿宋" w:hAnsi="仿宋" w:eastAsia="仿宋"/>
          <w:bCs/>
          <w:spacing w:val="-4"/>
          <w:sz w:val="32"/>
          <w:szCs w:val="32"/>
        </w:rPr>
        <w:t>万元。</w:t>
      </w:r>
    </w:p>
    <w:bookmarkEnd w:id="2"/>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Fonts w:ascii="仿宋" w:hAnsi="仿宋" w:eastAsia="仿宋"/>
          <w:bCs/>
          <w:spacing w:val="-4"/>
          <w:sz w:val="32"/>
          <w:szCs w:val="32"/>
        </w:rPr>
      </w:pPr>
      <w:r>
        <w:rPr>
          <w:rFonts w:hint="eastAsia" w:ascii="仿宋" w:hAnsi="仿宋" w:eastAsia="仿宋"/>
          <w:bCs/>
          <w:spacing w:val="-4"/>
          <w:sz w:val="32"/>
          <w:szCs w:val="32"/>
        </w:rPr>
        <w:t>本项目实际支付资金2</w:t>
      </w:r>
      <w:r>
        <w:rPr>
          <w:rFonts w:ascii="仿宋" w:hAnsi="仿宋" w:eastAsia="仿宋"/>
          <w:bCs/>
          <w:spacing w:val="-4"/>
          <w:sz w:val="32"/>
          <w:szCs w:val="32"/>
        </w:rPr>
        <w:t>8</w:t>
      </w:r>
      <w:r>
        <w:rPr>
          <w:rFonts w:hint="eastAsia" w:ascii="仿宋" w:hAnsi="仿宋" w:eastAsia="仿宋"/>
          <w:bCs/>
          <w:spacing w:val="-4"/>
          <w:sz w:val="32"/>
          <w:szCs w:val="32"/>
        </w:rPr>
        <w:t>万元，预算执行率100</w:t>
      </w:r>
      <w:r>
        <w:rPr>
          <w:rFonts w:ascii="仿宋" w:hAnsi="仿宋" w:eastAsia="仿宋"/>
          <w:bCs/>
          <w:spacing w:val="-4"/>
          <w:sz w:val="32"/>
          <w:szCs w:val="32"/>
        </w:rPr>
        <w:t>%</w:t>
      </w:r>
      <w:r>
        <w:rPr>
          <w:rFonts w:hint="eastAsia" w:ascii="仿宋" w:hAnsi="仿宋" w:eastAsia="仿宋"/>
          <w:bCs/>
          <w:spacing w:val="-4"/>
          <w:sz w:val="32"/>
          <w:szCs w:val="32"/>
        </w:rPr>
        <w:t>。</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24" w:firstLineChars="200"/>
        <w:rPr>
          <w:rStyle w:val="19"/>
          <w:rFonts w:ascii="仿宋" w:hAnsi="仿宋" w:eastAsia="仿宋"/>
          <w:b w:val="0"/>
          <w:spacing w:val="-4"/>
          <w:sz w:val="32"/>
          <w:szCs w:val="32"/>
        </w:rPr>
      </w:pPr>
      <w:bookmarkStart w:id="3" w:name="_Hlk535368454"/>
      <w:r>
        <w:rPr>
          <w:rFonts w:hint="eastAsia" w:ascii="仿宋" w:hAnsi="仿宋" w:eastAsia="仿宋"/>
          <w:bCs/>
          <w:spacing w:val="-4"/>
          <w:sz w:val="32"/>
          <w:szCs w:val="32"/>
        </w:rPr>
        <w:t>本项目支出严格按照政府会计财务管理制度执行，制定了会计人员集中核算工作管理制度、财务收支审批制度、财务稽核制度、财务牵制制度、会计主管岗位职责等制度规定，资金的拨付有完整的审批程序和手续，不存在截留、挤占、挪用等情况。</w:t>
      </w:r>
      <w:bookmarkEnd w:id="3"/>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Fonts w:ascii="仿宋" w:hAnsi="仿宋" w:eastAsia="仿宋"/>
          <w:bCs/>
          <w:spacing w:val="-4"/>
          <w:sz w:val="32"/>
          <w:szCs w:val="32"/>
        </w:rPr>
      </w:pPr>
      <w:bookmarkStart w:id="4" w:name="_Hlk535368475"/>
      <w:r>
        <w:rPr>
          <w:rFonts w:hint="eastAsia" w:ascii="仿宋" w:hAnsi="仿宋" w:eastAsia="仿宋"/>
          <w:bCs/>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本项目不存在调整情况。</w:t>
      </w:r>
    </w:p>
    <w:p>
      <w:pPr>
        <w:spacing w:line="540" w:lineRule="exact"/>
        <w:ind w:firstLine="564" w:firstLineChars="181"/>
        <w:rPr>
          <w:rFonts w:ascii="仿宋" w:hAnsi="仿宋" w:eastAsia="仿宋"/>
          <w:bCs/>
          <w:spacing w:val="-4"/>
          <w:sz w:val="32"/>
          <w:szCs w:val="32"/>
        </w:rPr>
      </w:pPr>
      <w:r>
        <w:rPr>
          <w:rFonts w:hint="eastAsia" w:ascii="仿宋" w:hAnsi="仿宋" w:eastAsia="仿宋"/>
          <w:bCs/>
          <w:spacing w:val="-4"/>
          <w:sz w:val="32"/>
          <w:szCs w:val="32"/>
        </w:rPr>
        <w:t>本项目不存在检查验收程序。</w:t>
      </w:r>
      <w:bookmarkEnd w:id="4"/>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outlineLvl w:val="0"/>
        <w:rPr>
          <w:rFonts w:ascii="仿宋" w:hAnsi="仿宋" w:eastAsia="仿宋"/>
          <w:bCs/>
          <w:color w:val="FF0000"/>
          <w:spacing w:val="-4"/>
          <w:sz w:val="32"/>
          <w:szCs w:val="32"/>
        </w:rPr>
      </w:pPr>
      <w:r>
        <w:rPr>
          <w:rFonts w:hint="eastAsia" w:ascii="仿宋" w:hAnsi="仿宋" w:eastAsia="仿宋"/>
          <w:bCs/>
          <w:spacing w:val="-4"/>
          <w:sz w:val="32"/>
          <w:szCs w:val="32"/>
        </w:rPr>
        <w:t>项目实施过程中，喀什地区科学技术局建立了《喀什地区科技局财务管理制度》保障项目的顺利实施。项目的实施遵守相关法律法规和业务管理规定，项目资料齐全并及时归档。已建立《喀什地区科技局日常检查监督检查机制》，不定期对项目进度情况进行督导检查，对检查过程中发现的问题及时督促整改，确保了项目按时保质完成。</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11</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已完成三级指标11个</w:t>
      </w:r>
      <w:r>
        <w:rPr>
          <w:rFonts w:hint="eastAsia" w:ascii="仿宋" w:hAnsi="仿宋" w:eastAsia="仿宋"/>
          <w:bCs/>
          <w:spacing w:val="-4"/>
          <w:sz w:val="32"/>
          <w:szCs w:val="32"/>
        </w:rPr>
        <w:t>，指标完成率为100%。</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经济性：在本项目执行过程中严格控制支出成本，预算总金额为2</w:t>
      </w:r>
      <w:r>
        <w:rPr>
          <w:rFonts w:ascii="仿宋" w:hAnsi="仿宋" w:eastAsia="仿宋"/>
          <w:bCs/>
          <w:spacing w:val="-4"/>
          <w:sz w:val="32"/>
          <w:szCs w:val="32"/>
        </w:rPr>
        <w:t>8</w:t>
      </w:r>
      <w:r>
        <w:rPr>
          <w:rFonts w:hint="eastAsia" w:ascii="仿宋" w:hAnsi="仿宋" w:eastAsia="仿宋"/>
          <w:bCs/>
          <w:spacing w:val="-4"/>
          <w:sz w:val="32"/>
          <w:szCs w:val="32"/>
        </w:rPr>
        <w:t>万元，实际支出2</w:t>
      </w:r>
      <w:r>
        <w:rPr>
          <w:rFonts w:ascii="仿宋" w:hAnsi="仿宋" w:eastAsia="仿宋"/>
          <w:bCs/>
          <w:spacing w:val="-4"/>
          <w:sz w:val="32"/>
          <w:szCs w:val="32"/>
        </w:rPr>
        <w:t>8</w:t>
      </w:r>
      <w:r>
        <w:rPr>
          <w:rFonts w:hint="eastAsia" w:ascii="仿宋" w:hAnsi="仿宋" w:eastAsia="仿宋"/>
          <w:bCs/>
          <w:spacing w:val="-4"/>
          <w:sz w:val="32"/>
          <w:szCs w:val="32"/>
        </w:rPr>
        <w:t>万元，其中：</w:t>
      </w:r>
      <w:r>
        <w:rPr>
          <w:rStyle w:val="19"/>
          <w:rFonts w:hint="eastAsia" w:ascii="仿宋" w:hAnsi="仿宋" w:eastAsia="仿宋"/>
          <w:b w:val="0"/>
          <w:spacing w:val="-4"/>
          <w:sz w:val="32"/>
          <w:szCs w:val="32"/>
        </w:rPr>
        <w:t>资料费2</w:t>
      </w:r>
      <w:r>
        <w:rPr>
          <w:rStyle w:val="19"/>
          <w:rFonts w:ascii="仿宋" w:hAnsi="仿宋" w:eastAsia="仿宋"/>
          <w:b w:val="0"/>
          <w:spacing w:val="-4"/>
          <w:sz w:val="32"/>
          <w:szCs w:val="32"/>
        </w:rPr>
        <w:t>8</w:t>
      </w:r>
      <w:r>
        <w:rPr>
          <w:rStyle w:val="19"/>
          <w:rFonts w:hint="eastAsia" w:ascii="仿宋" w:hAnsi="仿宋" w:eastAsia="仿宋"/>
          <w:b w:val="0"/>
          <w:spacing w:val="-4"/>
          <w:sz w:val="32"/>
          <w:szCs w:val="32"/>
        </w:rPr>
        <w:t>万元。</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效率性：本项目服务项目数45个；下派人数92人服务到12县（市）；培养本土科技人才达到95%；培养农村科技创业人才达到95%；服务受援单位及时率达到100%；资金拨付及时率达到100%；保质保量完成了本次项目。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效益性：通过此次项目受援单位创业能力水平提高率达到85%；贫困县、贫困村科技人才覆盖率达到95%；受援单位的满意度95%。</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2018年本项目绩效目标全部达成，不存在未完成原因分析。</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Fonts w:hint="eastAsia" w:ascii="仿宋" w:hAnsi="仿宋" w:eastAsia="仿宋"/>
          <w:bCs/>
          <w:spacing w:val="-4"/>
          <w:sz w:val="32"/>
          <w:szCs w:val="32"/>
        </w:rPr>
        <w:t>不断创新科技特派员工作方法和模式，统筹科技特派员服务培训行动，加快农村基层科技能力建设。</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7" w:firstLineChars="200"/>
        <w:rPr>
          <w:rFonts w:ascii="楷体" w:hAnsi="楷体" w:eastAsia="楷体"/>
          <w:b/>
          <w:bCs/>
          <w:spacing w:val="-4"/>
          <w:sz w:val="32"/>
          <w:szCs w:val="32"/>
        </w:rPr>
      </w:pPr>
      <w:r>
        <w:rPr>
          <w:rFonts w:hint="eastAsia" w:ascii="楷体" w:hAnsi="楷体" w:eastAsia="楷体"/>
          <w:b/>
          <w:bCs/>
          <w:spacing w:val="-4"/>
          <w:sz w:val="32"/>
          <w:szCs w:val="32"/>
        </w:rPr>
        <w:t>1、主要经验及做法</w:t>
      </w:r>
    </w:p>
    <w:p>
      <w:pPr>
        <w:adjustRightInd w:val="0"/>
        <w:snapToGrid w:val="0"/>
        <w:spacing w:line="560" w:lineRule="exact"/>
        <w:ind w:firstLine="624" w:firstLineChars="200"/>
        <w:rPr>
          <w:rFonts w:ascii="楷体" w:hAnsi="楷体" w:eastAsia="仿宋"/>
          <w:b/>
          <w:bCs/>
          <w:spacing w:val="-4"/>
          <w:sz w:val="32"/>
          <w:szCs w:val="32"/>
        </w:rPr>
      </w:pPr>
      <w:r>
        <w:rPr>
          <w:rFonts w:hint="eastAsia" w:ascii="仿宋" w:hAnsi="仿宋" w:eastAsia="仿宋"/>
          <w:bCs/>
          <w:spacing w:val="-4"/>
          <w:sz w:val="32"/>
          <w:szCs w:val="32"/>
        </w:rPr>
        <w:t>无。</w:t>
      </w:r>
    </w:p>
    <w:p>
      <w:pPr>
        <w:numPr>
          <w:ilvl w:val="0"/>
          <w:numId w:val="1"/>
        </w:numPr>
        <w:adjustRightInd w:val="0"/>
        <w:snapToGrid w:val="0"/>
        <w:spacing w:line="560" w:lineRule="exact"/>
        <w:ind w:firstLine="627" w:firstLineChars="200"/>
        <w:rPr>
          <w:rFonts w:ascii="楷体" w:hAnsi="楷体" w:eastAsia="楷体"/>
          <w:b/>
          <w:bCs/>
          <w:spacing w:val="-4"/>
          <w:sz w:val="32"/>
          <w:szCs w:val="32"/>
        </w:rPr>
      </w:pPr>
      <w:r>
        <w:rPr>
          <w:rFonts w:hint="eastAsia" w:ascii="楷体" w:hAnsi="楷体" w:eastAsia="楷体"/>
          <w:b/>
          <w:bCs/>
          <w:spacing w:val="-4"/>
          <w:sz w:val="32"/>
          <w:szCs w:val="32"/>
        </w:rPr>
        <w:t>存在的问题</w:t>
      </w:r>
    </w:p>
    <w:p>
      <w:pPr>
        <w:adjustRightInd w:val="0"/>
        <w:snapToGrid w:val="0"/>
        <w:spacing w:line="560" w:lineRule="exact"/>
        <w:ind w:firstLine="624" w:firstLineChars="200"/>
        <w:rPr>
          <w:rFonts w:ascii="楷体" w:hAnsi="楷体" w:eastAsia="仿宋"/>
          <w:b/>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rPr>
          <w:rFonts w:ascii="楷体" w:hAnsi="楷体" w:eastAsia="楷体"/>
          <w:b/>
          <w:bCs/>
          <w:spacing w:val="-4"/>
          <w:sz w:val="32"/>
          <w:szCs w:val="32"/>
        </w:rPr>
      </w:pPr>
      <w:r>
        <w:rPr>
          <w:rFonts w:hint="eastAsia" w:ascii="楷体" w:hAnsi="楷体" w:eastAsia="楷体"/>
          <w:b/>
          <w:bCs/>
          <w:spacing w:val="-4"/>
          <w:sz w:val="32"/>
          <w:szCs w:val="32"/>
        </w:rPr>
        <w:t>3、建议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60" w:lineRule="exact"/>
        <w:ind w:firstLine="624" w:firstLineChars="200"/>
        <w:jc w:val="left"/>
        <w:rPr>
          <w:rFonts w:ascii="仿宋" w:hAnsi="仿宋" w:eastAsia="仿宋" w:cs="宋体"/>
          <w:kern w:val="0"/>
          <w:sz w:val="36"/>
          <w:szCs w:val="36"/>
        </w:rPr>
      </w:pPr>
      <w:bookmarkStart w:id="5" w:name="_Hlk535380720"/>
      <w:r>
        <w:rPr>
          <w:rFonts w:hint="eastAsia" w:ascii="仿宋" w:hAnsi="仿宋" w:eastAsia="仿宋"/>
          <w:spacing w:val="-4"/>
          <w:sz w:val="32"/>
          <w:szCs w:val="32"/>
        </w:rPr>
        <w:t>本次评价通过文件研读、实地调研、数据分析等方式，全面</w:t>
      </w:r>
      <w:r>
        <w:rPr>
          <w:rFonts w:hint="eastAsia" w:ascii="仿宋" w:hAnsi="仿宋" w:eastAsia="仿宋"/>
          <w:bCs/>
          <w:spacing w:val="-4"/>
          <w:sz w:val="32"/>
          <w:szCs w:val="32"/>
        </w:rPr>
        <w:t>了解地区科技成果转化与扩散专项经费项目资金的</w:t>
      </w:r>
      <w:r>
        <w:rPr>
          <w:rFonts w:hint="eastAsia" w:ascii="仿宋" w:hAnsi="仿宋" w:eastAsia="仿宋"/>
          <w:spacing w:val="-4"/>
          <w:sz w:val="32"/>
          <w:szCs w:val="32"/>
        </w:rPr>
        <w:t>使用效率和效果，项目管理过程规范，完成了预期绩效目标等。同时，通过开展自我评价来总结经验和教训，</w:t>
      </w:r>
      <w:r>
        <w:rPr>
          <w:rFonts w:hint="eastAsia" w:ascii="仿宋" w:hAnsi="仿宋" w:eastAsia="仿宋"/>
          <w:bCs/>
          <w:spacing w:val="-4"/>
          <w:sz w:val="32"/>
          <w:szCs w:val="32"/>
        </w:rPr>
        <w:t>为喀什地区科技成果转化与扩散专项经费项目今后的开展提供参考建议</w:t>
      </w:r>
      <w:r>
        <w:rPr>
          <w:rFonts w:hint="eastAsia" w:ascii="仿宋" w:hAnsi="仿宋" w:eastAsia="仿宋"/>
          <w:spacing w:val="-4"/>
          <w:sz w:val="32"/>
          <w:szCs w:val="32"/>
        </w:rPr>
        <w:t>。</w:t>
      </w:r>
    </w:p>
    <w:bookmarkEnd w:id="5"/>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3</w:t>
        </w:r>
        <w: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6F3CC"/>
    <w:multiLevelType w:val="singleLevel"/>
    <w:tmpl w:val="45C6F3C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09FD"/>
    <w:rsid w:val="000520B6"/>
    <w:rsid w:val="00056465"/>
    <w:rsid w:val="00121AE4"/>
    <w:rsid w:val="00146AAD"/>
    <w:rsid w:val="001B3A40"/>
    <w:rsid w:val="00326C8E"/>
    <w:rsid w:val="003436F1"/>
    <w:rsid w:val="004366A8"/>
    <w:rsid w:val="004959AC"/>
    <w:rsid w:val="004F4636"/>
    <w:rsid w:val="00502BA7"/>
    <w:rsid w:val="005162F1"/>
    <w:rsid w:val="00535153"/>
    <w:rsid w:val="00554F82"/>
    <w:rsid w:val="0056390D"/>
    <w:rsid w:val="005719B0"/>
    <w:rsid w:val="005D10D6"/>
    <w:rsid w:val="006F4888"/>
    <w:rsid w:val="007378C1"/>
    <w:rsid w:val="00750207"/>
    <w:rsid w:val="00855E3A"/>
    <w:rsid w:val="008D1EF2"/>
    <w:rsid w:val="008E5A11"/>
    <w:rsid w:val="00901E25"/>
    <w:rsid w:val="00922CB9"/>
    <w:rsid w:val="00957326"/>
    <w:rsid w:val="009A2AF6"/>
    <w:rsid w:val="009E2165"/>
    <w:rsid w:val="009E5CD9"/>
    <w:rsid w:val="00A26421"/>
    <w:rsid w:val="00A4293B"/>
    <w:rsid w:val="00A67D50"/>
    <w:rsid w:val="00A8691A"/>
    <w:rsid w:val="00AC1946"/>
    <w:rsid w:val="00B40063"/>
    <w:rsid w:val="00B41F61"/>
    <w:rsid w:val="00BA46E6"/>
    <w:rsid w:val="00C56C72"/>
    <w:rsid w:val="00CA6457"/>
    <w:rsid w:val="00D17F2E"/>
    <w:rsid w:val="00D30354"/>
    <w:rsid w:val="00D3762C"/>
    <w:rsid w:val="00DB5445"/>
    <w:rsid w:val="00DF42A0"/>
    <w:rsid w:val="00E769FE"/>
    <w:rsid w:val="00EA2CBE"/>
    <w:rsid w:val="00F32FEE"/>
    <w:rsid w:val="00F55898"/>
    <w:rsid w:val="00FB10BB"/>
    <w:rsid w:val="0DE77609"/>
    <w:rsid w:val="1DF65874"/>
    <w:rsid w:val="30B65921"/>
    <w:rsid w:val="36644FED"/>
    <w:rsid w:val="3A083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uiPriority w:val="99"/>
    <w:tblPr>
      <w:tblLayout w:type="fixed"/>
      <w:tblCellMar>
        <w:top w:w="0" w:type="dxa"/>
        <w:left w:w="108" w:type="dxa"/>
        <w:bottom w:w="0" w:type="dxa"/>
        <w:right w:w="108" w:type="dxa"/>
      </w:tblCellMar>
    </w:tblPr>
  </w:style>
  <w:style w:type="paragraph" w:styleId="11">
    <w:name w:val="annotation text"/>
    <w:basedOn w:val="1"/>
    <w:semiHidden/>
    <w:unhideWhenUsed/>
    <w:uiPriority w:val="99"/>
    <w:pPr>
      <w:jc w:val="left"/>
    </w:pPr>
  </w:style>
  <w:style w:type="paragraph" w:styleId="12">
    <w:name w:val="Balloon Text"/>
    <w:basedOn w:val="1"/>
    <w:link w:val="47"/>
    <w:semiHidden/>
    <w:unhideWhenUsed/>
    <w:uiPriority w:val="99"/>
    <w:rPr>
      <w:sz w:val="18"/>
      <w:szCs w:val="18"/>
    </w:rPr>
  </w:style>
  <w:style w:type="paragraph" w:styleId="13">
    <w:name w:val="footer"/>
    <w:basedOn w:val="1"/>
    <w:link w:val="46"/>
    <w:unhideWhenUsed/>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styleId="21">
    <w:name w:val="annotation reference"/>
    <w:basedOn w:val="18"/>
    <w:semiHidden/>
    <w:unhideWhenUsed/>
    <w:qFormat/>
    <w:uiPriority w:val="99"/>
    <w:rPr>
      <w:sz w:val="21"/>
      <w:szCs w:val="21"/>
    </w:rPr>
  </w:style>
  <w:style w:type="character" w:customStyle="1" w:styleId="22">
    <w:name w:val="标题 1 字符"/>
    <w:basedOn w:val="18"/>
    <w:link w:val="2"/>
    <w:uiPriority w:val="9"/>
    <w:rPr>
      <w:rFonts w:asciiTheme="majorHAnsi" w:hAnsiTheme="majorHAnsi" w:eastAsiaTheme="majorEastAsia"/>
      <w:b/>
      <w:bCs/>
      <w:kern w:val="32"/>
      <w:sz w:val="32"/>
      <w:szCs w:val="32"/>
    </w:rPr>
  </w:style>
  <w:style w:type="character" w:customStyle="1" w:styleId="23">
    <w:name w:val="标题 2 字符"/>
    <w:basedOn w:val="18"/>
    <w:link w:val="3"/>
    <w:semiHidden/>
    <w:uiPriority w:val="9"/>
    <w:rPr>
      <w:rFonts w:asciiTheme="majorHAnsi" w:hAnsiTheme="majorHAnsi" w:eastAsiaTheme="majorEastAsia"/>
      <w:b/>
      <w:bCs/>
      <w:i/>
      <w:iCs/>
      <w:sz w:val="28"/>
      <w:szCs w:val="28"/>
    </w:rPr>
  </w:style>
  <w:style w:type="character" w:customStyle="1" w:styleId="24">
    <w:name w:val="标题 3 字符"/>
    <w:basedOn w:val="18"/>
    <w:link w:val="4"/>
    <w:semiHidden/>
    <w:uiPriority w:val="9"/>
    <w:rPr>
      <w:rFonts w:asciiTheme="majorHAnsi" w:hAnsiTheme="majorHAnsi" w:eastAsiaTheme="majorEastAsia"/>
      <w:b/>
      <w:bCs/>
      <w:sz w:val="26"/>
      <w:szCs w:val="26"/>
    </w:rPr>
  </w:style>
  <w:style w:type="character" w:customStyle="1" w:styleId="25">
    <w:name w:val="标题 4 字符"/>
    <w:basedOn w:val="18"/>
    <w:link w:val="5"/>
    <w:semiHidden/>
    <w:uiPriority w:val="9"/>
    <w:rPr>
      <w:b/>
      <w:bCs/>
      <w:sz w:val="28"/>
      <w:szCs w:val="28"/>
    </w:rPr>
  </w:style>
  <w:style w:type="character" w:customStyle="1" w:styleId="26">
    <w:name w:val="标题 5 字符"/>
    <w:basedOn w:val="18"/>
    <w:link w:val="6"/>
    <w:semiHidden/>
    <w:uiPriority w:val="9"/>
    <w:rPr>
      <w:b/>
      <w:bCs/>
      <w:i/>
      <w:iCs/>
      <w:sz w:val="26"/>
      <w:szCs w:val="26"/>
    </w:rPr>
  </w:style>
  <w:style w:type="character" w:customStyle="1" w:styleId="27">
    <w:name w:val="标题 6 字符"/>
    <w:basedOn w:val="18"/>
    <w:link w:val="7"/>
    <w:semiHidden/>
    <w:uiPriority w:val="9"/>
    <w:rPr>
      <w:b/>
      <w:bCs/>
    </w:rPr>
  </w:style>
  <w:style w:type="character" w:customStyle="1" w:styleId="28">
    <w:name w:val="标题 7 字符"/>
    <w:basedOn w:val="18"/>
    <w:link w:val="8"/>
    <w:semiHidden/>
    <w:uiPriority w:val="9"/>
    <w:rPr>
      <w:sz w:val="24"/>
      <w:szCs w:val="24"/>
    </w:rPr>
  </w:style>
  <w:style w:type="character" w:customStyle="1" w:styleId="29">
    <w:name w:val="标题 8 字符"/>
    <w:basedOn w:val="18"/>
    <w:link w:val="9"/>
    <w:semiHidden/>
    <w:uiPriority w:val="9"/>
    <w:rPr>
      <w:i/>
      <w:iCs/>
      <w:sz w:val="24"/>
      <w:szCs w:val="24"/>
    </w:rPr>
  </w:style>
  <w:style w:type="character" w:customStyle="1" w:styleId="30">
    <w:name w:val="标题 9 字符"/>
    <w:basedOn w:val="18"/>
    <w:link w:val="10"/>
    <w:semiHidden/>
    <w:uiPriority w:val="9"/>
    <w:rPr>
      <w:rFonts w:asciiTheme="majorHAnsi" w:hAnsiTheme="majorHAnsi" w:eastAsiaTheme="majorEastAsia"/>
    </w:rPr>
  </w:style>
  <w:style w:type="character" w:customStyle="1" w:styleId="31">
    <w:name w:val="标题 字符"/>
    <w:basedOn w:val="18"/>
    <w:link w:val="16"/>
    <w:uiPriority w:val="10"/>
    <w:rPr>
      <w:rFonts w:asciiTheme="majorHAnsi" w:hAnsiTheme="majorHAnsi" w:eastAsiaTheme="majorEastAsia"/>
      <w:b/>
      <w:bCs/>
      <w:kern w:val="28"/>
      <w:sz w:val="32"/>
      <w:szCs w:val="32"/>
    </w:rPr>
  </w:style>
  <w:style w:type="character" w:customStyle="1" w:styleId="32">
    <w:name w:val="副标题 字符"/>
    <w:basedOn w:val="18"/>
    <w:link w:val="15"/>
    <w:qFormat/>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字符"/>
    <w:basedOn w:val="18"/>
    <w:link w:val="35"/>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字符"/>
    <w:basedOn w:val="18"/>
    <w:link w:val="37"/>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8"/>
    <w:qFormat/>
    <w:uiPriority w:val="21"/>
    <w:rPr>
      <w:b/>
      <w:i/>
      <w:sz w:val="24"/>
      <w:szCs w:val="24"/>
      <w:u w:val="single"/>
    </w:rPr>
  </w:style>
  <w:style w:type="character" w:customStyle="1" w:styleId="41">
    <w:name w:val="不明显参考1"/>
    <w:basedOn w:val="18"/>
    <w:qFormat/>
    <w:uiPriority w:val="31"/>
    <w:rPr>
      <w:sz w:val="24"/>
      <w:szCs w:val="24"/>
      <w:u w:val="single"/>
    </w:rPr>
  </w:style>
  <w:style w:type="character" w:customStyle="1" w:styleId="42">
    <w:name w:val="明显参考1"/>
    <w:basedOn w:val="18"/>
    <w:qFormat/>
    <w:uiPriority w:val="32"/>
    <w:rPr>
      <w:b/>
      <w:sz w:val="24"/>
      <w:u w:val="single"/>
    </w:rPr>
  </w:style>
  <w:style w:type="character" w:customStyle="1" w:styleId="43">
    <w:name w:val="书籍标题1"/>
    <w:basedOn w:val="18"/>
    <w:qFormat/>
    <w:uiPriority w:val="33"/>
    <w:rPr>
      <w:rFonts w:asciiTheme="majorHAnsi" w:hAnsiTheme="majorHAnsi" w:eastAsiaTheme="majorEastAsia"/>
      <w:b/>
      <w:i/>
      <w:sz w:val="24"/>
      <w:szCs w:val="24"/>
    </w:rPr>
  </w:style>
  <w:style w:type="paragraph" w:customStyle="1" w:styleId="44">
    <w:name w:val="TOC 标题1"/>
    <w:basedOn w:val="2"/>
    <w:next w:val="1"/>
    <w:semiHidden/>
    <w:unhideWhenUsed/>
    <w:qFormat/>
    <w:uiPriority w:val="39"/>
    <w:pPr>
      <w:outlineLvl w:val="9"/>
    </w:pPr>
    <w:rPr>
      <w:lang w:eastAsia="en-US" w:bidi="en-US"/>
    </w:rPr>
  </w:style>
  <w:style w:type="character" w:customStyle="1" w:styleId="45">
    <w:name w:val="页眉 字符"/>
    <w:basedOn w:val="18"/>
    <w:link w:val="14"/>
    <w:qFormat/>
    <w:uiPriority w:val="99"/>
    <w:rPr>
      <w:rFonts w:ascii="Calibri" w:hAnsi="Calibri" w:eastAsia="宋体"/>
      <w:kern w:val="2"/>
      <w:sz w:val="18"/>
      <w:szCs w:val="18"/>
    </w:rPr>
  </w:style>
  <w:style w:type="character" w:customStyle="1" w:styleId="46">
    <w:name w:val="页脚 字符"/>
    <w:basedOn w:val="18"/>
    <w:link w:val="13"/>
    <w:qFormat/>
    <w:uiPriority w:val="99"/>
    <w:rPr>
      <w:rFonts w:ascii="Calibri" w:hAnsi="Calibri" w:eastAsia="宋体"/>
      <w:kern w:val="2"/>
      <w:sz w:val="18"/>
      <w:szCs w:val="18"/>
    </w:rPr>
  </w:style>
  <w:style w:type="character" w:customStyle="1" w:styleId="47">
    <w:name w:val="批注框文本 字符"/>
    <w:basedOn w:val="18"/>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294</Words>
  <Characters>1681</Characters>
  <Lines>14</Lines>
  <Paragraphs>3</Paragraphs>
  <TotalTime>11</TotalTime>
  <ScaleCrop>false</ScaleCrop>
  <LinksUpToDate>false</LinksUpToDate>
  <CharactersWithSpaces>1972</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菩提_薇薇安</cp:lastModifiedBy>
  <cp:lastPrinted>2018-12-31T10:56:00Z</cp:lastPrinted>
  <dcterms:modified xsi:type="dcterms:W3CDTF">2019-08-23T05:46:18Z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