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720" w:firstLineChars="200"/>
        <w:jc w:val="center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（   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  年度）</w:t>
      </w: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 xml:space="preserve"> </w:t>
      </w:r>
      <w:r>
        <w:rPr>
          <w:rFonts w:ascii="仿宋" w:hAnsi="仿宋" w:eastAsia="仿宋" w:cs="宋体"/>
          <w:kern w:val="0"/>
          <w:sz w:val="30"/>
          <w:szCs w:val="30"/>
        </w:rPr>
        <w:t xml:space="preserve">                           </w:t>
      </w:r>
    </w:p>
    <w:p>
      <w:pPr>
        <w:spacing w:line="560" w:lineRule="exact"/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 xml:space="preserve"> </w:t>
      </w:r>
      <w:r>
        <w:rPr>
          <w:rFonts w:ascii="仿宋" w:hAnsi="仿宋" w:eastAsia="仿宋" w:cs="宋体"/>
          <w:kern w:val="0"/>
          <w:sz w:val="30"/>
          <w:szCs w:val="30"/>
        </w:rPr>
        <w:t xml:space="preserve">                           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宋体"/>
          <w:kern w:val="0"/>
          <w:sz w:val="36"/>
          <w:szCs w:val="36"/>
          <w:lang w:eastAsia="zh-CN"/>
        </w:rPr>
        <w:t>自治区拨付重大</w:t>
      </w:r>
      <w:r>
        <w:rPr>
          <w:rFonts w:hint="eastAsia" w:ascii="仿宋" w:hAnsi="仿宋" w:eastAsia="仿宋" w:cs="宋体"/>
          <w:kern w:val="0"/>
          <w:sz w:val="36"/>
          <w:szCs w:val="36"/>
        </w:rPr>
        <w:t>科普活动经费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实施单位（公章）：新疆维吾尔自治区喀什地区科学技术局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自治区主管部门（公章）：新疆维吾尔自治区科学技术厅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b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>1</w:t>
      </w: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月 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 xml:space="preserve">新疆维吾尔地区喀什地区科学技术局隶属于喀什地区行政公署，坐落于喀什市解放南路260号，行政编制数18个，核定工勤人员编制2名。编制人数 37 人，其中：行政人员编制 18人，核定工勤人员编制2 人，全额拨款事业单位人员编制  17人。实有在职人数 31 人，其中：行政在职 17人，参照公务员管理的事业单位人员 0人，事业在职12 人，工勤在职人数  2人。离退休人员 24 人，其中：离休人员 0 人，退休人员 24 人。此外，我局还有一名在社保局领取养老金的合同制退休工人。  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喀什地区科技局主要职能是：编制全地区民用科技发展的中长期规划和年度计划，合理配置相应的科技经费；指导、协调各有关部门和各县、市的科技体制改革工作；研究提出加强全地区科技创新体系建设的政策措施；促进科技型中小企业技术创新工作；指导全地区民办科技工作；负责农村科技示范活动；管理自治区在喀什地区实施的重大科技项目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自治区拨付重大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科普活动经费项目计划于2018年全年实施：1、项目总金额为14万元；</w:t>
      </w: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、预计达到科普活动和科技竞赛开展次数12次；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、参与科普活动和科技竞赛人次3000人；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、科普知识掌握率达到100%；</w:t>
      </w:r>
      <w:r>
        <w:rPr>
          <w:rFonts w:ascii="仿宋" w:hAnsi="仿宋" w:eastAsia="仿宋"/>
          <w:bCs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科普活动完成及时率100%；6、授课专家科普宣传及知识讲座费用7万元；7、科普资料印刷、光盘制作等费用7万元；8、运用科技知识提高生产率达到85%以上；9、通过项目的实施，预计达到具备科学素质的公民数占全体公民数的80％以上；；10、科普知识在生活生产中的应用增长率达到100％；11、科普活动参与者满意度达到</w:t>
      </w:r>
      <w:r>
        <w:rPr>
          <w:rFonts w:ascii="仿宋" w:hAnsi="仿宋" w:eastAsia="仿宋"/>
          <w:bCs/>
          <w:spacing w:val="-4"/>
          <w:sz w:val="32"/>
          <w:szCs w:val="32"/>
        </w:rPr>
        <w:t>95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%以上。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为充分调动全社会贴近实际、贴近生活、贴近群众开展科普工作的积极性和主动性，引领激发广大群众学科学、用科学的积极性和创造性开展的系列科普宣传和科技知识竞赛活动。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自治区拨付重大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科普活动经费预算安排总额为</w:t>
      </w:r>
      <w:r>
        <w:rPr>
          <w:rFonts w:ascii="仿宋" w:hAnsi="仿宋" w:eastAsia="仿宋"/>
          <w:bCs/>
          <w:spacing w:val="-4"/>
          <w:sz w:val="32"/>
          <w:szCs w:val="32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spacing w:val="-4"/>
          <w:sz w:val="32"/>
          <w:szCs w:val="32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万元，自筹资金</w:t>
      </w:r>
      <w:r>
        <w:rPr>
          <w:rFonts w:ascii="仿宋" w:hAnsi="仿宋" w:eastAsia="仿宋"/>
          <w:bCs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万元，2018年实际收到预算资金</w:t>
      </w:r>
      <w:r>
        <w:rPr>
          <w:rFonts w:ascii="仿宋" w:hAnsi="仿宋" w:eastAsia="仿宋"/>
          <w:bCs/>
          <w:spacing w:val="-4"/>
          <w:sz w:val="32"/>
          <w:szCs w:val="32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本项目实际支付资金1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。项目资金主要用于支付授课专家科普宣传及知识讲座费用7万元；科普资料印刷、光盘制作等费用7万元。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严格按照政府会计财务管理制度执行，制定了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实施过程中，喀什地区科学技术局建立了《喀什地区科技局财务管理制度》保障项目的顺利实施。项目的实施遵守相关法律法规和业务管理规定，项目资料齐全并及时归档。已建立《喀什地区科技局日常检查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本项目共设置一级指标3个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二级指标9个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三级指标10个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已完成三级指标10个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经济性：在本项目执行过程中严格控制支出成本，预算总金额为1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万元，实际支出1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万元，其中：授课专家科普宣传及知识讲座费用7万元；科普资料印刷、光盘制作等费用7万元，支出未超出预算。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效率性：本项目按期开展科普宣传和科技知识竞赛活动，科普活动完成及时率达到</w:t>
      </w:r>
      <w:bookmarkStart w:id="0" w:name="_Hlk533381484"/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100%</w:t>
      </w:r>
      <w:bookmarkEnd w:id="0"/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，参与科普活动人员科普知识的掌握率达到了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，科技知识提高生产率达到了90%。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效益性：通过本项目的实施，科普知识在生活生产中的应用增长率达到了100％，科普活动参与者满意度达到了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95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%，激发了全民爱科学，参与科普活动的热情。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后期将于网络活动、展览展示、互动体验、现场咨询等方式结合起来让市民更直观、深入地了解科学知识，让科普在市民中流行起来。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在本项目的实施过程中，紧紧围绕主题，制定详细的科普活动方案，充分利用社区资源，引导广大居民从我做起，从身边做起，养成良好的生活习惯，增强公民的文明意识，环保意识。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宣传方式单一。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建议与网络活动、展览展示、互动体验、现场咨询等方式结合起来让市民更直观、深入地了解科学知识，让科普在市民中流行起来。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自治区拨付重大</w:t>
      </w:r>
      <w:r>
        <w:rPr>
          <w:rFonts w:hint="eastAsia" w:ascii="仿宋" w:hAnsi="仿宋" w:eastAsia="仿宋"/>
          <w:spacing w:val="-4"/>
          <w:sz w:val="32"/>
          <w:szCs w:val="32"/>
        </w:rPr>
        <w:t>科普活动经费项目资金的使用效率和效果，项目管理过程规范，完成了预期绩效目标等。同时，通过开展自我评价来总结经验和教训，为喀什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地</w:t>
      </w:r>
      <w:r>
        <w:rPr>
          <w:rFonts w:hint="eastAsia" w:ascii="仿宋" w:hAnsi="仿宋" w:eastAsia="仿宋"/>
          <w:spacing w:val="-4"/>
          <w:sz w:val="32"/>
          <w:szCs w:val="32"/>
        </w:rPr>
        <w:t>区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自治区拨付重大</w:t>
      </w:r>
      <w:r>
        <w:rPr>
          <w:rFonts w:hint="eastAsia" w:ascii="仿宋" w:hAnsi="仿宋" w:eastAsia="仿宋"/>
          <w:spacing w:val="-4"/>
          <w:sz w:val="32"/>
          <w:szCs w:val="32"/>
        </w:rPr>
        <w:t>科普活动经费</w:t>
      </w:r>
      <w:bookmarkStart w:id="1" w:name="_GoBack"/>
      <w:bookmarkEnd w:id="1"/>
      <w:r>
        <w:rPr>
          <w:rFonts w:hint="eastAsia" w:ascii="仿宋" w:hAnsi="仿宋" w:eastAsia="仿宋"/>
          <w:spacing w:val="-4"/>
          <w:sz w:val="32"/>
          <w:szCs w:val="32"/>
        </w:rPr>
        <w:t>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jc w:val="center"/>
        <w:rPr>
          <w:rStyle w:val="18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04228"/>
    <w:rsid w:val="000A3371"/>
    <w:rsid w:val="0012208E"/>
    <w:rsid w:val="00135256"/>
    <w:rsid w:val="00185203"/>
    <w:rsid w:val="001A4E1F"/>
    <w:rsid w:val="001A57B9"/>
    <w:rsid w:val="001C3847"/>
    <w:rsid w:val="001F3031"/>
    <w:rsid w:val="00210A26"/>
    <w:rsid w:val="002A2532"/>
    <w:rsid w:val="002E4A99"/>
    <w:rsid w:val="002F5FE6"/>
    <w:rsid w:val="00365250"/>
    <w:rsid w:val="0036624C"/>
    <w:rsid w:val="00385849"/>
    <w:rsid w:val="003F7F66"/>
    <w:rsid w:val="0050167F"/>
    <w:rsid w:val="00514506"/>
    <w:rsid w:val="005162F1"/>
    <w:rsid w:val="00535153"/>
    <w:rsid w:val="00575CFE"/>
    <w:rsid w:val="00592D09"/>
    <w:rsid w:val="005D33E7"/>
    <w:rsid w:val="00642FCC"/>
    <w:rsid w:val="00675D58"/>
    <w:rsid w:val="006F2E6D"/>
    <w:rsid w:val="007100E5"/>
    <w:rsid w:val="007218B8"/>
    <w:rsid w:val="00777338"/>
    <w:rsid w:val="00782267"/>
    <w:rsid w:val="00785FDE"/>
    <w:rsid w:val="007A0351"/>
    <w:rsid w:val="007A14BC"/>
    <w:rsid w:val="007C1025"/>
    <w:rsid w:val="007C1F84"/>
    <w:rsid w:val="007E6845"/>
    <w:rsid w:val="007F5F8A"/>
    <w:rsid w:val="00826CA1"/>
    <w:rsid w:val="00835B7F"/>
    <w:rsid w:val="00855E3A"/>
    <w:rsid w:val="00856892"/>
    <w:rsid w:val="008C44FF"/>
    <w:rsid w:val="00922CB9"/>
    <w:rsid w:val="009B526F"/>
    <w:rsid w:val="009C1AFD"/>
    <w:rsid w:val="009F2877"/>
    <w:rsid w:val="00A26421"/>
    <w:rsid w:val="00A4293B"/>
    <w:rsid w:val="00A83BD5"/>
    <w:rsid w:val="00B06CA5"/>
    <w:rsid w:val="00B41F61"/>
    <w:rsid w:val="00B55332"/>
    <w:rsid w:val="00B86E8C"/>
    <w:rsid w:val="00BE1A00"/>
    <w:rsid w:val="00C22CF0"/>
    <w:rsid w:val="00C44C76"/>
    <w:rsid w:val="00C56C72"/>
    <w:rsid w:val="00CA6457"/>
    <w:rsid w:val="00CB7ECA"/>
    <w:rsid w:val="00CC6E4D"/>
    <w:rsid w:val="00D17F2E"/>
    <w:rsid w:val="00D242B0"/>
    <w:rsid w:val="00D42BD4"/>
    <w:rsid w:val="00D46194"/>
    <w:rsid w:val="00E01293"/>
    <w:rsid w:val="00E23810"/>
    <w:rsid w:val="00E769FE"/>
    <w:rsid w:val="00EA2CBE"/>
    <w:rsid w:val="00F32FEE"/>
    <w:rsid w:val="00FF494E"/>
    <w:rsid w:val="23970EA0"/>
    <w:rsid w:val="308947DA"/>
    <w:rsid w:val="5DD14F73"/>
    <w:rsid w:val="64963B52"/>
    <w:rsid w:val="672C32E9"/>
    <w:rsid w:val="70871DBD"/>
    <w:rsid w:val="7179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7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7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字符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7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7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7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字符"/>
    <w:basedOn w:val="17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字符"/>
    <w:basedOn w:val="17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3AE220-347B-437B-8EC3-34825C04A0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357</Words>
  <Characters>2039</Characters>
  <Lines>16</Lines>
  <Paragraphs>4</Paragraphs>
  <TotalTime>0</TotalTime>
  <ScaleCrop>false</ScaleCrop>
  <LinksUpToDate>false</LinksUpToDate>
  <CharactersWithSpaces>2392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繁花入梦</cp:lastModifiedBy>
  <cp:lastPrinted>2018-12-25T03:39:00Z</cp:lastPrinted>
  <dcterms:modified xsi:type="dcterms:W3CDTF">2019-01-24T06:28:26Z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