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华文中宋" w:hAnsi="华文中宋" w:eastAsia="华文中宋" w:cs="华文中宋"/>
          <w:kern w:val="0"/>
          <w:sz w:val="30"/>
          <w:szCs w:val="30"/>
        </w:rPr>
      </w:pP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华文中宋"/>
          <w:kern w:val="0"/>
          <w:sz w:val="52"/>
          <w:szCs w:val="52"/>
        </w:rPr>
      </w:pPr>
      <w:r>
        <w:rPr>
          <w:rFonts w:hint="eastAsia" w:ascii="华文中宋" w:hAnsi="华文中宋" w:eastAsia="华文中宋" w:cs="华文中宋"/>
          <w:kern w:val="0"/>
          <w:sz w:val="52"/>
          <w:szCs w:val="52"/>
        </w:rPr>
        <w:t>新疆财政支出绩效自评报告</w:t>
      </w:r>
    </w:p>
    <w:p>
      <w:pPr>
        <w:spacing w:line="540" w:lineRule="exact"/>
        <w:jc w:val="center"/>
        <w:rPr>
          <w:rFonts w:ascii="华文中宋" w:hAnsi="华文中宋" w:eastAsia="华文中宋" w:cs="华文中宋"/>
          <w:b/>
          <w:kern w:val="0"/>
          <w:sz w:val="52"/>
          <w:szCs w:val="52"/>
        </w:rPr>
      </w:pPr>
    </w:p>
    <w:p>
      <w:pPr>
        <w:spacing w:line="540" w:lineRule="exact"/>
        <w:jc w:val="center"/>
        <w:rPr>
          <w:rFonts w:ascii="华文中宋" w:hAnsi="华文中宋" w:eastAsia="华文中宋" w:cs="华文中宋"/>
          <w:kern w:val="0"/>
          <w:sz w:val="52"/>
          <w:szCs w:val="52"/>
        </w:rPr>
      </w:pPr>
      <w:r>
        <w:rPr>
          <w:rFonts w:hint="eastAsia" w:ascii="华文中宋" w:hAnsi="华文中宋" w:eastAsia="华文中宋" w:cs="华文中宋"/>
          <w:kern w:val="0"/>
          <w:sz w:val="52"/>
          <w:szCs w:val="52"/>
        </w:rPr>
        <w:t>（2018 年度）</w:t>
      </w:r>
    </w:p>
    <w:p>
      <w:pPr>
        <w:spacing w:line="540" w:lineRule="exact"/>
        <w:jc w:val="center"/>
        <w:rPr>
          <w:rFonts w:ascii="华文中宋" w:hAnsi="华文中宋" w:eastAsia="华文中宋" w:cs="华文中宋"/>
          <w:kern w:val="0"/>
          <w:sz w:val="52"/>
          <w:szCs w:val="52"/>
        </w:rPr>
      </w:pPr>
    </w:p>
    <w:p>
      <w:pPr>
        <w:spacing w:line="540" w:lineRule="exact"/>
        <w:jc w:val="center"/>
        <w:rPr>
          <w:rFonts w:ascii="仿宋_GB2312" w:hAnsi="仿宋_GB2312" w:eastAsia="仿宋_GB2312" w:cs="仿宋_GB2312"/>
          <w:kern w:val="0"/>
          <w:sz w:val="32"/>
          <w:szCs w:val="32"/>
        </w:rPr>
      </w:pPr>
    </w:p>
    <w:p>
      <w:pPr>
        <w:spacing w:line="540" w:lineRule="exact"/>
        <w:jc w:val="center"/>
        <w:rPr>
          <w:rFonts w:ascii="仿宋_GB2312" w:hAnsi="仿宋_GB2312" w:eastAsia="仿宋_GB2312" w:cs="仿宋_GB2312"/>
          <w:kern w:val="0"/>
          <w:sz w:val="32"/>
          <w:szCs w:val="32"/>
        </w:rPr>
      </w:pPr>
    </w:p>
    <w:p>
      <w:pPr>
        <w:spacing w:line="540" w:lineRule="exact"/>
        <w:jc w:val="center"/>
        <w:rPr>
          <w:rFonts w:ascii="仿宋_GB2312" w:hAnsi="仿宋_GB2312" w:eastAsia="仿宋_GB2312" w:cs="仿宋_GB2312"/>
          <w:kern w:val="0"/>
          <w:sz w:val="32"/>
          <w:szCs w:val="32"/>
        </w:rPr>
      </w:pPr>
    </w:p>
    <w:p>
      <w:pPr>
        <w:spacing w:line="540" w:lineRule="exact"/>
        <w:jc w:val="center"/>
        <w:rPr>
          <w:rFonts w:ascii="仿宋_GB2312" w:hAnsi="仿宋_GB2312" w:eastAsia="仿宋_GB2312" w:cs="仿宋_GB2312"/>
          <w:kern w:val="0"/>
          <w:sz w:val="32"/>
          <w:szCs w:val="32"/>
        </w:rPr>
      </w:pPr>
    </w:p>
    <w:p>
      <w:pPr>
        <w:spacing w:line="540" w:lineRule="exact"/>
        <w:jc w:val="center"/>
        <w:rPr>
          <w:rFonts w:ascii="仿宋_GB2312" w:hAnsi="仿宋_GB2312" w:eastAsia="仿宋_GB2312" w:cs="仿宋_GB2312"/>
          <w:kern w:val="0"/>
          <w:sz w:val="32"/>
          <w:szCs w:val="32"/>
        </w:rPr>
      </w:pPr>
    </w:p>
    <w:p>
      <w:pPr>
        <w:spacing w:line="540" w:lineRule="exact"/>
        <w:rPr>
          <w:rFonts w:ascii="仿宋_GB2312" w:hAnsi="仿宋_GB2312" w:eastAsia="仿宋_GB2312" w:cs="仿宋_GB2312"/>
          <w:kern w:val="0"/>
          <w:sz w:val="32"/>
          <w:szCs w:val="32"/>
        </w:rPr>
      </w:pPr>
    </w:p>
    <w:p>
      <w:pPr>
        <w:spacing w:line="700" w:lineRule="exact"/>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项目名称：自收自支人员工资经费项目</w:t>
      </w:r>
    </w:p>
    <w:p>
      <w:pPr>
        <w:spacing w:line="700" w:lineRule="exact"/>
        <w:ind w:left="3840" w:hanging="3840" w:hangingChars="1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实施单位（公章）：喀什地区农村数字电影服务管理中心</w:t>
      </w:r>
    </w:p>
    <w:p>
      <w:pPr>
        <w:spacing w:line="700" w:lineRule="exact"/>
        <w:ind w:firstLine="755" w:firstLineChars="236"/>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自治区主管部门（公章）：</w:t>
      </w:r>
    </w:p>
    <w:p>
      <w:pPr>
        <w:spacing w:line="700" w:lineRule="exact"/>
        <w:ind w:firstLine="755" w:firstLineChars="236"/>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项目负责人（签章）：彭志军</w:t>
      </w:r>
    </w:p>
    <w:p>
      <w:pPr>
        <w:spacing w:line="700" w:lineRule="exact"/>
        <w:ind w:firstLine="755" w:firstLineChars="236"/>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填报时间： 2018年 12 月 15  日</w:t>
      </w:r>
    </w:p>
    <w:p>
      <w:pPr>
        <w:spacing w:line="540" w:lineRule="exact"/>
        <w:jc w:val="center"/>
        <w:rPr>
          <w:rFonts w:ascii="仿宋_GB2312" w:hAnsi="仿宋_GB2312" w:eastAsia="仿宋_GB2312" w:cs="仿宋_GB2312"/>
          <w:kern w:val="0"/>
          <w:sz w:val="32"/>
          <w:szCs w:val="32"/>
        </w:rPr>
      </w:pPr>
    </w:p>
    <w:p>
      <w:pPr>
        <w:spacing w:line="540" w:lineRule="exact"/>
        <w:ind w:firstLine="640"/>
        <w:rPr>
          <w:rStyle w:val="18"/>
          <w:rFonts w:ascii="黑体" w:hAnsi="黑体" w:eastAsia="黑体"/>
          <w:b w:val="0"/>
          <w:spacing w:val="-4"/>
          <w:sz w:val="32"/>
          <w:szCs w:val="32"/>
        </w:rPr>
        <w:sectPr>
          <w:pgSz w:w="11906" w:h="16838"/>
          <w:pgMar w:top="1440" w:right="1800" w:bottom="1440" w:left="1800" w:header="851" w:footer="992" w:gutter="0"/>
          <w:cols w:space="425" w:num="1"/>
          <w:docGrid w:type="lines" w:linePitch="312" w:charSpace="0"/>
        </w:sect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640"/>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widowControl/>
        <w:shd w:val="clear" w:color="auto" w:fill="FFFFFF"/>
        <w:spacing w:line="560" w:lineRule="exact"/>
        <w:ind w:firstLine="800" w:firstLineChars="250"/>
        <w:rPr>
          <w:rFonts w:ascii="仿宋" w:hAnsi="仿宋" w:eastAsia="仿宋" w:cs="仿宋_GB2312"/>
          <w:bCs/>
          <w:sz w:val="32"/>
          <w:szCs w:val="32"/>
        </w:rPr>
      </w:pPr>
      <w:r>
        <w:rPr>
          <w:rFonts w:hint="eastAsia" w:ascii="仿宋" w:hAnsi="仿宋" w:eastAsia="仿宋" w:cs="仿宋_GB2312"/>
          <w:bCs/>
          <w:sz w:val="32"/>
          <w:szCs w:val="32"/>
        </w:rPr>
        <w:t>主要职能。根据国家广电总局、自治区党委</w:t>
      </w:r>
      <w:r>
        <w:rPr>
          <w:rFonts w:hint="eastAsia" w:ascii="仿宋" w:hAnsi="仿宋" w:eastAsia="仿宋" w:cs="仿宋_GB2312"/>
          <w:bCs/>
          <w:sz w:val="32"/>
          <w:szCs w:val="32"/>
          <w:lang w:eastAsia="zh-CN"/>
        </w:rPr>
        <w:t>人民政府</w:t>
      </w:r>
      <w:r>
        <w:rPr>
          <w:rFonts w:hint="eastAsia" w:ascii="仿宋" w:hAnsi="仿宋" w:eastAsia="仿宋" w:cs="仿宋_GB2312"/>
          <w:bCs/>
          <w:sz w:val="32"/>
          <w:szCs w:val="32"/>
        </w:rPr>
        <w:t>的决定，在喀什地区试点农村数字电影放映工程，管理各县市农村放映工作,</w:t>
      </w:r>
      <w:r>
        <w:rPr>
          <w:rFonts w:hint="eastAsia" w:ascii="仿宋" w:hAnsi="仿宋" w:eastAsia="仿宋" w:cs="仿宋_GB2312"/>
          <w:bCs/>
          <w:kern w:val="0"/>
          <w:sz w:val="32"/>
          <w:szCs w:val="32"/>
        </w:rPr>
        <w:t>为各12县市下载授权放映农村数字电影。</w:t>
      </w:r>
    </w:p>
    <w:p>
      <w:pPr>
        <w:snapToGrid w:val="0"/>
        <w:spacing w:line="520" w:lineRule="exact"/>
        <w:ind w:firstLine="800" w:firstLineChars="250"/>
        <w:rPr>
          <w:rFonts w:ascii="仿宋" w:hAnsi="仿宋" w:eastAsia="仿宋" w:cs="仿宋_GB2312"/>
          <w:bCs/>
          <w:sz w:val="32"/>
          <w:szCs w:val="32"/>
        </w:rPr>
      </w:pPr>
      <w:r>
        <w:rPr>
          <w:rFonts w:hint="eastAsia" w:ascii="仿宋" w:hAnsi="仿宋" w:eastAsia="仿宋" w:cs="仿宋_GB2312"/>
          <w:bCs/>
          <w:sz w:val="32"/>
          <w:szCs w:val="32"/>
        </w:rPr>
        <w:t>机构情况，单位性质为事业 ，执行会计制度为事业会计制度。独立编制机构1个，其中：独立编制机构与上年相比无变动。</w:t>
      </w:r>
    </w:p>
    <w:p>
      <w:pPr>
        <w:widowControl/>
        <w:shd w:val="clear" w:color="auto" w:fill="FFFFFF"/>
        <w:spacing w:line="560" w:lineRule="exact"/>
        <w:ind w:firstLine="800" w:firstLineChars="250"/>
        <w:rPr>
          <w:rFonts w:ascii="仿宋" w:hAnsi="仿宋" w:eastAsia="仿宋" w:cs="仿宋_GB2312"/>
          <w:kern w:val="0"/>
          <w:sz w:val="32"/>
          <w:szCs w:val="32"/>
        </w:rPr>
      </w:pPr>
      <w:r>
        <w:rPr>
          <w:rFonts w:hint="eastAsia" w:ascii="仿宋" w:hAnsi="仿宋" w:eastAsia="仿宋" w:cs="仿宋_GB2312"/>
          <w:bCs/>
          <w:sz w:val="32"/>
          <w:szCs w:val="32"/>
        </w:rPr>
        <w:t>人员情况，其中全额事业编制15人，自收自支事业编制人员11人。截止2017年12月，我单位实有全额事业在职14人，退休人员7人，实有自收自支事业在职人员5人，自收自支退休人员5人</w:t>
      </w:r>
      <w:r>
        <w:rPr>
          <w:rFonts w:hint="eastAsia" w:ascii="仿宋" w:hAnsi="仿宋" w:eastAsia="仿宋" w:cs="仿宋_GB2312"/>
          <w:sz w:val="32"/>
          <w:szCs w:val="32"/>
        </w:rPr>
        <w:t>。</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1、预期目标及阶段性目标</w:t>
      </w:r>
    </w:p>
    <w:p>
      <w:pPr>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为了更好单位对12县市电影更好的播放。</w:t>
      </w:r>
    </w:p>
    <w:p>
      <w:pPr>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2、项目基本性质</w:t>
      </w:r>
    </w:p>
    <w:p>
      <w:pPr>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本项目为延续性项目。</w:t>
      </w:r>
    </w:p>
    <w:p>
      <w:pPr>
        <w:numPr>
          <w:ilvl w:val="0"/>
          <w:numId w:val="1"/>
        </w:numPr>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项目用途、范围以及主要内容</w:t>
      </w:r>
    </w:p>
    <w:p>
      <w:pPr>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保证5名自收自支的人员工资、社会保障缴费；每月工资额及费用4.5万元；发放期数12个月；每月自收自支人员社会保障缴费5人.其他全年总共需要78.13万元，</w:t>
      </w:r>
      <w:r>
        <w:rPr>
          <w:rStyle w:val="18"/>
          <w:rFonts w:hint="eastAsia" w:ascii="仿宋" w:hAnsi="仿宋" w:eastAsia="仿宋"/>
          <w:b w:val="0"/>
          <w:spacing w:val="-4"/>
          <w:sz w:val="32"/>
          <w:szCs w:val="32"/>
          <w:lang w:eastAsia="zh-CN"/>
        </w:rPr>
        <w:t>保障</w:t>
      </w:r>
      <w:r>
        <w:rPr>
          <w:rStyle w:val="18"/>
          <w:rFonts w:hint="eastAsia" w:ascii="仿宋" w:hAnsi="仿宋" w:eastAsia="仿宋"/>
          <w:b w:val="0"/>
          <w:spacing w:val="-4"/>
          <w:sz w:val="32"/>
          <w:szCs w:val="32"/>
        </w:rPr>
        <w:t>了民生生活和家庭，家庭教育生活得到改善。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761" w:firstLineChars="243"/>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财政资金安排计划78.13万元、其中，财政资金78.13万元，自筹资金0万元，2018年实际</w:t>
      </w:r>
      <w:r>
        <w:rPr>
          <w:rStyle w:val="18"/>
          <w:rFonts w:hint="eastAsia" w:ascii="仿宋" w:hAnsi="仿宋" w:eastAsia="仿宋"/>
          <w:b w:val="0"/>
          <w:spacing w:val="-4"/>
          <w:sz w:val="32"/>
          <w:szCs w:val="32"/>
          <w:lang w:val="en-US" w:eastAsia="zh-CN"/>
        </w:rPr>
        <w:t>收到项目资金78.13万元，资金到位率为100%</w:t>
      </w:r>
      <w:r>
        <w:rPr>
          <w:rStyle w:val="18"/>
          <w:rFonts w:hint="eastAsia" w:ascii="仿宋" w:hAnsi="仿宋" w:eastAsia="仿宋"/>
          <w:b w:val="0"/>
          <w:spacing w:val="-4"/>
          <w:sz w:val="32"/>
          <w:szCs w:val="32"/>
        </w:rPr>
        <w:t>。</w:t>
      </w:r>
    </w:p>
    <w:p>
      <w:pPr>
        <w:spacing w:line="540" w:lineRule="exact"/>
        <w:ind w:firstLine="761" w:firstLineChars="243"/>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项目实际拨付使用63.03元，预算执行率80.67%，项目资金主要用于5名自收自支人员工资，其余结余资金是绩效考核奖、年终奖、精神文明奖、综治奖等，年底尚未发放。</w:t>
      </w:r>
    </w:p>
    <w:p>
      <w:pPr>
        <w:spacing w:line="540" w:lineRule="exact"/>
        <w:ind w:firstLine="761" w:firstLineChars="243"/>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该项目资金管理制度较完善，每月按时申报核算报财政审核、审批，每月足额保证人员工资，社保，执行力度大，达到100%。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761" w:firstLineChars="243"/>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此项目不属于招投标项目，不存在验收，每月由教科文科亲自把关审批、审核、国库核拨。</w:t>
      </w:r>
    </w:p>
    <w:p>
      <w:pPr>
        <w:spacing w:line="540" w:lineRule="exact"/>
        <w:ind w:firstLine="761" w:firstLineChars="243"/>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该项目实施过程中，管理制度建设较完善，日常检查监督管理到位，每月报批教科文科审核。</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761" w:firstLineChars="243"/>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本项目共设置一级指标3个，二级指标9个，三级指标12个，其中已完成三级指标9个，指标完成率80.67%。</w:t>
      </w:r>
    </w:p>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经济性：项目成本控制和节约严格按照实际每月需要资金审批划拨。</w:t>
      </w:r>
    </w:p>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效率性：通过对比分析项目的实施进度和完成质量较好。</w:t>
      </w:r>
    </w:p>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效益性：项目实施后对社会影响起积极作用。</w:t>
      </w:r>
    </w:p>
    <w:p>
      <w:pPr>
        <w:spacing w:line="540" w:lineRule="exact"/>
        <w:ind w:firstLine="761" w:firstLineChars="243"/>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存在未完成情况：</w:t>
      </w:r>
      <w:r>
        <w:rPr>
          <w:rFonts w:hint="eastAsia" w:ascii="仿宋" w:eastAsia="仿宋"/>
          <w:bCs/>
          <w:sz w:val="32"/>
          <w:szCs w:val="32"/>
        </w:rPr>
        <w:t>其余结余资金15.1万元是绩效考核奖、年终奖、精神文明奖、综治奖等，年底尚未发放。</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758" w:firstLineChars="242"/>
        <w:rPr>
          <w:rFonts w:ascii="楷体" w:hAnsi="楷体" w:eastAsia="楷体"/>
          <w:b/>
          <w:spacing w:val="-4"/>
          <w:sz w:val="44"/>
          <w:szCs w:val="44"/>
        </w:rPr>
      </w:pPr>
      <w:r>
        <w:rPr>
          <w:rFonts w:hint="eastAsia" w:ascii="楷体" w:hAnsi="楷体" w:eastAsia="楷体"/>
          <w:b/>
          <w:spacing w:val="-4"/>
          <w:sz w:val="32"/>
          <w:szCs w:val="32"/>
        </w:rPr>
        <w:t>（一）后续工作计划</w:t>
      </w:r>
    </w:p>
    <w:p>
      <w:pPr>
        <w:spacing w:line="540" w:lineRule="exact"/>
        <w:ind w:firstLine="755" w:firstLineChars="242"/>
        <w:rPr>
          <w:rFonts w:ascii="仿宋_GB2312" w:eastAsia="仿宋_GB2312"/>
          <w:spacing w:val="-4"/>
          <w:sz w:val="32"/>
          <w:szCs w:val="32"/>
        </w:rPr>
      </w:pPr>
      <w:r>
        <w:rPr>
          <w:rFonts w:hint="eastAsia" w:ascii="仿宋_GB2312" w:eastAsia="仿宋_GB2312"/>
          <w:spacing w:val="-4"/>
          <w:sz w:val="32"/>
          <w:szCs w:val="32"/>
        </w:rPr>
        <w:t>每年都要保证5个人民生问题。待2019年退休2人后，还有三个工人都是男人，50多岁，地区是否考虑退休可以减轻财政压力。</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1、主要经验及做法:</w:t>
      </w:r>
    </w:p>
    <w:p>
      <w:p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项目资金没下达之前应提前预拨。</w:t>
      </w:r>
    </w:p>
    <w:p>
      <w:pPr>
        <w:numPr>
          <w:ilvl w:val="0"/>
          <w:numId w:val="2"/>
        </w:num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存在的问题：</w:t>
      </w:r>
    </w:p>
    <w:p>
      <w:p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项目资金安排有些滞后。</w:t>
      </w:r>
    </w:p>
    <w:p>
      <w:pPr>
        <w:numPr>
          <w:ilvl w:val="0"/>
          <w:numId w:val="2"/>
        </w:num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建议：</w:t>
      </w:r>
    </w:p>
    <w:p>
      <w:p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就是1月到5月期间项目资金没通过之前，自收自支人员人心浮动，不安定，望财政是否考虑能像以前一样预拨工资，或考虑单位特殊情况提前下达指标。</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（三）其他</w:t>
      </w:r>
    </w:p>
    <w:p>
      <w:p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本次评价通过文件研读、实地调研、数据分析等方式全面了解</w:t>
      </w:r>
      <w:r>
        <w:rPr>
          <w:rFonts w:hint="eastAsia" w:ascii="仿宋_GB2312" w:hAnsi="仿宋_GB2312" w:eastAsia="仿宋_GB2312" w:cs="仿宋_GB2312"/>
          <w:kern w:val="0"/>
          <w:sz w:val="32"/>
          <w:szCs w:val="32"/>
        </w:rPr>
        <w:t>自收自支人员工资经费项目资金使用的效率和效果</w:t>
      </w:r>
      <w:r>
        <w:rPr>
          <w:rFonts w:hint="eastAsia" w:ascii="华文中宋" w:hAnsi="华文中宋" w:eastAsia="华文中宋" w:cs="华文中宋"/>
          <w:kern w:val="0"/>
          <w:sz w:val="32"/>
          <w:szCs w:val="32"/>
        </w:rPr>
        <w:t>，</w:t>
      </w:r>
      <w:r>
        <w:rPr>
          <w:rFonts w:hint="eastAsia" w:ascii="仿宋_GB2312" w:hAnsi="仿宋_GB2312" w:eastAsia="仿宋_GB2312" w:cs="仿宋_GB2312"/>
          <w:kern w:val="0"/>
          <w:sz w:val="32"/>
          <w:szCs w:val="32"/>
        </w:rPr>
        <w:t>通过</w:t>
      </w:r>
      <w:r>
        <w:rPr>
          <w:rFonts w:hint="eastAsia" w:ascii="仿宋_GB2312" w:hAnsi="仿宋_GB2312" w:eastAsia="仿宋_GB2312" w:cs="仿宋_GB2312"/>
          <w:spacing w:val="-4"/>
          <w:sz w:val="32"/>
          <w:szCs w:val="32"/>
        </w:rPr>
        <w:t>数据收集、资料来源和依据等佐证材料情况，项目现场勘</w:t>
      </w:r>
      <w:r>
        <w:rPr>
          <w:rFonts w:hint="eastAsia" w:ascii="仿宋_GB2312" w:eastAsia="仿宋_GB2312"/>
          <w:spacing w:val="-4"/>
          <w:sz w:val="32"/>
          <w:szCs w:val="32"/>
        </w:rPr>
        <w:t>验检查核实等情况开展自我评价总结经验和教训为喀什地区自收自支人员经费项目今后的开展提供参考意见。</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《项目支出绩效目标自评表》</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12"/>
                </w:pP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56367D"/>
    <w:multiLevelType w:val="singleLevel"/>
    <w:tmpl w:val="CF56367D"/>
    <w:lvl w:ilvl="0" w:tentative="0">
      <w:start w:val="2"/>
      <w:numFmt w:val="decimal"/>
      <w:suff w:val="nothing"/>
      <w:lvlText w:val="%1、"/>
      <w:lvlJc w:val="left"/>
    </w:lvl>
  </w:abstractNum>
  <w:abstractNum w:abstractNumId="1">
    <w:nsid w:val="F774BACE"/>
    <w:multiLevelType w:val="singleLevel"/>
    <w:tmpl w:val="F774BACE"/>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ZmMWE5YTAyMzYyYmU2MTFjN2VhMzM0MjBiY2I4OTQifQ=="/>
  </w:docVars>
  <w:rsids>
    <w:rsidRoot w:val="00743A3F"/>
    <w:rsid w:val="00071A69"/>
    <w:rsid w:val="002910A6"/>
    <w:rsid w:val="00332A7D"/>
    <w:rsid w:val="00500457"/>
    <w:rsid w:val="00743A3F"/>
    <w:rsid w:val="00B949BC"/>
    <w:rsid w:val="00C16320"/>
    <w:rsid w:val="00D74B33"/>
    <w:rsid w:val="00EB20DD"/>
    <w:rsid w:val="01540AB4"/>
    <w:rsid w:val="06996ADA"/>
    <w:rsid w:val="13D43D8A"/>
    <w:rsid w:val="17152233"/>
    <w:rsid w:val="1D4E1968"/>
    <w:rsid w:val="26731F90"/>
    <w:rsid w:val="276653C1"/>
    <w:rsid w:val="29427485"/>
    <w:rsid w:val="2BEB4C23"/>
    <w:rsid w:val="35F5332F"/>
    <w:rsid w:val="368A3BF0"/>
    <w:rsid w:val="37A15DF9"/>
    <w:rsid w:val="3E0707E3"/>
    <w:rsid w:val="3EF25A05"/>
    <w:rsid w:val="439E5655"/>
    <w:rsid w:val="46F835EF"/>
    <w:rsid w:val="46FA5C08"/>
    <w:rsid w:val="4ED17248"/>
    <w:rsid w:val="4F1D2767"/>
    <w:rsid w:val="5E6E4195"/>
    <w:rsid w:val="5FD12016"/>
    <w:rsid w:val="63BE0EBA"/>
    <w:rsid w:val="63E7707E"/>
    <w:rsid w:val="650664FB"/>
    <w:rsid w:val="672738C6"/>
    <w:rsid w:val="6A87555A"/>
    <w:rsid w:val="6E3D74AC"/>
    <w:rsid w:val="6FC81932"/>
    <w:rsid w:val="7D634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
    <w:pPr>
      <w:widowControl/>
      <w:spacing w:before="240" w:after="60"/>
      <w:jc w:val="left"/>
      <w:outlineLvl w:val="8"/>
    </w:pPr>
    <w:rPr>
      <w:rFonts w:ascii="Cambria" w:hAnsi="Cambr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qFormat/>
    <w:uiPriority w:val="0"/>
    <w:rPr>
      <w:sz w:val="18"/>
      <w:szCs w:val="18"/>
    </w:rPr>
  </w:style>
  <w:style w:type="paragraph" w:styleId="12">
    <w:name w:val="footer"/>
    <w:basedOn w:val="1"/>
    <w:link w:val="44"/>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Cambria" w:hAnsi="Cambria"/>
      <w:kern w:val="0"/>
      <w:sz w:val="24"/>
    </w:rPr>
  </w:style>
  <w:style w:type="paragraph" w:styleId="15">
    <w:name w:val="Title"/>
    <w:basedOn w:val="1"/>
    <w:next w:val="1"/>
    <w:link w:val="29"/>
    <w:qFormat/>
    <w:uiPriority w:val="10"/>
    <w:pPr>
      <w:widowControl/>
      <w:spacing w:before="240" w:after="60"/>
      <w:jc w:val="center"/>
      <w:outlineLvl w:val="0"/>
    </w:pPr>
    <w:rPr>
      <w:rFonts w:ascii="Cambria" w:hAnsi="Cambr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Calibri" w:hAnsi="Calibri"/>
      <w:b/>
      <w:i/>
      <w:iCs/>
    </w:rPr>
  </w:style>
  <w:style w:type="character" w:customStyle="1" w:styleId="20">
    <w:name w:val="标题 1 字符"/>
    <w:basedOn w:val="17"/>
    <w:link w:val="2"/>
    <w:qFormat/>
    <w:uiPriority w:val="9"/>
    <w:rPr>
      <w:rFonts w:ascii="Cambria" w:hAnsi="Cambria" w:eastAsia="宋体"/>
      <w:b/>
      <w:bCs/>
      <w:kern w:val="32"/>
      <w:sz w:val="32"/>
      <w:szCs w:val="32"/>
    </w:rPr>
  </w:style>
  <w:style w:type="character" w:customStyle="1" w:styleId="21">
    <w:name w:val="标题 2 字符"/>
    <w:basedOn w:val="17"/>
    <w:link w:val="3"/>
    <w:qFormat/>
    <w:uiPriority w:val="9"/>
    <w:rPr>
      <w:rFonts w:ascii="Cambria" w:hAnsi="Cambria" w:eastAsia="宋体"/>
      <w:b/>
      <w:bCs/>
      <w:i/>
      <w:iCs/>
      <w:sz w:val="28"/>
      <w:szCs w:val="28"/>
    </w:rPr>
  </w:style>
  <w:style w:type="character" w:customStyle="1" w:styleId="22">
    <w:name w:val="标题 3 字符"/>
    <w:basedOn w:val="17"/>
    <w:link w:val="4"/>
    <w:qFormat/>
    <w:uiPriority w:val="9"/>
    <w:rPr>
      <w:rFonts w:ascii="Cambria" w:hAnsi="Cambria" w:eastAsia="宋体"/>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qFormat/>
    <w:uiPriority w:val="9"/>
    <w:rPr>
      <w:b/>
      <w:bCs/>
      <w:i/>
      <w:iCs/>
      <w:sz w:val="26"/>
      <w:szCs w:val="26"/>
    </w:rPr>
  </w:style>
  <w:style w:type="character" w:customStyle="1" w:styleId="25">
    <w:name w:val="标题 6 字符"/>
    <w:basedOn w:val="17"/>
    <w:link w:val="7"/>
    <w:qFormat/>
    <w:uiPriority w:val="9"/>
    <w:rPr>
      <w:b/>
      <w:bCs/>
    </w:rPr>
  </w:style>
  <w:style w:type="character" w:customStyle="1" w:styleId="26">
    <w:name w:val="标题 7 字符"/>
    <w:basedOn w:val="17"/>
    <w:link w:val="8"/>
    <w:qFormat/>
    <w:uiPriority w:val="9"/>
    <w:rPr>
      <w:sz w:val="24"/>
      <w:szCs w:val="24"/>
    </w:rPr>
  </w:style>
  <w:style w:type="character" w:customStyle="1" w:styleId="27">
    <w:name w:val="标题 8 字符"/>
    <w:basedOn w:val="17"/>
    <w:link w:val="9"/>
    <w:qFormat/>
    <w:uiPriority w:val="9"/>
    <w:rPr>
      <w:i/>
      <w:iCs/>
      <w:sz w:val="24"/>
      <w:szCs w:val="24"/>
    </w:rPr>
  </w:style>
  <w:style w:type="character" w:customStyle="1" w:styleId="28">
    <w:name w:val="标题 9 字符"/>
    <w:basedOn w:val="17"/>
    <w:link w:val="10"/>
    <w:qFormat/>
    <w:uiPriority w:val="9"/>
    <w:rPr>
      <w:rFonts w:ascii="Cambria" w:hAnsi="Cambria" w:eastAsia="宋体"/>
    </w:rPr>
  </w:style>
  <w:style w:type="character" w:customStyle="1" w:styleId="29">
    <w:name w:val="标题 字符"/>
    <w:basedOn w:val="17"/>
    <w:link w:val="15"/>
    <w:qFormat/>
    <w:uiPriority w:val="10"/>
    <w:rPr>
      <w:rFonts w:ascii="Cambria" w:hAnsi="Cambria" w:eastAsia="宋体"/>
      <w:b/>
      <w:bCs/>
      <w:kern w:val="28"/>
      <w:sz w:val="32"/>
      <w:szCs w:val="32"/>
    </w:rPr>
  </w:style>
  <w:style w:type="character" w:customStyle="1" w:styleId="30">
    <w:name w:val="副标题 字符"/>
    <w:basedOn w:val="17"/>
    <w:link w:val="14"/>
    <w:qFormat/>
    <w:uiPriority w:val="11"/>
    <w:rPr>
      <w:rFonts w:ascii="Cambria" w:hAnsi="Cambria" w:eastAsia="宋体"/>
      <w:sz w:val="24"/>
      <w:szCs w:val="24"/>
    </w:rPr>
  </w:style>
  <w:style w:type="paragraph" w:styleId="31">
    <w:name w:val="No Spacing"/>
    <w:basedOn w:val="1"/>
    <w:qFormat/>
    <w:uiPriority w:val="1"/>
    <w:pPr>
      <w:widowControl/>
      <w:jc w:val="left"/>
    </w:pPr>
    <w:rPr>
      <w:rFonts w:ascii="Calibri" w:hAnsi="Calibri"/>
      <w:kern w:val="0"/>
      <w:sz w:val="24"/>
      <w:szCs w:val="32"/>
      <w:lang w:eastAsia="en-US" w:bidi="en-US"/>
    </w:rPr>
  </w:style>
  <w:style w:type="paragraph" w:styleId="32">
    <w:name w:val="List Paragraph"/>
    <w:basedOn w:val="1"/>
    <w:qFormat/>
    <w:uiPriority w:val="34"/>
    <w:pPr>
      <w:widowControl/>
      <w:ind w:left="720"/>
      <w:contextualSpacing/>
      <w:jc w:val="left"/>
    </w:pPr>
    <w:rPr>
      <w:rFonts w:ascii="Calibri" w:hAnsi="Calibri"/>
      <w:kern w:val="0"/>
      <w:sz w:val="24"/>
      <w:lang w:eastAsia="en-US" w:bidi="en-US"/>
    </w:rPr>
  </w:style>
  <w:style w:type="paragraph" w:styleId="33">
    <w:name w:val="Quote"/>
    <w:basedOn w:val="1"/>
    <w:next w:val="1"/>
    <w:link w:val="34"/>
    <w:qFormat/>
    <w:uiPriority w:val="29"/>
    <w:pPr>
      <w:widowControl/>
      <w:jc w:val="left"/>
    </w:pPr>
    <w:rPr>
      <w:rFonts w:ascii="Calibri" w:hAnsi="Calibri"/>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Calibri" w:hAnsi="Calibri"/>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A5A5A"/>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Cambria" w:hAnsi="Cambria" w:eastAsia="宋体"/>
      <w:b/>
      <w:i/>
      <w:sz w:val="24"/>
      <w:szCs w:val="24"/>
    </w:rPr>
  </w:style>
  <w:style w:type="paragraph" w:customStyle="1" w:styleId="42">
    <w:name w:val="TOC 标题1"/>
    <w:basedOn w:val="2"/>
    <w:next w:val="1"/>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1415</Words>
  <Characters>1482</Characters>
  <Lines>11</Lines>
  <Paragraphs>3</Paragraphs>
  <TotalTime>0</TotalTime>
  <ScaleCrop>false</ScaleCrop>
  <LinksUpToDate>false</LinksUpToDate>
  <CharactersWithSpaces>1501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混世大魔王</cp:lastModifiedBy>
  <cp:lastPrinted>2018-12-26T04:52:00Z</cp:lastPrinted>
  <dcterms:modified xsi:type="dcterms:W3CDTF">2023-06-25T02:53:57Z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05E1B6B804F247F3BB0D563DB7F85F35_12</vt:lpwstr>
  </property>
</Properties>
</file>