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新疆维吾尔自治区喀什地区体育局</w:t>
      </w:r>
      <w:r>
        <w:rPr>
          <w:rFonts w:ascii="方正小标宋简体" w:eastAsia="方正小标宋简体"/>
          <w:sz w:val="44"/>
          <w:szCs w:val="44"/>
        </w:rPr>
        <w:t>2019年参赛自治区青少年运动会</w:t>
      </w:r>
      <w:r>
        <w:rPr>
          <w:rFonts w:hint="eastAsia" w:ascii="方正小标宋简体" w:eastAsia="方正小标宋简体"/>
          <w:sz w:val="44"/>
          <w:szCs w:val="44"/>
        </w:rPr>
        <w:t>项目支出绩效  评价报告</w:t>
      </w: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项目名称：</w:t>
      </w:r>
      <w:r>
        <w:rPr>
          <w:rFonts w:ascii="仿宋_GB2312" w:hAnsi="仿宋" w:eastAsia="仿宋_GB2312" w:cs="Times New Roman"/>
          <w:spacing w:val="-2"/>
          <w:sz w:val="36"/>
          <w:szCs w:val="36"/>
        </w:rPr>
        <w:t>2019年参赛自治区青少年运动会项目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实施单位：新疆维吾尔自治区喀什地区体育局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评价部门：新疆维吾尔自治区喀什地区体育局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492" w:firstLineChars="7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二零二零年四月</w:t>
      </w:r>
    </w:p>
    <w:p>
      <w:pPr>
        <w:spacing w:beforeLines="50" w:line="0" w:lineRule="atLeast"/>
        <w:jc w:val="left"/>
        <w:rPr>
          <w:sz w:val="28"/>
          <w:szCs w:val="28"/>
        </w:rPr>
      </w:pPr>
    </w:p>
    <w:p>
      <w:pPr>
        <w:spacing w:beforeLines="50" w:afterLines="50" w:line="600" w:lineRule="exact"/>
        <w:jc w:val="center"/>
        <w:rPr>
          <w:rFonts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</w:rPr>
      </w:pPr>
    </w:p>
    <w:p>
      <w:pPr>
        <w:spacing w:beforeLines="50" w:afterLines="50" w:line="600" w:lineRule="exact"/>
        <w:jc w:val="center"/>
        <w:rPr>
          <w:rFonts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</w:rPr>
      </w:pPr>
    </w:p>
    <w:p>
      <w:pPr>
        <w:spacing w:beforeLines="50" w:afterLines="50" w:line="600" w:lineRule="exact"/>
        <w:jc w:val="center"/>
        <w:rPr>
          <w:rFonts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</w:rPr>
      </w:pPr>
    </w:p>
    <w:p>
      <w:pPr>
        <w:pStyle w:val="22"/>
        <w:numPr>
          <w:ilvl w:val="0"/>
          <w:numId w:val="2"/>
        </w:numPr>
        <w:ind w:firstLineChars="0"/>
      </w:pPr>
      <w:r>
        <w:rPr>
          <w:rFonts w:hint="eastAsia"/>
        </w:rPr>
        <w:t>基本情况</w:t>
      </w:r>
    </w:p>
    <w:p>
      <w:pPr>
        <w:pStyle w:val="24"/>
        <w:ind w:left="0" w:firstLine="643" w:firstLineChars="200"/>
      </w:pPr>
      <w:bookmarkStart w:id="0" w:name="_Toc26401549"/>
      <w:r>
        <w:rPr>
          <w:rFonts w:hint="eastAsia"/>
        </w:rPr>
        <w:t>项目概况</w:t>
      </w:r>
      <w:bookmarkEnd w:id="0"/>
    </w:p>
    <w:p>
      <w:pPr>
        <w:pStyle w:val="18"/>
        <w:numPr>
          <w:ilvl w:val="0"/>
          <w:numId w:val="3"/>
        </w:numPr>
        <w:spacing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项目背景及立项依据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根据喀地财预算《2019》0001（号），安排</w:t>
      </w:r>
      <w:r>
        <w:rPr>
          <w:rFonts w:ascii="仿宋" w:hAnsi="仿宋" w:eastAsia="仿宋"/>
          <w:sz w:val="32"/>
          <w:szCs w:val="32"/>
        </w:rPr>
        <w:t>2019年参赛自治区青少年运动会项目</w:t>
      </w:r>
      <w:r>
        <w:rPr>
          <w:rFonts w:hint="eastAsia" w:ascii="仿宋" w:hAnsi="仿宋" w:eastAsia="仿宋"/>
          <w:bCs/>
          <w:sz w:val="32"/>
          <w:szCs w:val="32"/>
        </w:rPr>
        <w:t>资金600万元，其中：</w:t>
      </w:r>
      <w:r>
        <w:rPr>
          <w:rFonts w:ascii="仿宋" w:hAnsi="仿宋" w:eastAsia="仿宋"/>
          <w:sz w:val="32"/>
          <w:szCs w:val="32"/>
        </w:rPr>
        <w:t>2019年参赛自治区青少年运动会项目</w:t>
      </w:r>
      <w:r>
        <w:rPr>
          <w:rFonts w:hint="eastAsia" w:ascii="仿宋" w:hAnsi="仿宋" w:eastAsia="仿宋"/>
          <w:bCs/>
          <w:sz w:val="32"/>
          <w:szCs w:val="32"/>
        </w:rPr>
        <w:t>资金600万元。旨在挖掘培养优秀体育运动员，选拔优秀体育后备人才，为自治区乃至国家输送优秀运动员，推动竞技体育事业持续健康的发展。</w:t>
      </w:r>
    </w:p>
    <w:p>
      <w:pPr>
        <w:spacing w:beforeLines="50" w:line="600" w:lineRule="exact"/>
        <w:ind w:left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2.项目主要内容及实施情况</w:t>
      </w:r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项目实施前进行认真细致的充分调研，制定了《喀什地区体局2019年青少年运动会比赛》实施方案，项目实施过程中严格按照实施方案进行实施并及时进行监督管理，项目实施后是否进行及时验收及后期维护。</w:t>
      </w:r>
    </w:p>
    <w:p>
      <w:pPr>
        <w:tabs>
          <w:tab w:val="left" w:pos="7770"/>
        </w:tabs>
        <w:spacing w:beforeLines="50" w:line="600" w:lineRule="exact"/>
        <w:ind w:firstLine="646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3.项目负责人为喀什地区体育局群体科科长闫礼芳，主要职责为</w:t>
      </w:r>
      <w:r>
        <w:rPr>
          <w:rFonts w:hint="eastAsia" w:ascii="仿宋_GB2312" w:hAnsi="Calibri"/>
          <w:bCs/>
          <w:sz w:val="32"/>
          <w:szCs w:val="32"/>
        </w:rPr>
        <w:t>：</w:t>
      </w:r>
      <w:r>
        <w:rPr>
          <w:rFonts w:hint="eastAsia" w:ascii="仿宋" w:hAnsi="仿宋" w:eastAsia="仿宋"/>
          <w:bCs/>
          <w:sz w:val="32"/>
          <w:szCs w:val="32"/>
        </w:rPr>
        <w:t>（1）贯彻和执行党和国家有关法律、法规、政策和标准; （2）组织和制定项目的总体规划; （3）按照自治区要求制定参赛计划; （4）全民负责项目质量的监督和检查;（5）负责提供项目资金使用方案报分管领导审批。</w:t>
      </w:r>
    </w:p>
    <w:p>
      <w:pPr>
        <w:pStyle w:val="24"/>
        <w:numPr>
          <w:ilvl w:val="0"/>
          <w:numId w:val="0"/>
        </w:numPr>
        <w:ind w:firstLine="643" w:firstLineChars="200"/>
      </w:pPr>
      <w:r>
        <w:rPr>
          <w:rFonts w:hint="eastAsia"/>
        </w:rPr>
        <w:t>（二）资金投入和使用情况</w:t>
      </w:r>
    </w:p>
    <w:p>
      <w:pPr>
        <w:spacing w:line="60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根据地财预算《2019》0001号文件要求，本项目资金600万元，其中财政资金600万元，其他资金0万元，资金到位600万元；资金到位率100%。</w:t>
      </w:r>
    </w:p>
    <w:p>
      <w:pPr>
        <w:spacing w:line="600" w:lineRule="exact"/>
        <w:ind w:firstLine="640" w:firstLineChars="200"/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/>
          <w:bCs/>
          <w:sz w:val="32"/>
          <w:szCs w:val="32"/>
        </w:rPr>
        <w:t>根据地财预算《2019》0001号文件关于安排</w:t>
      </w:r>
      <w:r>
        <w:rPr>
          <w:rFonts w:ascii="仿宋" w:hAnsi="仿宋" w:eastAsia="仿宋"/>
          <w:sz w:val="32"/>
          <w:szCs w:val="32"/>
        </w:rPr>
        <w:t>2019年参赛自治区青少年运动会项目</w:t>
      </w:r>
      <w:r>
        <w:rPr>
          <w:rFonts w:hint="eastAsia" w:ascii="仿宋" w:hAnsi="仿宋" w:eastAsia="仿宋"/>
          <w:bCs/>
          <w:sz w:val="32"/>
          <w:szCs w:val="32"/>
        </w:rPr>
        <w:t>资金，本项目总资金600万元，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实际支付资金181.18万元，预算执行率30.20</w:t>
      </w:r>
      <w:r>
        <w:rPr>
          <w:rFonts w:ascii="仿宋" w:hAnsi="仿宋" w:eastAsia="仿宋"/>
          <w:bCs/>
          <w:color w:val="000000" w:themeColor="text1"/>
          <w:spacing w:val="-4"/>
          <w:sz w:val="32"/>
          <w:szCs w:val="32"/>
        </w:rPr>
        <w:t>%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。项目资金主要用于支付运动员集训伙食费82.52 万元、教练员及运动员差旅费70.41 万元、运动员服装及其他体育专用材料购置费 20.82万元、运动员保险费7.43 万元。结余416.76万元，结余的资金全部上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lang w:eastAsia="zh-CN"/>
        </w:rPr>
        <w:t>缴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财政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lang w:eastAsia="zh-CN"/>
        </w:rPr>
        <w:t>。</w:t>
      </w:r>
      <w:bookmarkStart w:id="7" w:name="_GoBack"/>
      <w:bookmarkEnd w:id="7"/>
    </w:p>
    <w:p>
      <w:pPr>
        <w:spacing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本项目总投资600万元，资金来源为地方财政项目资金600万元。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2019年参赛自治区青少年运动会项目</w:t>
      </w:r>
      <w:r>
        <w:rPr>
          <w:rFonts w:hint="eastAsia" w:ascii="仿宋_GB2312" w:hAnsi="仿宋" w:eastAsia="仿宋_GB2312" w:cs="宋体"/>
          <w:sz w:val="32"/>
          <w:szCs w:val="32"/>
        </w:rPr>
        <w:t>资金的使用范围：根据喀什地区体育局《</w:t>
      </w:r>
      <w:r>
        <w:rPr>
          <w:rFonts w:hint="eastAsia" w:ascii="仿宋" w:hAnsi="仿宋" w:eastAsia="仿宋"/>
          <w:sz w:val="32"/>
          <w:szCs w:val="32"/>
        </w:rPr>
        <w:t>地区体育局项目资金管理办法</w:t>
      </w:r>
      <w:r>
        <w:rPr>
          <w:rFonts w:hint="eastAsia" w:ascii="仿宋_GB2312" w:hAnsi="仿宋" w:eastAsia="仿宋_GB2312" w:cs="宋体"/>
          <w:sz w:val="32"/>
          <w:szCs w:val="32"/>
        </w:rPr>
        <w:t>》规定</w:t>
      </w:r>
      <w:r>
        <w:rPr>
          <w:rFonts w:hint="eastAsia" w:ascii="仿宋" w:hAnsi="仿宋" w:eastAsia="仿宋"/>
          <w:sz w:val="32"/>
          <w:szCs w:val="32"/>
        </w:rPr>
        <w:t>资金用于运动员集训伙食费补助、参赛运动员及教练员差旅费补助、参赛运动员及教练员参赛服装购置及训练体育专用器材购置、参赛运动员注册保险等其他费用。项目资金不得用于支付各种罚款、捐款、赞助、投资等支出，不得用于编制内在职人员和离退休人员工资及津补贴、基本建设、大型维修改造等支出，不得用于偿还债务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ascii="仿宋_GB2312" w:hAnsi="仿宋" w:eastAsia="仿宋_GB2312" w:cs="宋体"/>
          <w:sz w:val="32"/>
          <w:szCs w:val="32"/>
        </w:rPr>
        <w:t>喀什地区体育局</w:t>
      </w:r>
      <w:r>
        <w:rPr>
          <w:rFonts w:hint="eastAsia" w:ascii="仿宋_GB2312" w:hAnsi="仿宋" w:eastAsia="仿宋_GB2312" w:cs="宋体"/>
          <w:sz w:val="32"/>
          <w:szCs w:val="32"/>
        </w:rPr>
        <w:t>制定了《喀什地区体育局项目资金管理办法》，《按照喀什地区体育局项目资金管理办法》对项目资金进行监督管理和使用</w:t>
      </w:r>
      <w:bookmarkStart w:id="1" w:name="_Toc26401551"/>
    </w:p>
    <w:p>
      <w:pPr>
        <w:adjustRightInd w:val="0"/>
        <w:snapToGrid w:val="0"/>
        <w:spacing w:line="360" w:lineRule="auto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(三)绩效目标</w:t>
      </w:r>
      <w:bookmarkEnd w:id="1"/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总体目标为：</w:t>
      </w:r>
      <w:r>
        <w:rPr>
          <w:rFonts w:hint="eastAsia" w:ascii="仿宋" w:hAnsi="仿宋" w:eastAsia="仿宋"/>
          <w:bCs/>
          <w:sz w:val="32"/>
          <w:szCs w:val="32"/>
        </w:rPr>
        <w:t>参赛自治区举办</w:t>
      </w:r>
      <w:r>
        <w:rPr>
          <w:rFonts w:ascii="仿宋" w:hAnsi="仿宋" w:eastAsia="仿宋"/>
          <w:bCs/>
          <w:sz w:val="32"/>
          <w:szCs w:val="32"/>
        </w:rPr>
        <w:t>2019年青少年年度比赛，为喀什地区争光。自治区年度比赛共设19个大项，我区拟参加有16个项目，共计</w:t>
      </w:r>
      <w:r>
        <w:rPr>
          <w:rFonts w:hint="eastAsia" w:ascii="仿宋" w:hAnsi="仿宋" w:eastAsia="仿宋"/>
          <w:bCs/>
          <w:sz w:val="32"/>
          <w:szCs w:val="32"/>
        </w:rPr>
        <w:t>600万</w:t>
      </w:r>
      <w:r>
        <w:rPr>
          <w:rFonts w:ascii="仿宋" w:hAnsi="仿宋" w:eastAsia="仿宋"/>
          <w:bCs/>
          <w:sz w:val="32"/>
          <w:szCs w:val="32"/>
        </w:rPr>
        <w:t>元。选拔和培养优秀体育后备人才，为喀什地区争光</w:t>
      </w:r>
      <w:r>
        <w:rPr>
          <w:rFonts w:hint="eastAsia" w:ascii="仿宋" w:hAnsi="仿宋" w:eastAsia="仿宋"/>
          <w:bCs/>
          <w:sz w:val="32"/>
          <w:szCs w:val="32"/>
        </w:rPr>
        <w:t>。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color w:val="FF0000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项目共设置</w:t>
      </w:r>
      <w:r>
        <w:rPr>
          <w:rFonts w:ascii="仿宋_GB2312" w:hAnsi="仿宋" w:eastAsia="仿宋_GB2312" w:cs="宋体"/>
          <w:sz w:val="32"/>
          <w:szCs w:val="32"/>
        </w:rPr>
        <w:t>1</w:t>
      </w:r>
      <w:r>
        <w:rPr>
          <w:rFonts w:hint="eastAsia" w:ascii="仿宋_GB2312" w:hAnsi="仿宋" w:eastAsia="仿宋_GB2312" w:cs="宋体"/>
          <w:sz w:val="32"/>
          <w:szCs w:val="32"/>
        </w:rPr>
        <w:t>级指标3个，二级指标7个，三级指标7个，绩效目标申报表详见附件1。</w:t>
      </w:r>
    </w:p>
    <w:p>
      <w:pPr>
        <w:pStyle w:val="22"/>
        <w:numPr>
          <w:ilvl w:val="0"/>
          <w:numId w:val="2"/>
        </w:numPr>
        <w:ind w:firstLineChars="0"/>
      </w:pPr>
      <w:bookmarkStart w:id="2" w:name="_Toc26401552"/>
      <w:r>
        <w:rPr>
          <w:rFonts w:hint="eastAsia"/>
        </w:rPr>
        <w:t>评价工作简述</w:t>
      </w:r>
      <w:bookmarkEnd w:id="2"/>
    </w:p>
    <w:p>
      <w:pPr>
        <w:pStyle w:val="24"/>
        <w:numPr>
          <w:ilvl w:val="0"/>
          <w:numId w:val="4"/>
        </w:numPr>
        <w:ind w:left="0" w:firstLine="643" w:firstLineChars="200"/>
      </w:pPr>
      <w:bookmarkStart w:id="3" w:name="_Toc26401553"/>
      <w:r>
        <w:rPr>
          <w:rFonts w:hint="eastAsia"/>
        </w:rPr>
        <w:t>评价目的</w:t>
      </w:r>
      <w:bookmarkEnd w:id="3"/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color w:val="FF0000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本次绩效评价遵循财政部《项目</w:t>
      </w:r>
      <w:r>
        <w:rPr>
          <w:rFonts w:ascii="仿宋_GB2312" w:hAnsi="仿宋" w:eastAsia="仿宋_GB2312" w:cs="宋体"/>
          <w:sz w:val="32"/>
          <w:szCs w:val="32"/>
        </w:rPr>
        <w:t>支出绩效评价管理办法》（财预〔2020〕10号）和自治区财政厅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《自治区财政支出绩效评价管理暂行办法》（新财预〔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2018〕189号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）</w:t>
      </w:r>
      <w:r>
        <w:rPr>
          <w:rFonts w:ascii="仿宋_GB2312" w:hAnsi="仿宋" w:eastAsia="仿宋_GB2312" w:cs="宋体"/>
          <w:sz w:val="32"/>
          <w:szCs w:val="32"/>
        </w:rPr>
        <w:t>等相关政策文件与规定，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旨在评价</w:t>
      </w:r>
      <w:r>
        <w:rPr>
          <w:rFonts w:ascii="仿宋" w:hAnsi="仿宋" w:eastAsia="仿宋"/>
          <w:sz w:val="32"/>
          <w:szCs w:val="32"/>
        </w:rPr>
        <w:t>2019年参赛自治区青少年运动会项目</w:t>
      </w:r>
      <w:r>
        <w:rPr>
          <w:rFonts w:hint="eastAsia" w:ascii="仿宋_GB2312" w:hAnsi="仿宋" w:eastAsia="仿宋_GB2312" w:cs="宋体"/>
          <w:sz w:val="32"/>
          <w:szCs w:val="32"/>
        </w:rPr>
        <w:t>实施前期、过程及效果，评价财政预算资金使用的效率及效益。</w:t>
      </w:r>
    </w:p>
    <w:p>
      <w:pPr>
        <w:pStyle w:val="24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本次绩效评价的对象及范围</w:t>
      </w:r>
      <w:bookmarkStart w:id="4" w:name="_Toc26401554"/>
    </w:p>
    <w:p>
      <w:pPr>
        <w:autoSpaceDE w:val="0"/>
        <w:autoSpaceDN w:val="0"/>
        <w:spacing w:line="540" w:lineRule="exact"/>
        <w:ind w:firstLine="640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ascii="仿宋_GB2312" w:hAnsi="仿宋" w:eastAsia="仿宋_GB2312" w:cs="宋体"/>
          <w:sz w:val="32"/>
          <w:szCs w:val="32"/>
        </w:rPr>
        <w:t>本次评价对象为</w:t>
      </w:r>
      <w:r>
        <w:rPr>
          <w:rFonts w:ascii="仿宋" w:hAnsi="仿宋" w:eastAsia="仿宋"/>
          <w:sz w:val="32"/>
          <w:szCs w:val="32"/>
        </w:rPr>
        <w:t>2019年参赛自治区青少年运动会项目</w:t>
      </w:r>
      <w:r>
        <w:rPr>
          <w:rFonts w:ascii="仿宋_GB2312" w:hAnsi="仿宋" w:eastAsia="仿宋_GB2312" w:cs="宋体"/>
          <w:sz w:val="32"/>
          <w:szCs w:val="32"/>
        </w:rPr>
        <w:t>资金，评价范围包括专项资</w:t>
      </w:r>
      <w:r>
        <w:rPr>
          <w:rFonts w:hint="eastAsia" w:ascii="仿宋_GB2312" w:hAnsi="仿宋" w:eastAsia="仿宋_GB2312" w:cs="宋体"/>
          <w:sz w:val="32"/>
          <w:szCs w:val="32"/>
        </w:rPr>
        <w:t>金的安排、组织及使用效益。</w:t>
      </w:r>
    </w:p>
    <w:p>
      <w:pPr>
        <w:pStyle w:val="24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绩效评价原则</w:t>
      </w:r>
      <w:bookmarkEnd w:id="4"/>
    </w:p>
    <w:p>
      <w:pPr>
        <w:spacing w:beforeLines="50" w:line="360" w:lineRule="auto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本次绩效评价遵循的原则包括：</w:t>
      </w:r>
    </w:p>
    <w:p>
      <w:pPr>
        <w:pStyle w:val="24"/>
        <w:keepNext w:val="0"/>
        <w:keepLines w:val="0"/>
        <w:numPr>
          <w:ilvl w:val="1"/>
          <w:numId w:val="5"/>
        </w:numPr>
        <w:spacing w:before="50" w:line="360" w:lineRule="auto"/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科学公正。绩效评价应当运用科学合理的方法，按照规范的程序，对项目绩效进行客观、公正的反映。</w:t>
      </w:r>
    </w:p>
    <w:p>
      <w:pPr>
        <w:pStyle w:val="24"/>
        <w:keepNext w:val="0"/>
        <w:keepLines w:val="0"/>
        <w:numPr>
          <w:ilvl w:val="1"/>
          <w:numId w:val="5"/>
        </w:numPr>
        <w:spacing w:before="50" w:line="360" w:lineRule="auto"/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>
      <w:pPr>
        <w:pStyle w:val="24"/>
        <w:keepNext w:val="0"/>
        <w:keepLines w:val="0"/>
        <w:numPr>
          <w:ilvl w:val="1"/>
          <w:numId w:val="5"/>
        </w:numPr>
        <w:spacing w:before="50" w:line="360" w:lineRule="auto"/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激励约束。绩效评价结果应与预算安排、政策调整、改进管理实质性挂钩，体现奖优罚劣和激励相容导向，有效要安排、低效要压减、无效要问责。</w:t>
      </w:r>
    </w:p>
    <w:p>
      <w:pPr>
        <w:pStyle w:val="24"/>
        <w:keepNext w:val="0"/>
        <w:keepLines w:val="0"/>
        <w:numPr>
          <w:ilvl w:val="1"/>
          <w:numId w:val="5"/>
        </w:numPr>
        <w:spacing w:before="50" w:line="360" w:lineRule="auto"/>
        <w:ind w:left="0" w:firstLine="640" w:firstLineChars="200"/>
        <w:rPr>
          <w:b w:val="0"/>
        </w:rPr>
      </w:pPr>
      <w:r>
        <w:rPr>
          <w:rFonts w:hint="eastAsia" w:hAnsi="仿宋" w:cs="宋体"/>
          <w:b w:val="0"/>
        </w:rPr>
        <w:t>公开透明。绩效评价结果应依法依规公开，并自觉接受社会监督。</w:t>
      </w:r>
      <w:r>
        <w:rPr>
          <w:rFonts w:hint="eastAsia"/>
          <w:b w:val="0"/>
        </w:rPr>
        <w:t>绩效评价体系</w:t>
      </w:r>
    </w:p>
    <w:p>
      <w:pPr>
        <w:pStyle w:val="24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本项目绩效评价体系</w:t>
      </w:r>
    </w:p>
    <w:p>
      <w:pPr>
        <w:pStyle w:val="24"/>
        <w:numPr>
          <w:ilvl w:val="0"/>
          <w:numId w:val="0"/>
        </w:numPr>
        <w:ind w:firstLine="640" w:firstLineChars="200"/>
        <w:rPr>
          <w:b w:val="0"/>
        </w:rPr>
      </w:pPr>
      <w:r>
        <w:rPr>
          <w:rFonts w:hint="eastAsia"/>
          <w:b w:val="0"/>
        </w:rPr>
        <w:t>本项目绩效评价体系为根据财预</w:t>
      </w:r>
      <w:r>
        <w:rPr>
          <w:rFonts w:hint="eastAsia" w:ascii="仿宋" w:hAnsi="仿宋" w:eastAsia="仿宋"/>
          <w:b w:val="0"/>
        </w:rPr>
        <w:t>﹝</w:t>
      </w:r>
      <w:r>
        <w:rPr>
          <w:rFonts w:hint="eastAsia"/>
          <w:b w:val="0"/>
        </w:rPr>
        <w:t>2</w:t>
      </w:r>
      <w:r>
        <w:rPr>
          <w:b w:val="0"/>
        </w:rPr>
        <w:t>020</w:t>
      </w:r>
      <w:r>
        <w:rPr>
          <w:rFonts w:hint="eastAsia" w:ascii="仿宋" w:hAnsi="仿宋" w:eastAsia="仿宋"/>
          <w:b w:val="0"/>
        </w:rPr>
        <w:t>﹞</w:t>
      </w:r>
      <w:r>
        <w:rPr>
          <w:rFonts w:hint="eastAsia"/>
          <w:b w:val="0"/>
        </w:rPr>
        <w:t>1</w:t>
      </w:r>
      <w:r>
        <w:rPr>
          <w:b w:val="0"/>
        </w:rPr>
        <w:t>0</w:t>
      </w:r>
      <w:r>
        <w:rPr>
          <w:rFonts w:hint="eastAsia"/>
          <w:b w:val="0"/>
        </w:rPr>
        <w:t>号共性指标及个性化指标设置，详见附件4。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</w:pPr>
      <w:bookmarkStart w:id="5" w:name="_Toc26401555"/>
      <w:r>
        <w:rPr>
          <w:rFonts w:hint="eastAsia"/>
        </w:rPr>
        <w:t>绩效评价方法</w:t>
      </w:r>
      <w:bookmarkEnd w:id="5"/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本次绩效评价方法的选用简便有效的原则采用成本效益分析法、比较法、因素分析法、最低成本法、综合指数评价法、衡工量值法、回溯分析法、专家评议法、问卷调查法、综合分析法。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评价标准</w:t>
      </w:r>
    </w:p>
    <w:p>
      <w:pPr>
        <w:pStyle w:val="24"/>
        <w:keepNext w:val="0"/>
        <w:keepLines w:val="0"/>
        <w:numPr>
          <w:ilvl w:val="0"/>
          <w:numId w:val="0"/>
        </w:numPr>
        <w:rPr>
          <w:b w:val="0"/>
        </w:rPr>
      </w:pP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  <w:b w:val="0"/>
        </w:rPr>
        <w:t>项目评价标准采用</w:t>
      </w:r>
      <w:r>
        <w:rPr>
          <w:rFonts w:hint="eastAsia"/>
          <w:b w:val="0"/>
          <w:bCs w:val="0"/>
        </w:rPr>
        <w:t>计划标准、行业标准、历史标准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绩效评价工作过程</w:t>
      </w:r>
    </w:p>
    <w:p>
      <w:pPr>
        <w:pStyle w:val="24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本次评价成立了评价</w:t>
      </w:r>
      <w:r>
        <w:rPr>
          <w:rFonts w:hint="eastAsia"/>
          <w:b w:val="0"/>
          <w:bCs w:val="0"/>
          <w:lang w:eastAsia="zh-CN"/>
        </w:rPr>
        <w:t>小组</w:t>
      </w:r>
      <w:r>
        <w:rPr>
          <w:rFonts w:hint="eastAsia"/>
          <w:b w:val="0"/>
          <w:bCs w:val="0"/>
        </w:rPr>
        <w:t>，成员如下：</w:t>
      </w:r>
    </w:p>
    <w:tbl>
      <w:tblPr>
        <w:tblStyle w:val="13"/>
        <w:tblW w:w="8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评价人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职责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徐川海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评价组组长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地区体育局党组书记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艾尼瓦尔·阿不力孜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地区体育局副局长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ind w:firstLine="960" w:firstLineChars="300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闫礼芳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地区体育局群体科长</w:t>
            </w:r>
          </w:p>
        </w:tc>
      </w:tr>
    </w:tbl>
    <w:p>
      <w:pPr>
        <w:pStyle w:val="24"/>
        <w:keepNext w:val="0"/>
        <w:keepLines w:val="0"/>
        <w:numPr>
          <w:ilvl w:val="0"/>
          <w:numId w:val="0"/>
        </w:numPr>
        <w:spacing w:line="360" w:lineRule="auto"/>
        <w:ind w:firstLine="640" w:firstLineChars="20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本次评价设计了评价方案、评价指标体系，通过资料分析、调研、访谈满意度调查等方式形成评价结论，在与项目单位沟通后确定评价意见，并出具评价报告。　</w:t>
      </w:r>
    </w:p>
    <w:p>
      <w:pPr>
        <w:pStyle w:val="22"/>
        <w:numPr>
          <w:ilvl w:val="0"/>
          <w:numId w:val="2"/>
        </w:numPr>
        <w:spacing w:line="360" w:lineRule="auto"/>
        <w:ind w:firstLineChars="0"/>
      </w:pPr>
      <w:bookmarkStart w:id="6" w:name="_Toc26401558"/>
      <w:r>
        <w:rPr>
          <w:rFonts w:hint="eastAsia" w:ascii="黑体" w:hAnsi="黑体"/>
        </w:rPr>
        <w:t>综合评价情况及评价结论</w:t>
      </w:r>
      <w:r>
        <w:rPr>
          <w:rFonts w:hint="eastAsia" w:ascii="仿宋_GB2312"/>
        </w:rPr>
        <w:t>（附相关评分表）</w:t>
      </w:r>
    </w:p>
    <w:p>
      <w:pPr>
        <w:pStyle w:val="22"/>
        <w:spacing w:line="360" w:lineRule="auto"/>
        <w:ind w:firstLine="640"/>
        <w:rPr>
          <w:rFonts w:ascii="仿宋_GB2312" w:eastAsia="仿宋_GB2312" w:hAnsiTheme="majorHAnsi"/>
          <w:b w:val="0"/>
          <w:bCs w:val="0"/>
          <w:kern w:val="2"/>
        </w:rPr>
      </w:pPr>
      <w:r>
        <w:rPr>
          <w:rFonts w:hint="eastAsia" w:ascii="仿宋_GB2312" w:eastAsia="仿宋_GB2312" w:hAnsiTheme="majorHAnsi"/>
          <w:b w:val="0"/>
          <w:bCs w:val="0"/>
          <w:kern w:val="2"/>
        </w:rPr>
        <w:t>经评价组通过实地调研、资料分析等方式，采用综合分析法、成本效益分析法、最低成本法、等对项目的决策、管理、绩效进行的综合评价分析，项目得分为 88分，评价结果为良，详见附件6。</w:t>
      </w:r>
    </w:p>
    <w:p>
      <w:pPr>
        <w:pStyle w:val="22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绩效评价指标分析</w:t>
      </w:r>
      <w:bookmarkEnd w:id="6"/>
    </w:p>
    <w:p>
      <w:pPr>
        <w:pStyle w:val="18"/>
        <w:numPr>
          <w:ilvl w:val="0"/>
          <w:numId w:val="6"/>
        </w:numPr>
        <w:spacing w:beforeLines="50" w:line="360" w:lineRule="auto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项目的决策情况</w:t>
      </w:r>
    </w:p>
    <w:p>
      <w:pPr>
        <w:pStyle w:val="27"/>
        <w:spacing w:line="360" w:lineRule="auto"/>
        <w:ind w:firstLine="640"/>
        <w:rPr>
          <w:rFonts w:ascii="仿宋_GB2312" w:hAnsi="仿宋" w:cs="宋体"/>
          <w:sz w:val="32"/>
          <w:szCs w:val="32"/>
        </w:rPr>
      </w:pPr>
      <w:r>
        <w:rPr>
          <w:rFonts w:hint="eastAsia" w:ascii="仿宋_GB2312" w:hAnsi="仿宋" w:cs="宋体"/>
          <w:sz w:val="32"/>
          <w:szCs w:val="32"/>
        </w:rPr>
        <w:t>本项目的立项符合相关法规政策及部门职责，依据充分；项目是按照规定的程序申请设立；审批文件、材符合相关要求；项目前期已经过必要的可行性研究、专家论证、绩效评估、集体决策。</w:t>
      </w:r>
    </w:p>
    <w:p>
      <w:pPr>
        <w:spacing w:beforeLines="50" w:line="360" w:lineRule="auto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根据相关文件要求设置了绩效目标，项目绩效目标基本合理，与实际工作内容相关；项目预期产出效益和效果符合正常的业绩水平；与预算确定的项目投资额或资金量相匹配。将项目绩效目标细化分解为具体的绩效指标；通过清晰、可衡量的指标值予以体现；与项目目标任务数或计划数相对应。</w:t>
      </w:r>
    </w:p>
    <w:p>
      <w:pPr>
        <w:spacing w:beforeLines="50" w:line="360" w:lineRule="auto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项目在资金投入方面，预算编制是经过科学论证、有明确标准，资金额度年度目标相适应，用以反映和考核项目预算编制的科学性、合理性情况。项目预算资金分配有测算依据，与补助单位或地方实际相适应。</w:t>
      </w:r>
    </w:p>
    <w:p>
      <w:pPr>
        <w:pStyle w:val="18"/>
        <w:numPr>
          <w:ilvl w:val="0"/>
          <w:numId w:val="6"/>
        </w:numPr>
        <w:spacing w:beforeLines="50" w:line="360" w:lineRule="auto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项目的过程情况</w:t>
      </w:r>
    </w:p>
    <w:p>
      <w:pPr>
        <w:spacing w:line="360" w:lineRule="auto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在资金管理方面，项目资金到位足额及时，及时支付，资金使用符合国家法规和财务管理制度；资金拨付有完整的审批程序和手续，符合项目预算批复或合同规定的用途；不存在截留、挤占、挪用、虚列支出等情况。</w:t>
      </w:r>
    </w:p>
    <w:p>
      <w:pPr>
        <w:spacing w:line="360" w:lineRule="auto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在项目组织实施方面，项目单位已制定或具有相应的财务和业务管理制度，财务和业务管理制度合法、合规、完整。项目实施遵守相关法律法规和相关管理规定。</w:t>
      </w:r>
    </w:p>
    <w:p>
      <w:pPr>
        <w:spacing w:line="360" w:lineRule="auto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项目调整及支出调整手续完备，项目合同书、验收报告、技术鉴定等资料齐全并及时归档，项目实施的人员条件、场地设备、信息支撑等落实到位。</w:t>
      </w:r>
    </w:p>
    <w:p>
      <w:pPr>
        <w:pStyle w:val="18"/>
        <w:numPr>
          <w:ilvl w:val="0"/>
          <w:numId w:val="6"/>
        </w:numPr>
        <w:spacing w:beforeLines="50" w:line="360" w:lineRule="auto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项目产出情况</w:t>
      </w:r>
    </w:p>
    <w:p>
      <w:pPr>
        <w:spacing w:line="360" w:lineRule="auto"/>
        <w:ind w:left="640"/>
        <w:rPr>
          <w:rFonts w:ascii="楷体" w:hAnsi="楷体" w:eastAsia="楷体"/>
          <w:b/>
          <w:color w:val="000000" w:themeColor="text1"/>
          <w:spacing w:val="-4"/>
          <w:sz w:val="32"/>
          <w:szCs w:val="32"/>
        </w:rPr>
      </w:pPr>
      <w:r>
        <w:rPr>
          <w:rFonts w:ascii="楷体" w:hAnsi="楷体" w:eastAsia="楷体"/>
          <w:b/>
          <w:color w:val="000000" w:themeColor="text1"/>
          <w:spacing w:val="-4"/>
          <w:sz w:val="32"/>
          <w:szCs w:val="32"/>
        </w:rPr>
        <w:t>1.</w:t>
      </w:r>
      <w:r>
        <w:rPr>
          <w:rFonts w:hint="eastAsia" w:ascii="楷体" w:hAnsi="楷体" w:eastAsia="楷体"/>
          <w:b/>
          <w:color w:val="000000" w:themeColor="text1"/>
          <w:spacing w:val="-4"/>
          <w:sz w:val="32"/>
          <w:szCs w:val="32"/>
        </w:rPr>
        <w:t>产出指标完成情况分析</w:t>
      </w:r>
    </w:p>
    <w:p>
      <w:pPr>
        <w:pStyle w:val="18"/>
        <w:spacing w:line="360" w:lineRule="auto"/>
        <w:ind w:firstLine="624"/>
        <w:rPr>
          <w:rFonts w:ascii="楷体" w:hAnsi="楷体" w:eastAsia="楷体"/>
          <w:color w:val="000000" w:themeColor="text1"/>
          <w:spacing w:val="-4"/>
          <w:sz w:val="32"/>
          <w:szCs w:val="32"/>
        </w:rPr>
      </w:pPr>
      <w:r>
        <w:rPr>
          <w:rFonts w:hint="eastAsia" w:ascii="楷体" w:hAnsi="楷体" w:eastAsia="楷体"/>
          <w:color w:val="000000" w:themeColor="text1"/>
          <w:spacing w:val="-4"/>
          <w:sz w:val="32"/>
          <w:szCs w:val="32"/>
        </w:rPr>
        <w:t>（</w:t>
      </w:r>
      <w:r>
        <w:rPr>
          <w:rFonts w:ascii="楷体" w:hAnsi="楷体" w:eastAsia="楷体"/>
          <w:color w:val="000000" w:themeColor="text1"/>
          <w:spacing w:val="-4"/>
          <w:sz w:val="32"/>
          <w:szCs w:val="32"/>
        </w:rPr>
        <w:t>1</w:t>
      </w:r>
      <w:r>
        <w:rPr>
          <w:rFonts w:hint="eastAsia" w:ascii="楷体" w:hAnsi="楷体" w:eastAsia="楷体"/>
          <w:color w:val="000000" w:themeColor="text1"/>
          <w:spacing w:val="-4"/>
          <w:sz w:val="32"/>
          <w:szCs w:val="32"/>
        </w:rPr>
        <w:t>）项目数量完成情况</w:t>
      </w:r>
    </w:p>
    <w:p>
      <w:pPr>
        <w:spacing w:line="360" w:lineRule="auto"/>
        <w:ind w:firstLine="960" w:firstLineChars="30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参加自治区青少年年度赛参赛项目数量，预期指标是我区参加有16个项目，实际完成值是9个，指标完成率是56%，未达到预期目标，未完成的原因：自治区参赛项目统计方式改变，2018年编制部门预算上报绩效申报时自治区参赛项目是按小项进行统计，2019年自治区青少年年度赛是按大项目统计，实际比赛项目完成。</w:t>
      </w:r>
    </w:p>
    <w:p>
      <w:pPr>
        <w:pStyle w:val="18"/>
        <w:spacing w:line="360" w:lineRule="auto"/>
        <w:ind w:firstLine="64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参加自治区青少年年度赛参目项数，预期指标是1个，实际完成值是1个，指标完成率是100%，达到预期目标，</w:t>
      </w:r>
    </w:p>
    <w:p>
      <w:pPr>
        <w:pStyle w:val="18"/>
        <w:spacing w:line="360" w:lineRule="auto"/>
        <w:ind w:firstLine="64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数量指标共计2个，完成0个，未达到预期目标。</w:t>
      </w:r>
    </w:p>
    <w:p>
      <w:pPr>
        <w:pStyle w:val="18"/>
        <w:spacing w:line="360" w:lineRule="auto"/>
        <w:ind w:firstLine="624"/>
        <w:rPr>
          <w:rFonts w:ascii="楷体" w:hAnsi="楷体" w:eastAsia="楷体" w:cs="仿宋"/>
          <w:color w:val="000000" w:themeColor="text1"/>
          <w:spacing w:val="-4"/>
          <w:sz w:val="32"/>
          <w:szCs w:val="32"/>
        </w:rPr>
      </w:pPr>
      <w:r>
        <w:rPr>
          <w:rFonts w:hint="eastAsia" w:ascii="楷体" w:hAnsi="楷体" w:eastAsia="楷体" w:cs="仿宋"/>
          <w:color w:val="000000" w:themeColor="text1"/>
          <w:spacing w:val="-4"/>
          <w:sz w:val="32"/>
          <w:szCs w:val="32"/>
        </w:rPr>
        <w:t>（</w:t>
      </w:r>
      <w:r>
        <w:rPr>
          <w:rFonts w:ascii="楷体" w:hAnsi="楷体" w:eastAsia="楷体" w:cs="仿宋"/>
          <w:color w:val="000000" w:themeColor="text1"/>
          <w:spacing w:val="-4"/>
          <w:sz w:val="32"/>
          <w:szCs w:val="32"/>
        </w:rPr>
        <w:t>2</w:t>
      </w:r>
      <w:r>
        <w:rPr>
          <w:rFonts w:hint="eastAsia" w:ascii="楷体" w:hAnsi="楷体" w:eastAsia="楷体" w:cs="仿宋"/>
          <w:color w:val="000000" w:themeColor="text1"/>
          <w:spacing w:val="-4"/>
          <w:sz w:val="32"/>
          <w:szCs w:val="32"/>
        </w:rPr>
        <w:t>）项目质量完成情况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青少年年度比赛名次，预期指标是列自治区前10名，实际完成值是8名，指标完成率是100%，达到预期目标。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质量指标共计1个，完成1个，达到预期目标，质量指标完成。</w:t>
      </w:r>
    </w:p>
    <w:p>
      <w:pPr>
        <w:pStyle w:val="18"/>
        <w:spacing w:line="360" w:lineRule="auto"/>
        <w:ind w:firstLine="624"/>
        <w:rPr>
          <w:rFonts w:ascii="楷体" w:hAnsi="楷体" w:eastAsia="楷体" w:cs="仿宋"/>
          <w:color w:val="000000" w:themeColor="text1"/>
          <w:spacing w:val="-4"/>
          <w:sz w:val="32"/>
          <w:szCs w:val="32"/>
        </w:rPr>
      </w:pPr>
      <w:r>
        <w:rPr>
          <w:rFonts w:hint="eastAsia" w:ascii="楷体" w:hAnsi="楷体" w:eastAsia="楷体" w:cs="仿宋"/>
          <w:color w:val="000000" w:themeColor="text1"/>
          <w:spacing w:val="-4"/>
          <w:sz w:val="32"/>
          <w:szCs w:val="32"/>
        </w:rPr>
        <w:t>（</w:t>
      </w:r>
      <w:r>
        <w:rPr>
          <w:rFonts w:ascii="楷体" w:hAnsi="楷体" w:eastAsia="楷体" w:cs="仿宋"/>
          <w:color w:val="000000" w:themeColor="text1"/>
          <w:spacing w:val="-4"/>
          <w:sz w:val="32"/>
          <w:szCs w:val="32"/>
        </w:rPr>
        <w:t>3</w:t>
      </w:r>
      <w:r>
        <w:rPr>
          <w:rFonts w:hint="eastAsia" w:ascii="楷体" w:hAnsi="楷体" w:eastAsia="楷体" w:cs="仿宋"/>
          <w:color w:val="000000" w:themeColor="text1"/>
          <w:spacing w:val="-4"/>
          <w:sz w:val="32"/>
          <w:szCs w:val="32"/>
        </w:rPr>
        <w:t>）项目实施进度完成情况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资金按时拨付可提前进入冬训及训练周期，预期指标是7个月，实际完成值是7个月，指标完成率是100%，达到预期目标。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时效指标共计1个，完成1个，达到预期目标，时效指标完成。</w:t>
      </w:r>
    </w:p>
    <w:p>
      <w:pPr>
        <w:spacing w:line="360" w:lineRule="auto"/>
        <w:ind w:firstLine="624" w:firstLineChars="200"/>
        <w:rPr>
          <w:rFonts w:ascii="楷体" w:hAnsi="楷体" w:eastAsia="楷体" w:cs="仿宋"/>
          <w:color w:val="000000" w:themeColor="text1"/>
          <w:spacing w:val="-4"/>
          <w:sz w:val="32"/>
          <w:szCs w:val="32"/>
        </w:rPr>
      </w:pPr>
      <w:r>
        <w:rPr>
          <w:rFonts w:hint="eastAsia" w:ascii="楷体" w:hAnsi="楷体" w:eastAsia="楷体" w:cs="仿宋"/>
          <w:color w:val="000000" w:themeColor="text1"/>
          <w:spacing w:val="-4"/>
          <w:sz w:val="32"/>
          <w:szCs w:val="32"/>
        </w:rPr>
        <w:t>（</w:t>
      </w:r>
      <w:r>
        <w:rPr>
          <w:rFonts w:ascii="楷体" w:hAnsi="楷体" w:eastAsia="楷体" w:cs="仿宋"/>
          <w:color w:val="000000" w:themeColor="text1"/>
          <w:spacing w:val="-4"/>
          <w:sz w:val="32"/>
          <w:szCs w:val="32"/>
        </w:rPr>
        <w:t>4</w:t>
      </w:r>
      <w:r>
        <w:rPr>
          <w:rFonts w:hint="eastAsia" w:ascii="楷体" w:hAnsi="楷体" w:eastAsia="楷体" w:cs="仿宋"/>
          <w:color w:val="000000" w:themeColor="text1"/>
          <w:spacing w:val="-4"/>
          <w:sz w:val="32"/>
          <w:szCs w:val="32"/>
        </w:rPr>
        <w:t>）项目成本完成情况</w:t>
      </w:r>
    </w:p>
    <w:p>
      <w:pPr>
        <w:pStyle w:val="18"/>
        <w:spacing w:line="360" w:lineRule="auto"/>
        <w:ind w:firstLine="64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2019年参赛自治区青少年运动会项目所需经费，预期指标是600万元，实际完成值是181.18万元，指标完成率是30.20%，未达到预期目标，未完成的原因：2019年自治区青少年年度赛比赛项目减少，我区参赛运动员及教练员减少，参赛费用减少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成本指标共计1个，完成0个，未达到预期目标，结余416.76万元资金，结余资金上缴财政。</w:t>
      </w:r>
    </w:p>
    <w:p>
      <w:pPr>
        <w:spacing w:line="360" w:lineRule="auto"/>
        <w:ind w:firstLine="624" w:firstLineChars="200"/>
        <w:rPr>
          <w:rFonts w:ascii="楷体" w:hAnsi="楷体" w:eastAsia="楷体" w:cs="仿宋"/>
          <w:color w:val="000000" w:themeColor="text1"/>
          <w:spacing w:val="-4"/>
          <w:sz w:val="32"/>
          <w:szCs w:val="32"/>
        </w:rPr>
      </w:pPr>
      <w:r>
        <w:rPr>
          <w:rFonts w:ascii="楷体" w:hAnsi="楷体" w:eastAsia="楷体" w:cs="仿宋"/>
          <w:color w:val="000000" w:themeColor="text1"/>
          <w:spacing w:val="-4"/>
          <w:sz w:val="32"/>
          <w:szCs w:val="32"/>
        </w:rPr>
        <w:t>2.</w:t>
      </w:r>
      <w:r>
        <w:rPr>
          <w:rFonts w:hint="eastAsia" w:ascii="楷体" w:hAnsi="楷体" w:eastAsia="楷体" w:cs="仿宋"/>
          <w:color w:val="000000" w:themeColor="text1"/>
          <w:spacing w:val="-4"/>
          <w:sz w:val="32"/>
          <w:szCs w:val="32"/>
        </w:rPr>
        <w:t>效益指标完成情况分析</w:t>
      </w:r>
    </w:p>
    <w:p>
      <w:pPr>
        <w:pStyle w:val="18"/>
        <w:spacing w:line="360" w:lineRule="auto"/>
        <w:ind w:firstLine="312" w:firstLineChars="100"/>
        <w:rPr>
          <w:rFonts w:ascii="楷体" w:hAnsi="楷体" w:eastAsia="楷体" w:cs="仿宋"/>
          <w:color w:val="000000" w:themeColor="text1"/>
          <w:spacing w:val="-4"/>
          <w:sz w:val="32"/>
          <w:szCs w:val="32"/>
        </w:rPr>
      </w:pPr>
      <w:r>
        <w:rPr>
          <w:rFonts w:hint="eastAsia" w:ascii="楷体" w:hAnsi="楷体" w:eastAsia="楷体" w:cs="仿宋"/>
          <w:color w:val="000000" w:themeColor="text1"/>
          <w:spacing w:val="-4"/>
          <w:sz w:val="32"/>
          <w:szCs w:val="32"/>
        </w:rPr>
        <w:t>（</w:t>
      </w:r>
      <w:r>
        <w:rPr>
          <w:rFonts w:ascii="楷体" w:hAnsi="楷体" w:eastAsia="楷体" w:cs="仿宋"/>
          <w:color w:val="000000" w:themeColor="text1"/>
          <w:spacing w:val="-4"/>
          <w:sz w:val="32"/>
          <w:szCs w:val="32"/>
        </w:rPr>
        <w:t>1</w:t>
      </w:r>
      <w:r>
        <w:rPr>
          <w:rFonts w:hint="eastAsia" w:ascii="楷体" w:hAnsi="楷体" w:eastAsia="楷体" w:cs="仿宋"/>
          <w:color w:val="000000" w:themeColor="text1"/>
          <w:spacing w:val="-4"/>
          <w:sz w:val="32"/>
          <w:szCs w:val="32"/>
        </w:rPr>
        <w:t>）项目经济效益完成情况</w:t>
      </w:r>
    </w:p>
    <w:p>
      <w:pPr>
        <w:pStyle w:val="18"/>
        <w:spacing w:line="360" w:lineRule="auto"/>
        <w:ind w:firstLine="624"/>
        <w:rPr>
          <w:rFonts w:ascii="仿宋" w:hAnsi="仿宋" w:eastAsia="仿宋" w:cs="仿宋"/>
          <w:color w:val="000000" w:themeColor="text1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</w:rPr>
        <w:t>无</w:t>
      </w:r>
    </w:p>
    <w:p>
      <w:pPr>
        <w:pStyle w:val="18"/>
        <w:spacing w:line="360" w:lineRule="auto"/>
        <w:ind w:firstLine="312" w:firstLineChars="100"/>
        <w:rPr>
          <w:rFonts w:ascii="楷体" w:hAnsi="楷体" w:eastAsia="楷体" w:cs="仿宋"/>
          <w:color w:val="000000" w:themeColor="text1"/>
          <w:spacing w:val="-4"/>
          <w:sz w:val="32"/>
          <w:szCs w:val="32"/>
        </w:rPr>
      </w:pPr>
      <w:r>
        <w:rPr>
          <w:rFonts w:hint="eastAsia" w:ascii="楷体" w:hAnsi="楷体" w:eastAsia="楷体" w:cs="仿宋"/>
          <w:color w:val="000000" w:themeColor="text1"/>
          <w:spacing w:val="-4"/>
          <w:sz w:val="32"/>
          <w:szCs w:val="32"/>
        </w:rPr>
        <w:t>（</w:t>
      </w:r>
      <w:r>
        <w:rPr>
          <w:rFonts w:ascii="楷体" w:hAnsi="楷体" w:eastAsia="楷体" w:cs="仿宋"/>
          <w:color w:val="000000" w:themeColor="text1"/>
          <w:spacing w:val="-4"/>
          <w:sz w:val="32"/>
          <w:szCs w:val="32"/>
        </w:rPr>
        <w:t>2</w:t>
      </w:r>
      <w:r>
        <w:rPr>
          <w:rFonts w:hint="eastAsia" w:ascii="楷体" w:hAnsi="楷体" w:eastAsia="楷体" w:cs="仿宋"/>
          <w:color w:val="000000" w:themeColor="text1"/>
          <w:spacing w:val="-4"/>
          <w:sz w:val="32"/>
          <w:szCs w:val="32"/>
        </w:rPr>
        <w:t>）项目社会效益完成情况</w:t>
      </w:r>
    </w:p>
    <w:p>
      <w:pPr>
        <w:pStyle w:val="18"/>
        <w:spacing w:line="360" w:lineRule="auto"/>
        <w:ind w:firstLine="64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选拔和培养优秀体育后备人才，为喀什地区争光，预期指标是列自治区前十名，实际完成值是列自治区第 八名，指标完成率是100%，达到预期目标。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  <w:shd w:val="pct10" w:color="auto" w:fill="FFFFFF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社会效益指标共计1个，完成1个，达到预期目标，社会效益指标完成</w:t>
      </w:r>
    </w:p>
    <w:p>
      <w:pPr>
        <w:pStyle w:val="18"/>
        <w:spacing w:line="360" w:lineRule="auto"/>
        <w:ind w:firstLine="624"/>
        <w:rPr>
          <w:rFonts w:ascii="楷体" w:hAnsi="楷体" w:eastAsia="楷体" w:cs="仿宋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楷体" w:hAnsi="楷体" w:eastAsia="楷体" w:cs="仿宋"/>
          <w:color w:val="000000" w:themeColor="text1"/>
          <w:spacing w:val="-4"/>
          <w:sz w:val="32"/>
          <w:szCs w:val="32"/>
        </w:rPr>
        <w:t>（</w:t>
      </w:r>
      <w:r>
        <w:rPr>
          <w:rFonts w:ascii="楷体" w:hAnsi="楷体" w:eastAsia="楷体" w:cs="仿宋"/>
          <w:color w:val="000000" w:themeColor="text1"/>
          <w:spacing w:val="-4"/>
          <w:sz w:val="32"/>
          <w:szCs w:val="32"/>
        </w:rPr>
        <w:t>3</w:t>
      </w:r>
      <w:r>
        <w:rPr>
          <w:rFonts w:hint="eastAsia" w:ascii="楷体" w:hAnsi="楷体" w:eastAsia="楷体" w:cs="仿宋"/>
          <w:color w:val="000000" w:themeColor="text1"/>
          <w:spacing w:val="-4"/>
          <w:sz w:val="32"/>
          <w:szCs w:val="32"/>
        </w:rPr>
        <w:t>）项目实施的生态效益完成情况</w:t>
      </w:r>
    </w:p>
    <w:p>
      <w:pPr>
        <w:pStyle w:val="18"/>
        <w:spacing w:line="360" w:lineRule="auto"/>
        <w:ind w:firstLine="624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</w:rPr>
        <w:t>无</w:t>
      </w:r>
    </w:p>
    <w:p>
      <w:pPr>
        <w:pStyle w:val="18"/>
        <w:spacing w:line="360" w:lineRule="auto"/>
        <w:ind w:firstLine="624"/>
        <w:rPr>
          <w:rFonts w:ascii="楷体" w:hAnsi="楷体" w:eastAsia="楷体" w:cs="仿宋"/>
          <w:color w:val="000000" w:themeColor="text1"/>
          <w:spacing w:val="-4"/>
          <w:sz w:val="32"/>
          <w:szCs w:val="32"/>
        </w:rPr>
      </w:pPr>
      <w:r>
        <w:rPr>
          <w:rFonts w:hint="eastAsia" w:ascii="楷体" w:hAnsi="楷体" w:eastAsia="楷体" w:cs="仿宋"/>
          <w:color w:val="000000" w:themeColor="text1"/>
          <w:spacing w:val="-4"/>
          <w:sz w:val="32"/>
          <w:szCs w:val="32"/>
        </w:rPr>
        <w:t>（</w:t>
      </w:r>
      <w:r>
        <w:rPr>
          <w:rFonts w:ascii="楷体" w:hAnsi="楷体" w:eastAsia="楷体" w:cs="仿宋"/>
          <w:color w:val="000000" w:themeColor="text1"/>
          <w:spacing w:val="-4"/>
          <w:sz w:val="32"/>
          <w:szCs w:val="32"/>
        </w:rPr>
        <w:t>4</w:t>
      </w:r>
      <w:r>
        <w:rPr>
          <w:rFonts w:hint="eastAsia" w:ascii="楷体" w:hAnsi="楷体" w:eastAsia="楷体" w:cs="仿宋"/>
          <w:color w:val="000000" w:themeColor="text1"/>
          <w:spacing w:val="-4"/>
          <w:sz w:val="32"/>
          <w:szCs w:val="32"/>
        </w:rPr>
        <w:t>）项目实施的可持续影响完成情况</w:t>
      </w:r>
    </w:p>
    <w:p>
      <w:pPr>
        <w:pStyle w:val="18"/>
        <w:spacing w:line="360" w:lineRule="auto"/>
        <w:ind w:firstLine="584"/>
        <w:rPr>
          <w:rFonts w:ascii="仿宋" w:hAnsi="仿宋" w:eastAsia="仿宋" w:cs="仿宋"/>
          <w:color w:val="000000" w:themeColor="text1"/>
          <w:spacing w:val="-4"/>
          <w:sz w:val="30"/>
          <w:szCs w:val="30"/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0"/>
          <w:szCs w:val="30"/>
        </w:rPr>
        <w:t>选拔和培养优秀体育后备人才，加强业余训练，增强青少年体质），预期指标是后备人才逐年递增，实际完成值是逐年递增，指标完成率是100%，达到预期目标。</w:t>
      </w:r>
    </w:p>
    <w:p>
      <w:pPr>
        <w:spacing w:line="360" w:lineRule="auto"/>
        <w:ind w:firstLine="584" w:firstLineChars="200"/>
        <w:rPr>
          <w:rFonts w:ascii="仿宋" w:hAnsi="仿宋" w:eastAsia="仿宋" w:cs="仿宋"/>
          <w:color w:val="000000" w:themeColor="text1"/>
          <w:spacing w:val="-4"/>
          <w:sz w:val="30"/>
          <w:szCs w:val="30"/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0"/>
          <w:szCs w:val="30"/>
        </w:rPr>
        <w:t>可持续指标共计1个，完成1个，达到预期目标，可持续指标完成。</w:t>
      </w:r>
    </w:p>
    <w:p>
      <w:pPr>
        <w:spacing w:line="360" w:lineRule="auto"/>
        <w:ind w:left="640"/>
        <w:rPr>
          <w:rFonts w:ascii="仿宋" w:hAnsi="仿宋" w:eastAsia="仿宋" w:cs="仿宋"/>
          <w:color w:val="000000" w:themeColor="text1"/>
          <w:spacing w:val="-4"/>
          <w:sz w:val="32"/>
          <w:szCs w:val="32"/>
        </w:rPr>
      </w:pPr>
      <w:r>
        <w:rPr>
          <w:rFonts w:ascii="仿宋" w:hAnsi="仿宋" w:eastAsia="仿宋" w:cs="仿宋"/>
          <w:color w:val="000000" w:themeColor="text1"/>
          <w:spacing w:val="-4"/>
          <w:sz w:val="32"/>
          <w:szCs w:val="32"/>
        </w:rPr>
        <w:t>3.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</w:rPr>
        <w:t>满意度指标完成情况</w:t>
      </w:r>
    </w:p>
    <w:p>
      <w:pPr>
        <w:spacing w:line="360" w:lineRule="auto"/>
        <w:ind w:firstLine="624" w:firstLineChars="200"/>
        <w:rPr>
          <w:rFonts w:ascii="仿宋" w:hAnsi="仿宋" w:eastAsia="仿宋" w:cs="仿宋"/>
          <w:color w:val="000000" w:themeColor="text1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</w:rPr>
        <w:t>按计划完成项目实施，已做满意度调查问卷，具体如下：</w:t>
      </w: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color w:val="000000" w:themeColor="text1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</w:rPr>
        <w:t>各县市业余体校对组织比赛的满意率，预期指标是80%，实际完成值是95%，指标完成率是100%，达到预期目标。</w:t>
      </w: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</w:rPr>
        <w:t>满意度指标共计1个，完成1个，达到预期目标，服务对象满意度指标完成。</w:t>
      </w: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</w:rPr>
      </w:pP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</w:rPr>
      </w:pP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</w:rPr>
      </w:pP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</w:rPr>
      </w:pP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</w:rPr>
      </w:pP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</w:rPr>
      </w:pPr>
    </w:p>
    <w:p>
      <w:pPr>
        <w:pStyle w:val="22"/>
        <w:spacing w:line="360" w:lineRule="auto"/>
        <w:ind w:firstLine="643"/>
      </w:pPr>
      <w:r>
        <w:rPr>
          <w:rFonts w:hint="eastAsia"/>
        </w:rPr>
        <w:t>五、主要经验及做法、存在的问题及原因分析</w:t>
      </w:r>
    </w:p>
    <w:p>
      <w:pPr>
        <w:pStyle w:val="24"/>
        <w:numPr>
          <w:ilvl w:val="0"/>
          <w:numId w:val="7"/>
        </w:numPr>
        <w:spacing w:line="360" w:lineRule="auto"/>
        <w:ind w:left="0" w:firstLine="643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主要经验及做法</w:t>
      </w:r>
    </w:p>
    <w:p>
      <w:pPr>
        <w:pStyle w:val="24"/>
        <w:numPr>
          <w:ilvl w:val="0"/>
          <w:numId w:val="0"/>
        </w:numPr>
        <w:spacing w:line="360" w:lineRule="auto"/>
        <w:ind w:firstLine="640" w:firstLineChars="200"/>
        <w:rPr>
          <w:rFonts w:ascii="仿宋" w:hAnsi="仿宋" w:eastAsia="仿宋"/>
          <w:b w:val="0"/>
        </w:rPr>
      </w:pPr>
      <w:r>
        <w:rPr>
          <w:rFonts w:hint="eastAsia" w:ascii="仿宋" w:hAnsi="仿宋" w:eastAsia="仿宋"/>
          <w:b w:val="0"/>
        </w:rPr>
        <w:t>绩效自评工作首先是要工作准备充分，一是评价小组成员应包含单位领导、项目负责人、财务负责人和行业专家，不同的岗位和职责应用和发挥自身专业和岗位作用；二是在资料收集和档案整理及分析上要全面。其次是评价小组成员要加强绩效基础理论学习，用绩效的理论和知识进行分析评价，客观、公正的分析项目实施情况、资金使用和支付情况、绩效目标的完成情况，对发现的问题要及时总结；再次是要对项目的事前、事中、事后全方位、全过程进行分析、掌握，注重评价过程的记录和档案整理，为下一年度工作提供依据。</w:t>
      </w:r>
    </w:p>
    <w:p>
      <w:pPr>
        <w:pStyle w:val="24"/>
        <w:numPr>
          <w:ilvl w:val="0"/>
          <w:numId w:val="7"/>
        </w:numPr>
        <w:spacing w:line="360" w:lineRule="auto"/>
        <w:ind w:left="0" w:firstLine="643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存在的问题及原因分析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</w:rPr>
        <w:t xml:space="preserve">       </w:t>
      </w:r>
      <w:r>
        <w:rPr>
          <w:rFonts w:hint="eastAsia" w:ascii="仿宋" w:hAnsi="仿宋" w:eastAsia="仿宋"/>
          <w:bCs/>
          <w:sz w:val="32"/>
          <w:szCs w:val="32"/>
        </w:rPr>
        <w:t>一是对各项指标和指标值要进一步优化、完善，主要在细化、量化上改进，二是自评价工作还存在自我审定的局限性，会影响评价质量，容易造成问题的疏漏，在客观性和公正性上说服力不强，三是缺少带着问题去评价的意识，四是现场评价的工作量少，后续效益评价具体措施和方法较少。</w:t>
      </w:r>
    </w:p>
    <w:p>
      <w:pPr>
        <w:pStyle w:val="24"/>
        <w:numPr>
          <w:ilvl w:val="0"/>
          <w:numId w:val="0"/>
        </w:numPr>
        <w:spacing w:line="360" w:lineRule="auto"/>
        <w:rPr>
          <w:rFonts w:ascii="仿宋" w:hAnsi="仿宋" w:eastAsia="仿宋"/>
          <w:b w:val="0"/>
        </w:rPr>
      </w:pPr>
      <w:r>
        <w:rPr>
          <w:rFonts w:hint="eastAsia" w:ascii="仿宋" w:hAnsi="仿宋" w:eastAsia="仿宋"/>
          <w:b w:val="0"/>
        </w:rPr>
        <w:t>有关建议</w:t>
      </w:r>
    </w:p>
    <w:p>
      <w:pPr>
        <w:pStyle w:val="22"/>
        <w:ind w:left="643" w:firstLine="0" w:firstLineChars="0"/>
        <w:rPr>
          <w:rFonts w:ascii="黑体" w:hAnsi="黑体"/>
        </w:rPr>
      </w:pPr>
      <w:r>
        <w:rPr>
          <w:rFonts w:hint="eastAsia" w:ascii="黑体" w:hAnsi="黑体"/>
        </w:rPr>
        <w:t>六、有关建议</w:t>
      </w:r>
    </w:p>
    <w:p>
      <w:pPr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1.项目建设的程序进一步规范</w:t>
      </w:r>
    </w:p>
    <w:p>
      <w:pPr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2.项目评价资料有待进一步完善</w:t>
      </w:r>
    </w:p>
    <w:p>
      <w:pPr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项目启动时同步做好档案的归纳与整理，及时整理、收集、汇总，健全档案资料。（部门单位根据自己项目的特点进行总结）。项目后续管理有待进一步加强</w:t>
      </w:r>
    </w:p>
    <w:p>
      <w:pPr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3.通过绩效管理，发现实施中存在漏洞</w:t>
      </w:r>
      <w:r>
        <w:rPr>
          <w:rFonts w:hint="eastAsia" w:ascii="仿宋" w:hAnsi="仿宋" w:eastAsia="仿宋"/>
        </w:rPr>
        <w:t>，</w:t>
      </w:r>
      <w:r>
        <w:rPr>
          <w:rFonts w:hint="eastAsia" w:ascii="仿宋" w:hAnsi="仿宋" w:eastAsia="仿宋"/>
          <w:sz w:val="32"/>
          <w:szCs w:val="32"/>
        </w:rPr>
        <w:t>没有制定工作计划，导致项目资金支付不均衡、</w:t>
      </w:r>
      <w:r>
        <w:rPr>
          <w:rFonts w:hint="eastAsia" w:ascii="仿宋" w:hAnsi="仿宋" w:eastAsia="仿宋"/>
          <w:bCs/>
          <w:sz w:val="32"/>
          <w:szCs w:val="32"/>
        </w:rPr>
        <w:t>采购工程物资方面，未能及时掌握市场动向，减少采购成本。以后加强管理，及时掌握与之相关的各类信息，减少成本，使资金效益最大化。部门单位根据自己项目的特点进行总结。</w:t>
      </w:r>
    </w:p>
    <w:p>
      <w:pPr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4、评价工作应从项目实施方案源头抓起</w:t>
      </w:r>
      <w:r>
        <w:rPr>
          <w:rFonts w:hint="eastAsia" w:ascii="仿宋" w:hAnsi="仿宋" w:eastAsia="仿宋"/>
          <w:bCs/>
          <w:sz w:val="32"/>
          <w:szCs w:val="32"/>
        </w:rPr>
        <w:t>，评价工作和意识应贯穿项目整个过程。</w:t>
      </w:r>
    </w:p>
    <w:p>
      <w:pPr>
        <w:pStyle w:val="22"/>
        <w:ind w:left="643" w:firstLine="0" w:firstLineChars="0"/>
        <w:rPr>
          <w:rFonts w:ascii="黑体" w:hAnsi="黑体"/>
        </w:rPr>
      </w:pPr>
      <w:r>
        <w:rPr>
          <w:rFonts w:hint="eastAsia" w:ascii="黑体" w:hAnsi="黑体"/>
        </w:rPr>
        <w:t>七、其他需要说明的问题</w:t>
      </w:r>
    </w:p>
    <w:p>
      <w:pPr>
        <w:pStyle w:val="22"/>
        <w:spacing w:line="360" w:lineRule="auto"/>
        <w:ind w:firstLine="640"/>
        <w:rPr>
          <w:rFonts w:ascii="仿宋" w:hAnsi="仿宋" w:eastAsia="仿宋" w:cs="宋体"/>
          <w:b w:val="0"/>
        </w:rPr>
      </w:pPr>
      <w:r>
        <w:rPr>
          <w:rFonts w:hint="eastAsia" w:ascii="仿宋" w:hAnsi="仿宋" w:eastAsia="仿宋" w:cs="宋体"/>
          <w:b w:val="0"/>
        </w:rPr>
        <w:t>无</w:t>
      </w:r>
    </w:p>
    <w:p>
      <w:pPr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附件1：喀什地区体育局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2019年参赛自治区青少年运动会项目</w:t>
      </w:r>
      <w:r>
        <w:rPr>
          <w:rFonts w:hint="eastAsia" w:ascii="仿宋" w:hAnsi="仿宋" w:eastAsia="仿宋"/>
          <w:bCs/>
          <w:sz w:val="32"/>
          <w:szCs w:val="32"/>
        </w:rPr>
        <w:t>支出绩效目标申报表</w:t>
      </w:r>
    </w:p>
    <w:p>
      <w:pPr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附件2：喀什地区体育局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2019年参赛自治区青少年运动会项目</w:t>
      </w:r>
      <w:r>
        <w:rPr>
          <w:rFonts w:hint="eastAsia" w:ascii="仿宋" w:hAnsi="仿宋" w:eastAsia="仿宋"/>
          <w:bCs/>
          <w:sz w:val="32"/>
          <w:szCs w:val="32"/>
        </w:rPr>
        <w:t>支出绩效目标表</w:t>
      </w:r>
    </w:p>
    <w:p>
      <w:pPr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附件3：喀什地区体育局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2019年参赛自治区青少年运动会项目</w:t>
      </w:r>
      <w:r>
        <w:rPr>
          <w:rFonts w:hint="eastAsia" w:ascii="仿宋" w:hAnsi="仿宋" w:eastAsia="仿宋"/>
          <w:bCs/>
          <w:sz w:val="32"/>
          <w:szCs w:val="32"/>
        </w:rPr>
        <w:t>支出绩效自评表</w:t>
      </w:r>
    </w:p>
    <w:p>
      <w:pPr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附件4：喀什地区体育局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2019年参赛自治区青少年运动会项目</w:t>
      </w:r>
      <w:r>
        <w:rPr>
          <w:rFonts w:hint="eastAsia" w:ascii="仿宋" w:hAnsi="仿宋" w:eastAsia="仿宋"/>
          <w:bCs/>
          <w:sz w:val="32"/>
          <w:szCs w:val="32"/>
        </w:rPr>
        <w:t>支出绩效评价指标体系</w:t>
      </w:r>
    </w:p>
    <w:p>
      <w:pPr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附件5：绩效评价依据</w:t>
      </w:r>
    </w:p>
    <w:p>
      <w:pPr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附件6：喀什地区体育局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2019年参赛自治区青少年运动会项目</w:t>
      </w:r>
      <w:r>
        <w:rPr>
          <w:rFonts w:hint="eastAsia" w:ascii="仿宋" w:hAnsi="仿宋" w:eastAsia="仿宋"/>
          <w:bCs/>
          <w:sz w:val="32"/>
          <w:szCs w:val="32"/>
        </w:rPr>
        <w:t>支出绩效评价评分表</w:t>
      </w:r>
    </w:p>
    <w:p>
      <w:pPr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pgNumType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D4D14"/>
    <w:multiLevelType w:val="multilevel"/>
    <w:tmpl w:val="316D4D14"/>
    <w:lvl w:ilvl="0" w:tentative="0">
      <w:start w:val="1"/>
      <w:numFmt w:val="decimal"/>
      <w:lvlText w:val="%1."/>
      <w:lvlJc w:val="left"/>
      <w:pPr>
        <w:ind w:left="988" w:hanging="420"/>
      </w:pPr>
    </w:lvl>
    <w:lvl w:ilvl="1" w:tentative="0">
      <w:start w:val="1"/>
      <w:numFmt w:val="decimal"/>
      <w:lvlText w:val="%2."/>
      <w:lvlJc w:val="left"/>
      <w:pPr>
        <w:ind w:left="1408" w:hanging="420"/>
      </w:pPr>
    </w:lvl>
    <w:lvl w:ilvl="2" w:tentative="0">
      <w:start w:val="1"/>
      <w:numFmt w:val="lowerRoman"/>
      <w:lvlText w:val="%3."/>
      <w:lvlJc w:val="right"/>
      <w:pPr>
        <w:ind w:left="1828" w:hanging="420"/>
      </w:pPr>
    </w:lvl>
    <w:lvl w:ilvl="3" w:tentative="0">
      <w:start w:val="1"/>
      <w:numFmt w:val="decimal"/>
      <w:lvlText w:val="%4."/>
      <w:lvlJc w:val="left"/>
      <w:pPr>
        <w:ind w:left="2248" w:hanging="420"/>
      </w:pPr>
    </w:lvl>
    <w:lvl w:ilvl="4" w:tentative="0">
      <w:start w:val="1"/>
      <w:numFmt w:val="lowerLetter"/>
      <w:lvlText w:val="%5)"/>
      <w:lvlJc w:val="left"/>
      <w:pPr>
        <w:ind w:left="2668" w:hanging="420"/>
      </w:pPr>
    </w:lvl>
    <w:lvl w:ilvl="5" w:tentative="0">
      <w:start w:val="1"/>
      <w:numFmt w:val="lowerRoman"/>
      <w:lvlText w:val="%6."/>
      <w:lvlJc w:val="right"/>
      <w:pPr>
        <w:ind w:left="3088" w:hanging="420"/>
      </w:pPr>
    </w:lvl>
    <w:lvl w:ilvl="6" w:tentative="0">
      <w:start w:val="1"/>
      <w:numFmt w:val="decimal"/>
      <w:lvlText w:val="%7."/>
      <w:lvlJc w:val="left"/>
      <w:pPr>
        <w:ind w:left="3508" w:hanging="420"/>
      </w:pPr>
    </w:lvl>
    <w:lvl w:ilvl="7" w:tentative="0">
      <w:start w:val="1"/>
      <w:numFmt w:val="lowerLetter"/>
      <w:lvlText w:val="%8)"/>
      <w:lvlJc w:val="left"/>
      <w:pPr>
        <w:ind w:left="3928" w:hanging="420"/>
      </w:pPr>
    </w:lvl>
    <w:lvl w:ilvl="8" w:tentative="0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3A7260C0"/>
    <w:multiLevelType w:val="multilevel"/>
    <w:tmpl w:val="3A7260C0"/>
    <w:lvl w:ilvl="0" w:tentative="0">
      <w:start w:val="1"/>
      <w:numFmt w:val="chineseCountingThousand"/>
      <w:pStyle w:val="24"/>
      <w:lvlText w:val="(%1)"/>
      <w:lvlJc w:val="left"/>
      <w:pPr>
        <w:ind w:left="8217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37299F"/>
    <w:multiLevelType w:val="multilevel"/>
    <w:tmpl w:val="4F37299F"/>
    <w:lvl w:ilvl="0" w:tentative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451D54"/>
    <w:multiLevelType w:val="multilevel"/>
    <w:tmpl w:val="54451D54"/>
    <w:lvl w:ilvl="0" w:tentative="0">
      <w:start w:val="1"/>
      <w:numFmt w:val="decimal"/>
      <w:lvlText w:val="%1．"/>
      <w:lvlJc w:val="left"/>
      <w:pPr>
        <w:ind w:left="106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5" w:hanging="420"/>
      </w:pPr>
    </w:lvl>
    <w:lvl w:ilvl="2" w:tentative="0">
      <w:start w:val="1"/>
      <w:numFmt w:val="lowerRoman"/>
      <w:lvlText w:val="%3."/>
      <w:lvlJc w:val="right"/>
      <w:pPr>
        <w:ind w:left="1905" w:hanging="420"/>
      </w:pPr>
    </w:lvl>
    <w:lvl w:ilvl="3" w:tentative="0">
      <w:start w:val="1"/>
      <w:numFmt w:val="decimal"/>
      <w:lvlText w:val="%4."/>
      <w:lvlJc w:val="left"/>
      <w:pPr>
        <w:ind w:left="2325" w:hanging="420"/>
      </w:pPr>
    </w:lvl>
    <w:lvl w:ilvl="4" w:tentative="0">
      <w:start w:val="1"/>
      <w:numFmt w:val="lowerLetter"/>
      <w:lvlText w:val="%5)"/>
      <w:lvlJc w:val="left"/>
      <w:pPr>
        <w:ind w:left="2745" w:hanging="420"/>
      </w:pPr>
    </w:lvl>
    <w:lvl w:ilvl="5" w:tentative="0">
      <w:start w:val="1"/>
      <w:numFmt w:val="lowerRoman"/>
      <w:lvlText w:val="%6."/>
      <w:lvlJc w:val="right"/>
      <w:pPr>
        <w:ind w:left="3165" w:hanging="420"/>
      </w:pPr>
    </w:lvl>
    <w:lvl w:ilvl="6" w:tentative="0">
      <w:start w:val="1"/>
      <w:numFmt w:val="decimal"/>
      <w:lvlText w:val="%7."/>
      <w:lvlJc w:val="left"/>
      <w:pPr>
        <w:ind w:left="3585" w:hanging="420"/>
      </w:pPr>
    </w:lvl>
    <w:lvl w:ilvl="7" w:tentative="0">
      <w:start w:val="1"/>
      <w:numFmt w:val="lowerLetter"/>
      <w:lvlText w:val="%8)"/>
      <w:lvlJc w:val="left"/>
      <w:pPr>
        <w:ind w:left="4005" w:hanging="420"/>
      </w:pPr>
    </w:lvl>
    <w:lvl w:ilvl="8" w:tentative="0">
      <w:start w:val="1"/>
      <w:numFmt w:val="lowerRoman"/>
      <w:lvlText w:val="%9."/>
      <w:lvlJc w:val="right"/>
      <w:pPr>
        <w:ind w:left="4425" w:hanging="420"/>
      </w:pPr>
    </w:lvl>
  </w:abstractNum>
  <w:abstractNum w:abstractNumId="4">
    <w:nsid w:val="5B493FDA"/>
    <w:multiLevelType w:val="multilevel"/>
    <w:tmpl w:val="5B493FDA"/>
    <w:lvl w:ilvl="0" w:tentative="0">
      <w:start w:val="1"/>
      <w:numFmt w:val="chineseCountingThousand"/>
      <w:lvlText w:val="(%1)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6757463D"/>
    <w:multiLevelType w:val="multilevel"/>
    <w:tmpl w:val="6757463D"/>
    <w:lvl w:ilvl="0" w:tentative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0"/>
  <w:drawingGridHorizontalSpacing w:val="210"/>
  <w:drawingGridVerticalSpacing w:val="158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5715"/>
    <w:rsid w:val="00001239"/>
    <w:rsid w:val="00004D61"/>
    <w:rsid w:val="0001081F"/>
    <w:rsid w:val="00022413"/>
    <w:rsid w:val="00031FD0"/>
    <w:rsid w:val="00037F93"/>
    <w:rsid w:val="00042126"/>
    <w:rsid w:val="00054002"/>
    <w:rsid w:val="00066F0B"/>
    <w:rsid w:val="000A77A3"/>
    <w:rsid w:val="000D3441"/>
    <w:rsid w:val="000E0C7B"/>
    <w:rsid w:val="000E32E2"/>
    <w:rsid w:val="000F2007"/>
    <w:rsid w:val="00100A64"/>
    <w:rsid w:val="00100AA9"/>
    <w:rsid w:val="001143D6"/>
    <w:rsid w:val="001235AF"/>
    <w:rsid w:val="00126006"/>
    <w:rsid w:val="0012798F"/>
    <w:rsid w:val="00131558"/>
    <w:rsid w:val="00132553"/>
    <w:rsid w:val="00151AF1"/>
    <w:rsid w:val="00174F3A"/>
    <w:rsid w:val="0018169D"/>
    <w:rsid w:val="00193649"/>
    <w:rsid w:val="0019720C"/>
    <w:rsid w:val="001A1902"/>
    <w:rsid w:val="001A2F1F"/>
    <w:rsid w:val="001A4FFA"/>
    <w:rsid w:val="001B1C1B"/>
    <w:rsid w:val="001B2C92"/>
    <w:rsid w:val="001B5B44"/>
    <w:rsid w:val="001D5FF2"/>
    <w:rsid w:val="001D6F2E"/>
    <w:rsid w:val="001F40EC"/>
    <w:rsid w:val="001F5AD4"/>
    <w:rsid w:val="00203FB6"/>
    <w:rsid w:val="00233ECE"/>
    <w:rsid w:val="00235479"/>
    <w:rsid w:val="002839D2"/>
    <w:rsid w:val="002A1BF4"/>
    <w:rsid w:val="002B3A72"/>
    <w:rsid w:val="002C6231"/>
    <w:rsid w:val="002E413C"/>
    <w:rsid w:val="002F7CDC"/>
    <w:rsid w:val="00324E56"/>
    <w:rsid w:val="00331AF1"/>
    <w:rsid w:val="00335A5B"/>
    <w:rsid w:val="003468D7"/>
    <w:rsid w:val="00346974"/>
    <w:rsid w:val="00363E52"/>
    <w:rsid w:val="00382736"/>
    <w:rsid w:val="003A04D1"/>
    <w:rsid w:val="003C327E"/>
    <w:rsid w:val="003C4B3D"/>
    <w:rsid w:val="003C6E7F"/>
    <w:rsid w:val="003E0E95"/>
    <w:rsid w:val="003F1C70"/>
    <w:rsid w:val="003F2E47"/>
    <w:rsid w:val="00403544"/>
    <w:rsid w:val="004115AA"/>
    <w:rsid w:val="00434C92"/>
    <w:rsid w:val="00443C47"/>
    <w:rsid w:val="00452560"/>
    <w:rsid w:val="0046155F"/>
    <w:rsid w:val="00465496"/>
    <w:rsid w:val="00467DBB"/>
    <w:rsid w:val="0047321C"/>
    <w:rsid w:val="00482A25"/>
    <w:rsid w:val="004A0587"/>
    <w:rsid w:val="004C56AB"/>
    <w:rsid w:val="004D088E"/>
    <w:rsid w:val="004D4F06"/>
    <w:rsid w:val="004F3173"/>
    <w:rsid w:val="005003EC"/>
    <w:rsid w:val="005225F1"/>
    <w:rsid w:val="00531253"/>
    <w:rsid w:val="00540B36"/>
    <w:rsid w:val="00550477"/>
    <w:rsid w:val="00563E06"/>
    <w:rsid w:val="0058554B"/>
    <w:rsid w:val="00596DDF"/>
    <w:rsid w:val="00596F90"/>
    <w:rsid w:val="005B6EAB"/>
    <w:rsid w:val="005C4575"/>
    <w:rsid w:val="005D7AC7"/>
    <w:rsid w:val="00630E69"/>
    <w:rsid w:val="006362B2"/>
    <w:rsid w:val="00644486"/>
    <w:rsid w:val="0065420A"/>
    <w:rsid w:val="006869EC"/>
    <w:rsid w:val="00694A44"/>
    <w:rsid w:val="006D0AA4"/>
    <w:rsid w:val="006F2513"/>
    <w:rsid w:val="006F64CB"/>
    <w:rsid w:val="0071759F"/>
    <w:rsid w:val="007253B3"/>
    <w:rsid w:val="00730B98"/>
    <w:rsid w:val="00731D46"/>
    <w:rsid w:val="00734BAD"/>
    <w:rsid w:val="00752C57"/>
    <w:rsid w:val="00781733"/>
    <w:rsid w:val="007A3111"/>
    <w:rsid w:val="007B21C1"/>
    <w:rsid w:val="007C46F4"/>
    <w:rsid w:val="007C5CF9"/>
    <w:rsid w:val="007D1B7C"/>
    <w:rsid w:val="007D340B"/>
    <w:rsid w:val="007E6392"/>
    <w:rsid w:val="007F3C25"/>
    <w:rsid w:val="007F6C40"/>
    <w:rsid w:val="007F7247"/>
    <w:rsid w:val="00811F2D"/>
    <w:rsid w:val="00815938"/>
    <w:rsid w:val="00821656"/>
    <w:rsid w:val="008226BA"/>
    <w:rsid w:val="00825603"/>
    <w:rsid w:val="00827DA6"/>
    <w:rsid w:val="00835103"/>
    <w:rsid w:val="00851530"/>
    <w:rsid w:val="00854416"/>
    <w:rsid w:val="00866F54"/>
    <w:rsid w:val="00883FF2"/>
    <w:rsid w:val="0089293E"/>
    <w:rsid w:val="00893E6C"/>
    <w:rsid w:val="008D7BC7"/>
    <w:rsid w:val="008E5E63"/>
    <w:rsid w:val="0090104C"/>
    <w:rsid w:val="009369B0"/>
    <w:rsid w:val="00982B10"/>
    <w:rsid w:val="009A6F12"/>
    <w:rsid w:val="009C0267"/>
    <w:rsid w:val="009D64CE"/>
    <w:rsid w:val="009E5354"/>
    <w:rsid w:val="009F6800"/>
    <w:rsid w:val="00A10F1E"/>
    <w:rsid w:val="00A12A0C"/>
    <w:rsid w:val="00A365D5"/>
    <w:rsid w:val="00A41DB8"/>
    <w:rsid w:val="00A43094"/>
    <w:rsid w:val="00A53361"/>
    <w:rsid w:val="00A5786D"/>
    <w:rsid w:val="00A60191"/>
    <w:rsid w:val="00A657A2"/>
    <w:rsid w:val="00A81609"/>
    <w:rsid w:val="00A85237"/>
    <w:rsid w:val="00A87D2B"/>
    <w:rsid w:val="00AB07C5"/>
    <w:rsid w:val="00AC223E"/>
    <w:rsid w:val="00AE1FDF"/>
    <w:rsid w:val="00AE258F"/>
    <w:rsid w:val="00AE3042"/>
    <w:rsid w:val="00B01C56"/>
    <w:rsid w:val="00B03B29"/>
    <w:rsid w:val="00B16C8F"/>
    <w:rsid w:val="00B31676"/>
    <w:rsid w:val="00B32FA4"/>
    <w:rsid w:val="00B36F46"/>
    <w:rsid w:val="00B47B13"/>
    <w:rsid w:val="00B53BE4"/>
    <w:rsid w:val="00B6063F"/>
    <w:rsid w:val="00B74EC9"/>
    <w:rsid w:val="00B86F9E"/>
    <w:rsid w:val="00B9042A"/>
    <w:rsid w:val="00BA0855"/>
    <w:rsid w:val="00BA65AD"/>
    <w:rsid w:val="00BB4029"/>
    <w:rsid w:val="00BC7696"/>
    <w:rsid w:val="00BD7183"/>
    <w:rsid w:val="00C116AF"/>
    <w:rsid w:val="00C15087"/>
    <w:rsid w:val="00C2671D"/>
    <w:rsid w:val="00C563AA"/>
    <w:rsid w:val="00C61678"/>
    <w:rsid w:val="00C71FF0"/>
    <w:rsid w:val="00C77259"/>
    <w:rsid w:val="00C97E2D"/>
    <w:rsid w:val="00CB19DB"/>
    <w:rsid w:val="00D043D7"/>
    <w:rsid w:val="00D117FB"/>
    <w:rsid w:val="00D161A0"/>
    <w:rsid w:val="00D20C38"/>
    <w:rsid w:val="00D23C2E"/>
    <w:rsid w:val="00D30880"/>
    <w:rsid w:val="00D33D38"/>
    <w:rsid w:val="00D36BA4"/>
    <w:rsid w:val="00D50D4D"/>
    <w:rsid w:val="00D61EC8"/>
    <w:rsid w:val="00D91079"/>
    <w:rsid w:val="00D93516"/>
    <w:rsid w:val="00D97CFE"/>
    <w:rsid w:val="00DA7F4C"/>
    <w:rsid w:val="00DC5F94"/>
    <w:rsid w:val="00DD7F57"/>
    <w:rsid w:val="00DE152F"/>
    <w:rsid w:val="00DE293B"/>
    <w:rsid w:val="00DF2196"/>
    <w:rsid w:val="00E05626"/>
    <w:rsid w:val="00E113FA"/>
    <w:rsid w:val="00E13D62"/>
    <w:rsid w:val="00E25B2F"/>
    <w:rsid w:val="00E373A5"/>
    <w:rsid w:val="00E66A4D"/>
    <w:rsid w:val="00E72B1C"/>
    <w:rsid w:val="00E77D3F"/>
    <w:rsid w:val="00E96169"/>
    <w:rsid w:val="00E97556"/>
    <w:rsid w:val="00EC7733"/>
    <w:rsid w:val="00ED1289"/>
    <w:rsid w:val="00EF1AA4"/>
    <w:rsid w:val="00F0780F"/>
    <w:rsid w:val="00F16D54"/>
    <w:rsid w:val="00F5658A"/>
    <w:rsid w:val="00F6015C"/>
    <w:rsid w:val="00F75715"/>
    <w:rsid w:val="00F864F3"/>
    <w:rsid w:val="00FB2E2F"/>
    <w:rsid w:val="00FC14BB"/>
    <w:rsid w:val="00FD300A"/>
    <w:rsid w:val="00FF137F"/>
    <w:rsid w:val="00FF6959"/>
    <w:rsid w:val="00FF6C14"/>
    <w:rsid w:val="01BE6316"/>
    <w:rsid w:val="1DC563CA"/>
    <w:rsid w:val="217F35A7"/>
    <w:rsid w:val="21EF331D"/>
    <w:rsid w:val="24E73B1F"/>
    <w:rsid w:val="26F03C06"/>
    <w:rsid w:val="2A547683"/>
    <w:rsid w:val="2C1D469C"/>
    <w:rsid w:val="57964064"/>
    <w:rsid w:val="5EC57929"/>
    <w:rsid w:val="667765BF"/>
    <w:rsid w:val="7775238E"/>
    <w:rsid w:val="7A86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semiHidden/>
    <w:unhideWhenUsed/>
    <w:qFormat/>
    <w:uiPriority w:val="39"/>
    <w:rPr>
      <w:rFonts w:eastAsia="仿宋_GB2312"/>
      <w:sz w:val="28"/>
    </w:r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eastAsia="仿宋_GB2312"/>
      <w:sz w:val="28"/>
    </w:rPr>
  </w:style>
  <w:style w:type="paragraph" w:styleId="10">
    <w:name w:val="toc 2"/>
    <w:basedOn w:val="1"/>
    <w:next w:val="1"/>
    <w:unhideWhenUsed/>
    <w:qFormat/>
    <w:uiPriority w:val="39"/>
    <w:rPr>
      <w:rFonts w:eastAsia="仿宋_GB2312"/>
      <w:sz w:val="2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Strong"/>
    <w:qFormat/>
    <w:uiPriority w:val="0"/>
    <w:rPr>
      <w:b/>
      <w:bCs/>
    </w:rPr>
  </w:style>
  <w:style w:type="character" w:styleId="16">
    <w:name w:val="Hyperlink"/>
    <w:basedOn w:val="14"/>
    <w:unhideWhenUsed/>
    <w:qFormat/>
    <w:uiPriority w:val="99"/>
    <w:rPr>
      <w:color w:val="0563C1" w:themeColor="hyperlink"/>
      <w:u w:val="single"/>
    </w:rPr>
  </w:style>
  <w:style w:type="character" w:customStyle="1" w:styleId="17">
    <w:name w:val="标题 1 Char"/>
    <w:basedOn w:val="14"/>
    <w:link w:val="2"/>
    <w:qFormat/>
    <w:uiPriority w:val="9"/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页眉 Char"/>
    <w:basedOn w:val="14"/>
    <w:link w:val="8"/>
    <w:qFormat/>
    <w:uiPriority w:val="99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99"/>
    <w:rPr>
      <w:sz w:val="18"/>
      <w:szCs w:val="18"/>
    </w:rPr>
  </w:style>
  <w:style w:type="character" w:customStyle="1" w:styleId="21">
    <w:name w:val="批注框文本 Char"/>
    <w:basedOn w:val="14"/>
    <w:link w:val="6"/>
    <w:semiHidden/>
    <w:qFormat/>
    <w:uiPriority w:val="99"/>
    <w:rPr>
      <w:sz w:val="18"/>
      <w:szCs w:val="18"/>
    </w:rPr>
  </w:style>
  <w:style w:type="paragraph" w:customStyle="1" w:styleId="22">
    <w:name w:val="标题1"/>
    <w:basedOn w:val="2"/>
    <w:qFormat/>
    <w:uiPriority w:val="0"/>
    <w:pPr>
      <w:spacing w:before="120" w:after="120" w:line="500" w:lineRule="exact"/>
      <w:ind w:firstLine="200" w:firstLineChars="200"/>
    </w:pPr>
    <w:rPr>
      <w:rFonts w:cs="Times New Roman"/>
      <w:sz w:val="32"/>
      <w:szCs w:val="32"/>
    </w:rPr>
  </w:style>
  <w:style w:type="character" w:customStyle="1" w:styleId="23">
    <w:name w:val="标题 2 Char"/>
    <w:basedOn w:val="14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4">
    <w:name w:val="标题2"/>
    <w:basedOn w:val="3"/>
    <w:qFormat/>
    <w:uiPriority w:val="0"/>
    <w:pPr>
      <w:numPr>
        <w:ilvl w:val="0"/>
        <w:numId w:val="1"/>
      </w:numPr>
      <w:spacing w:before="120" w:after="120" w:line="500" w:lineRule="exact"/>
      <w:ind w:left="988"/>
    </w:pPr>
    <w:rPr>
      <w:rFonts w:ascii="仿宋_GB2312" w:eastAsia="仿宋_GB2312" w:cs="Times New Roman"/>
    </w:rPr>
  </w:style>
  <w:style w:type="paragraph" w:customStyle="1" w:styleId="25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26">
    <w:name w:val="闻政正文 Char"/>
    <w:link w:val="27"/>
    <w:qFormat/>
    <w:uiPriority w:val="0"/>
    <w:rPr>
      <w:rFonts w:ascii="Times New Roman" w:hAnsi="Times New Roman" w:eastAsia="仿宋_GB2312" w:cs="Times New Roman"/>
      <w:sz w:val="28"/>
      <w:szCs w:val="28"/>
    </w:rPr>
  </w:style>
  <w:style w:type="paragraph" w:customStyle="1" w:styleId="27">
    <w:name w:val="闻政正文"/>
    <w:basedOn w:val="1"/>
    <w:link w:val="26"/>
    <w:qFormat/>
    <w:uiPriority w:val="0"/>
    <w:pPr>
      <w:spacing w:line="500" w:lineRule="exact"/>
      <w:ind w:firstLine="560" w:firstLineChars="200"/>
    </w:pPr>
    <w:rPr>
      <w:rFonts w:ascii="Times New Roman" w:hAnsi="Times New Roman" w:eastAsia="仿宋_GB2312" w:cs="Times New Roman"/>
      <w:sz w:val="28"/>
      <w:szCs w:val="28"/>
    </w:rPr>
  </w:style>
  <w:style w:type="character" w:customStyle="1" w:styleId="28">
    <w:name w:val="闻政表 Char"/>
    <w:link w:val="29"/>
    <w:qFormat/>
    <w:uiPriority w:val="0"/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9">
    <w:name w:val="闻政表"/>
    <w:basedOn w:val="1"/>
    <w:link w:val="28"/>
    <w:qFormat/>
    <w:uiPriority w:val="0"/>
    <w:pPr>
      <w:spacing w:before="60" w:after="60"/>
      <w:jc w:val="center"/>
    </w:pPr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30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2"/>
    </w:rPr>
  </w:style>
  <w:style w:type="character" w:customStyle="1" w:styleId="31">
    <w:name w:val="闻政标题3 Char"/>
    <w:link w:val="32"/>
    <w:qFormat/>
    <w:uiPriority w:val="0"/>
    <w:rPr>
      <w:rFonts w:ascii="黑体" w:hAnsi="黑体" w:eastAsia="黑体" w:cs="Times New Roman"/>
      <w:bCs/>
      <w:sz w:val="32"/>
      <w:szCs w:val="32"/>
    </w:rPr>
  </w:style>
  <w:style w:type="paragraph" w:customStyle="1" w:styleId="32">
    <w:name w:val="闻政标题3"/>
    <w:basedOn w:val="4"/>
    <w:link w:val="31"/>
    <w:qFormat/>
    <w:uiPriority w:val="99"/>
    <w:pPr>
      <w:spacing w:before="120" w:after="60" w:line="500" w:lineRule="exact"/>
      <w:jc w:val="left"/>
      <w:outlineLvl w:val="0"/>
    </w:pPr>
    <w:rPr>
      <w:rFonts w:ascii="黑体" w:hAnsi="黑体" w:eastAsia="黑体" w:cs="Times New Roman"/>
      <w:b w:val="0"/>
    </w:rPr>
  </w:style>
  <w:style w:type="character" w:customStyle="1" w:styleId="33">
    <w:name w:val="标题 3 Char"/>
    <w:basedOn w:val="14"/>
    <w:link w:val="4"/>
    <w:semiHidden/>
    <w:qFormat/>
    <w:uiPriority w:val="9"/>
    <w:rPr>
      <w:b/>
      <w:bCs/>
      <w:sz w:val="32"/>
      <w:szCs w:val="32"/>
    </w:rPr>
  </w:style>
  <w:style w:type="paragraph" w:customStyle="1" w:styleId="34">
    <w:name w:val="Body text|1"/>
    <w:basedOn w:val="1"/>
    <w:link w:val="35"/>
    <w:qFormat/>
    <w:uiPriority w:val="0"/>
    <w:pPr>
      <w:spacing w:after="40" w:line="334" w:lineRule="auto"/>
    </w:pPr>
    <w:rPr>
      <w:rFonts w:ascii="MingLiU" w:hAnsi="MingLiU" w:eastAsia="MingLiU" w:cs="MingLiU"/>
      <w:sz w:val="20"/>
      <w:szCs w:val="20"/>
      <w:lang w:val="zh-TW" w:eastAsia="zh-TW" w:bidi="zh-TW"/>
    </w:rPr>
  </w:style>
  <w:style w:type="character" w:customStyle="1" w:styleId="35">
    <w:name w:val="Body text|1_"/>
    <w:basedOn w:val="14"/>
    <w:link w:val="34"/>
    <w:unhideWhenUsed/>
    <w:qFormat/>
    <w:uiPriority w:val="0"/>
    <w:rPr>
      <w:rFonts w:ascii="MingLiU" w:hAnsi="MingLiU" w:eastAsia="MingLiU" w:cs="MingLiU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90628E-B881-4B6F-B28D-E0D1610D7B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13</Pages>
  <Words>715</Words>
  <Characters>4082</Characters>
  <Lines>34</Lines>
  <Paragraphs>9</Paragraphs>
  <TotalTime>217</TotalTime>
  <ScaleCrop>false</ScaleCrop>
  <LinksUpToDate>false</LinksUpToDate>
  <CharactersWithSpaces>4788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2019-11-22T05:12:00Z</dcterms:created>
  <dc:creator>ThinkPad</dc:creator>
  <cp:lastModifiedBy>Administrator</cp:lastModifiedBy>
  <cp:lastPrinted>2020-04-23T03:28:00Z</cp:lastPrinted>
  <dcterms:modified xsi:type="dcterms:W3CDTF">2023-07-11T11:40:54Z</dcterms:modified>
  <dc:title>新疆普天鹏华商务信息咨询有限公司</dc:title>
  <cp:revision>134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