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新疆喀什技师学院2019年度部门决算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rPr>
          <w:rFonts w:ascii="仿宋_GB2312" w:eastAsia="仿宋_GB2312"/>
          <w:sz w:val="32"/>
          <w:szCs w:val="32"/>
        </w:rPr>
      </w:pPr>
      <w:r>
        <w:rPr>
          <w:rFonts w:hint="eastAsia" w:ascii="仿宋_GB2312" w:eastAsia="仿宋_GB2312"/>
          <w:sz w:val="32"/>
          <w:szCs w:val="32"/>
        </w:rPr>
        <w:t xml:space="preserve">    开展专业技术教育，实施职业培训、技能培训、技师培训，培养初、中、高级技术人才</w:t>
      </w:r>
      <w:r>
        <w:rPr>
          <w:rFonts w:hint="eastAsia" w:ascii="仿宋_GB2312" w:eastAsia="仿宋_GB2312"/>
          <w:sz w:val="32"/>
          <w:szCs w:val="32"/>
          <w:lang w:val="en-US" w:eastAsia="zh-CN"/>
        </w:rPr>
        <w:t>;</w:t>
      </w:r>
      <w:r>
        <w:rPr>
          <w:rFonts w:hint="eastAsia" w:ascii="仿宋_GB2312" w:eastAsia="仿宋_GB2312"/>
          <w:sz w:val="32"/>
          <w:szCs w:val="32"/>
        </w:rPr>
        <w:t>开展学制教育和成人学历教育</w:t>
      </w:r>
      <w:r>
        <w:rPr>
          <w:rFonts w:hint="eastAsia" w:ascii="仿宋_GB2312" w:eastAsia="仿宋_GB2312"/>
          <w:sz w:val="32"/>
          <w:szCs w:val="32"/>
          <w:lang w:val="en-US" w:eastAsia="zh-CN"/>
        </w:rPr>
        <w:t>;</w:t>
      </w:r>
      <w:r>
        <w:rPr>
          <w:rFonts w:hint="eastAsia" w:ascii="仿宋_GB2312" w:eastAsia="仿宋_GB2312"/>
          <w:sz w:val="32"/>
          <w:szCs w:val="32"/>
        </w:rPr>
        <w:t>开展汽车驾驶，特殊工种培训，农业机械操作等专业培训</w:t>
      </w:r>
      <w:r>
        <w:rPr>
          <w:rFonts w:hint="eastAsia" w:ascii="仿宋_GB2312" w:eastAsia="仿宋_GB2312"/>
          <w:sz w:val="32"/>
          <w:szCs w:val="32"/>
          <w:lang w:val="en-US" w:eastAsia="zh-CN"/>
        </w:rPr>
        <w:t>;</w:t>
      </w:r>
      <w:r>
        <w:rPr>
          <w:rFonts w:hint="eastAsia" w:ascii="仿宋_GB2312" w:eastAsia="仿宋_GB2312"/>
          <w:sz w:val="32"/>
          <w:szCs w:val="32"/>
        </w:rPr>
        <w:t>开展专业及鉴定工作，承担地区人力资源和社会保障局委托的其他工作。</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hint="eastAsia" w:ascii="仿宋_GB2312" w:eastAsia="仿宋_GB2312"/>
          <w:sz w:val="32"/>
          <w:szCs w:val="32"/>
        </w:rPr>
        <w:t>新疆喀什技师学院2</w:t>
      </w:r>
      <w:r>
        <w:rPr>
          <w:rFonts w:ascii="仿宋_GB2312" w:eastAsia="仿宋_GB2312"/>
          <w:sz w:val="32"/>
          <w:szCs w:val="32"/>
        </w:rPr>
        <w:t>019</w:t>
      </w:r>
      <w:r>
        <w:rPr>
          <w:rFonts w:hint="eastAsia" w:ascii="仿宋_GB2312" w:eastAsia="仿宋_GB2312"/>
          <w:sz w:val="32"/>
          <w:szCs w:val="32"/>
        </w:rPr>
        <w:t>年度，实有人数315人，其中：在职人员156人，离休人员1人，退休人员158人。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从部门决算单位构成看，新疆喀什技师学院部门决算包括：新疆喀什技师学院决算。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2019年度本年收入9,637.32万元，与上年相比，减少1,470.06万元，下降13.23%，主要原因是：</w:t>
      </w:r>
      <w:r>
        <w:rPr>
          <w:rFonts w:hint="eastAsia" w:ascii="仿宋_GB2312" w:eastAsia="仿宋_GB2312"/>
          <w:color w:val="000000" w:themeColor="text1"/>
          <w:sz w:val="32"/>
          <w:szCs w:val="32"/>
          <w14:textFill>
            <w14:solidFill>
              <w14:schemeClr w14:val="tx1"/>
            </w14:solidFill>
          </w14:textFill>
        </w:rPr>
        <w:t>基本建设项目减少，资金减少。</w:t>
      </w:r>
      <w:r>
        <w:rPr>
          <w:rFonts w:hint="eastAsia" w:ascii="仿宋_GB2312" w:eastAsia="仿宋_GB2312"/>
          <w:sz w:val="32"/>
          <w:szCs w:val="32"/>
        </w:rPr>
        <w:t>本年支出10,309.10万元，与上年相比，减少1,663.53万元，下降13.89%，主要原因是：</w:t>
      </w:r>
      <w:r>
        <w:rPr>
          <w:rFonts w:hint="eastAsia" w:ascii="仿宋_GB2312" w:eastAsia="仿宋_GB2312"/>
          <w:color w:val="000000" w:themeColor="text1"/>
          <w:sz w:val="32"/>
          <w:szCs w:val="32"/>
          <w14:textFill>
            <w14:solidFill>
              <w14:schemeClr w14:val="tx1"/>
            </w14:solidFill>
          </w14:textFill>
        </w:rPr>
        <w:t>基本建设项目减少，资金减少。</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年度本年收入9,637.32万元，其中：财政拨款收入9,320.74万元，占96.72%；上级补助收入0万元，占0%；事业收入36.28万元，占0.38%；经营收入0万元，占0%；附属单位上缴收入0万元，占0%；其他收入280.29万元，占2.91%。</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hint="eastAsia" w:ascii="仿宋_GB2312" w:eastAsia="仿宋_GB2312"/>
          <w:sz w:val="32"/>
          <w:szCs w:val="32"/>
        </w:rPr>
        <w:t>2019年度本年支出10,309.10万元，其中：基本支出2,681.11万元，占26.01%；项目支出7,628万元，占73.99%；上缴上级支出0万元，占0%；经营支出0万元，占0%；对附属单位补助支出0万元，占0%。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2019年度财政拨款收入9,320.74万元，与上年相比，增加763.95万元，增长8.93%，主要原因是：公用经费项目增加，资金增加。财政拨款支出9,347.55万元，与上年相比，增加524.28万元，增长5.94%，主要原因是：</w:t>
      </w:r>
      <w:r>
        <w:rPr>
          <w:rFonts w:ascii="仿宋_GB2312" w:eastAsia="仿宋_GB2312"/>
          <w:sz w:val="32"/>
          <w:szCs w:val="32"/>
        </w:rPr>
        <w:t>公用经费项目增加，资金支出增加。</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color w:val="000000" w:themeColor="text1"/>
          <w:sz w:val="32"/>
          <w:szCs w:val="32"/>
          <w14:textFill>
            <w14:solidFill>
              <w14:schemeClr w14:val="tx1"/>
            </w14:solidFill>
          </w14:textFill>
        </w:rPr>
        <w:t>2,977.51</w:t>
      </w:r>
      <w:r>
        <w:rPr>
          <w:rFonts w:hint="eastAsia" w:ascii="仿宋_GB2312" w:eastAsia="仿宋_GB2312"/>
          <w:sz w:val="32"/>
          <w:szCs w:val="32"/>
        </w:rPr>
        <w:t>万元，决算数9,320.74万元</w:t>
      </w:r>
      <w:r>
        <w:rPr>
          <w:rFonts w:ascii="仿宋_GB2312" w:eastAsia="仿宋_GB2312"/>
          <w:color w:val="000000" w:themeColor="text1"/>
          <w:sz w:val="32"/>
          <w:szCs w:val="32"/>
          <w14:textFill>
            <w14:solidFill>
              <w14:schemeClr w14:val="tx1"/>
            </w14:solidFill>
          </w14:textFill>
        </w:rPr>
        <w:t>，预决算差异率213.04%，主要原因是：本年新增专项，项目资金增加。</w:t>
      </w:r>
      <w:r>
        <w:rPr>
          <w:rFonts w:hint="eastAsia" w:ascii="仿宋_GB2312" w:eastAsia="仿宋_GB2312"/>
          <w:sz w:val="32"/>
          <w:szCs w:val="32"/>
        </w:rPr>
        <w:t>财政拨款支出年初预算数</w:t>
      </w:r>
      <w:r>
        <w:rPr>
          <w:rFonts w:ascii="仿宋_GB2312" w:eastAsia="仿宋_GB2312"/>
          <w:color w:val="000000" w:themeColor="text1"/>
          <w:sz w:val="32"/>
          <w:szCs w:val="32"/>
          <w14:textFill>
            <w14:solidFill>
              <w14:schemeClr w14:val="tx1"/>
            </w14:solidFill>
          </w14:textFill>
        </w:rPr>
        <w:t>5,712.30</w:t>
      </w:r>
      <w:r>
        <w:rPr>
          <w:rFonts w:hint="eastAsia" w:ascii="仿宋_GB2312" w:eastAsia="仿宋_GB2312"/>
          <w:sz w:val="32"/>
          <w:szCs w:val="32"/>
        </w:rPr>
        <w:t>万元，决算数9,347.55万元</w:t>
      </w:r>
      <w:r>
        <w:rPr>
          <w:rFonts w:ascii="仿宋_GB2312" w:eastAsia="仿宋_GB2312"/>
          <w:color w:val="000000" w:themeColor="text1"/>
          <w:sz w:val="32"/>
          <w:szCs w:val="32"/>
          <w14:textFill>
            <w14:solidFill>
              <w14:schemeClr w14:val="tx1"/>
            </w14:solidFill>
          </w14:textFill>
        </w:rPr>
        <w:t>，预决算差异率63.64%，主要原因是：本年新增专项，项目资金增加。</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年度一般公共预算财政拨款支出9,347.55万元。按功能分类科目项级科目公开，其中：</w:t>
      </w:r>
    </w:p>
    <w:p>
      <w:pPr>
        <w:rPr>
          <w:rFonts w:ascii="仿宋_GB2312" w:eastAsia="仿宋_GB2312"/>
          <w:sz w:val="32"/>
          <w:szCs w:val="32"/>
        </w:rPr>
      </w:pPr>
      <w:r>
        <w:rPr>
          <w:rFonts w:ascii="仿宋_GB2312" w:eastAsia="仿宋_GB2312"/>
          <w:sz w:val="32"/>
          <w:szCs w:val="32"/>
        </w:rPr>
        <w:t xml:space="preserve">   2012999其他群众团体事务支出0.20万元；</w:t>
      </w:r>
      <w:r>
        <w:rPr>
          <w:rFonts w:ascii="仿宋_GB2312" w:eastAsia="仿宋_GB2312"/>
          <w:sz w:val="32"/>
          <w:szCs w:val="32"/>
        </w:rPr>
        <w:br w:type="textWrapping"/>
      </w:r>
      <w:r>
        <w:rPr>
          <w:rFonts w:ascii="仿宋_GB2312" w:eastAsia="仿宋_GB2312"/>
          <w:sz w:val="32"/>
          <w:szCs w:val="32"/>
        </w:rPr>
        <w:t xml:space="preserve">   2050201学前教育支出7.70万元；</w:t>
      </w:r>
      <w:r>
        <w:rPr>
          <w:rFonts w:ascii="仿宋_GB2312" w:eastAsia="仿宋_GB2312"/>
          <w:sz w:val="32"/>
          <w:szCs w:val="32"/>
        </w:rPr>
        <w:br w:type="textWrapping"/>
      </w:r>
      <w:r>
        <w:rPr>
          <w:rFonts w:ascii="仿宋_GB2312" w:eastAsia="仿宋_GB2312"/>
          <w:sz w:val="32"/>
          <w:szCs w:val="32"/>
        </w:rPr>
        <w:t xml:space="preserve">   2050299其他普通教育支出1,711.30万元；</w:t>
      </w:r>
      <w:r>
        <w:rPr>
          <w:rFonts w:ascii="仿宋_GB2312" w:eastAsia="仿宋_GB2312"/>
          <w:sz w:val="32"/>
          <w:szCs w:val="32"/>
        </w:rPr>
        <w:br w:type="textWrapping"/>
      </w:r>
      <w:r>
        <w:rPr>
          <w:rFonts w:ascii="仿宋_GB2312" w:eastAsia="仿宋_GB2312"/>
          <w:sz w:val="32"/>
          <w:szCs w:val="32"/>
        </w:rPr>
        <w:t xml:space="preserve">   2050302中专教育支出474.68万元；</w:t>
      </w:r>
      <w:r>
        <w:rPr>
          <w:rFonts w:ascii="仿宋_GB2312" w:eastAsia="仿宋_GB2312"/>
          <w:sz w:val="32"/>
          <w:szCs w:val="32"/>
        </w:rPr>
        <w:br w:type="textWrapping"/>
      </w:r>
      <w:r>
        <w:rPr>
          <w:rFonts w:ascii="仿宋_GB2312" w:eastAsia="仿宋_GB2312"/>
          <w:sz w:val="32"/>
          <w:szCs w:val="32"/>
        </w:rPr>
        <w:t xml:space="preserve">   2050303技校教育支出3,704.17万元；</w:t>
      </w:r>
      <w:r>
        <w:rPr>
          <w:rFonts w:ascii="仿宋_GB2312" w:eastAsia="仿宋_GB2312"/>
          <w:sz w:val="32"/>
          <w:szCs w:val="32"/>
        </w:rPr>
        <w:br w:type="textWrapping"/>
      </w:r>
      <w:r>
        <w:rPr>
          <w:rFonts w:ascii="仿宋_GB2312" w:eastAsia="仿宋_GB2312"/>
          <w:sz w:val="32"/>
          <w:szCs w:val="32"/>
        </w:rPr>
        <w:t xml:space="preserve">   2050305高等职业教育支出2,550.90万元；</w:t>
      </w:r>
      <w:r>
        <w:rPr>
          <w:rFonts w:ascii="仿宋_GB2312" w:eastAsia="仿宋_GB2312"/>
          <w:sz w:val="32"/>
          <w:szCs w:val="32"/>
        </w:rPr>
        <w:br w:type="textWrapping"/>
      </w:r>
      <w:r>
        <w:rPr>
          <w:rFonts w:ascii="仿宋_GB2312" w:eastAsia="仿宋_GB2312"/>
          <w:sz w:val="32"/>
          <w:szCs w:val="32"/>
        </w:rPr>
        <w:t xml:space="preserve">   2050399其他职业教育支出585.28万元；</w:t>
      </w:r>
      <w:r>
        <w:rPr>
          <w:rFonts w:ascii="仿宋_GB2312" w:eastAsia="仿宋_GB2312"/>
          <w:sz w:val="32"/>
          <w:szCs w:val="32"/>
        </w:rPr>
        <w:br w:type="textWrapping"/>
      </w:r>
      <w:r>
        <w:rPr>
          <w:rFonts w:ascii="仿宋_GB2312" w:eastAsia="仿宋_GB2312"/>
          <w:sz w:val="32"/>
          <w:szCs w:val="32"/>
        </w:rPr>
        <w:t xml:space="preserve">   2080505机关事业单位基本养老保险缴费支出245.33万元；</w:t>
      </w:r>
      <w:r>
        <w:rPr>
          <w:rFonts w:ascii="仿宋_GB2312" w:eastAsia="仿宋_GB2312"/>
          <w:sz w:val="32"/>
          <w:szCs w:val="32"/>
        </w:rPr>
        <w:br w:type="textWrapping"/>
      </w:r>
      <w:r>
        <w:rPr>
          <w:rFonts w:ascii="仿宋_GB2312" w:eastAsia="仿宋_GB2312"/>
          <w:sz w:val="32"/>
          <w:szCs w:val="32"/>
        </w:rPr>
        <w:t xml:space="preserve">   2080506机关事业单位职业年金缴费支出26.19万元；</w:t>
      </w:r>
      <w:r>
        <w:rPr>
          <w:rFonts w:ascii="仿宋_GB2312" w:eastAsia="仿宋_GB2312"/>
          <w:sz w:val="32"/>
          <w:szCs w:val="32"/>
        </w:rPr>
        <w:br w:type="textWrapping"/>
      </w:r>
      <w:r>
        <w:rPr>
          <w:rFonts w:ascii="仿宋_GB2312" w:eastAsia="仿宋_GB2312"/>
          <w:sz w:val="32"/>
          <w:szCs w:val="32"/>
        </w:rPr>
        <w:t xml:space="preserve">   2080712高技能人才培养补助支出17.81万元；</w:t>
      </w:r>
      <w:r>
        <w:rPr>
          <w:rFonts w:ascii="仿宋_GB2312" w:eastAsia="仿宋_GB2312"/>
          <w:sz w:val="32"/>
          <w:szCs w:val="32"/>
        </w:rPr>
        <w:br w:type="textWrapping"/>
      </w:r>
      <w:r>
        <w:rPr>
          <w:rFonts w:ascii="仿宋_GB2312" w:eastAsia="仿宋_GB2312"/>
          <w:sz w:val="32"/>
          <w:szCs w:val="32"/>
        </w:rPr>
        <w:t xml:space="preserve">   2299901其他支出23.99万元。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年度一般公共预算财政拨款基本支出2,644.82万元，其中：</w:t>
      </w:r>
    </w:p>
    <w:p>
      <w:pPr>
        <w:ind w:firstLine="640" w:firstLineChars="200"/>
        <w:rPr>
          <w:rFonts w:ascii="仿宋_GB2312" w:eastAsia="仿宋_GB2312"/>
          <w:sz w:val="32"/>
          <w:szCs w:val="32"/>
        </w:rPr>
      </w:pPr>
      <w:r>
        <w:rPr>
          <w:rFonts w:hint="eastAsia" w:ascii="仿宋_GB2312" w:eastAsia="仿宋_GB2312"/>
          <w:sz w:val="32"/>
          <w:szCs w:val="32"/>
        </w:rPr>
        <w:t>人员经费2,639.75万元，包括：基本工资、津贴补贴、奖金、绩效工资、机关事业单位基本养老保险缴费、职业年金缴费、职工基本医疗保险缴费、其他社会保障缴费、住房公积金、其他工资福利支出、离休费、退休费、抚恤金、生活补助、奖励金。</w:t>
      </w:r>
    </w:p>
    <w:p>
      <w:pPr>
        <w:ind w:firstLine="640" w:firstLineChars="200"/>
        <w:rPr>
          <w:rFonts w:ascii="仿宋_GB2312" w:eastAsia="仿宋_GB2312"/>
          <w:sz w:val="32"/>
          <w:szCs w:val="32"/>
        </w:rPr>
      </w:pPr>
      <w:r>
        <w:rPr>
          <w:rFonts w:hint="eastAsia" w:ascii="仿宋_GB2312" w:eastAsia="仿宋_GB2312"/>
          <w:sz w:val="32"/>
          <w:szCs w:val="32"/>
        </w:rPr>
        <w:t>公用经费5.07万元，包括：其他交通费用、其他商品和服务支出。</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三公”经费支出决算0万元，比上年增加0万元，增长0%，主要原因是与上年相比无变动，与上年一致。其中，因公出国（境）费支出0万元，占0%，比上年增加0万元，增长0%，主要原因是与上年相比无变动，与上年一致；公务用车购置及运行维护费支出0万元，占0%，比上年增加0万元，增长0%，主要原因是与上年相比无变动，与上年一致；公务接待费支出0万元，占0%，比上年增加0万元，增长0%，主要原因是与上年相比无变动，与上年一致。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因公出国（境）费支出0万元，开支内容包括：</w:t>
      </w:r>
      <w:r>
        <w:rPr>
          <w:rFonts w:ascii="仿宋_GB2312" w:eastAsia="仿宋_GB2312"/>
          <w:color w:val="000000" w:themeColor="text1"/>
          <w:sz w:val="32"/>
          <w:szCs w:val="32"/>
          <w14:textFill>
            <w14:solidFill>
              <w14:schemeClr w14:val="tx1"/>
            </w14:solidFill>
          </w14:textFill>
        </w:rPr>
        <w:t>预算未安排，无此项支出。</w:t>
      </w:r>
      <w:r>
        <w:rPr>
          <w:rFonts w:hint="eastAsia" w:ascii="仿宋_GB2312" w:eastAsia="仿宋_GB2312"/>
          <w:sz w:val="32"/>
          <w:szCs w:val="32"/>
        </w:rPr>
        <w:t>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公务用车购置及运行维护费0万元，其中，公务用车购置费0万元，公务用车运行维护费0万元。公务用车运行维护费开支内容包括预算未安排，无此项支出。公务用车购置数0辆，公务用车保有量0辆。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公务接待费0万元，开支内容包括预算未安排，无此项支出。单位全年安排的国内公务接待0批次，0人次。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w:t>
      </w:r>
      <w:r>
        <w:rPr>
          <w:rFonts w:hint="eastAsia" w:ascii="仿宋_GB2312" w:eastAsia="仿宋_GB2312"/>
          <w:color w:val="000000" w:themeColor="text1"/>
          <w:sz w:val="32"/>
          <w:szCs w:val="32"/>
          <w:lang w:eastAsia="zh-CN"/>
          <w14:textFill>
            <w14:solidFill>
              <w14:schemeClr w14:val="tx1"/>
            </w14:solidFill>
          </w14:textFill>
        </w:rPr>
        <w:t>预算未安排，无差异</w:t>
      </w:r>
      <w:r>
        <w:rPr>
          <w:rFonts w:ascii="仿宋_GB2312" w:eastAsia="仿宋_GB2312"/>
          <w:color w:val="000000" w:themeColor="text1"/>
          <w:sz w:val="32"/>
          <w:szCs w:val="32"/>
          <w14:textFill>
            <w14:solidFill>
              <w14:schemeClr w14:val="tx1"/>
            </w14:solidFill>
          </w14:textFill>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，预决算差异率0%，主要原因是：预算未安排，无此项支出；</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，预决算差异率0%，主要原因是：预算未安排，无此项支出；</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，预决算差异率0%，主要原因是：预算未安排，无此项支出；</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，预决算差异率0%，主要原因是：预算未安排，无此项支出。</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hint="eastAsia" w:ascii="仿宋_GB2312" w:eastAsia="仿宋_GB2312"/>
          <w:color w:val="000000" w:themeColor="text1"/>
          <w:sz w:val="32"/>
          <w:szCs w:val="32"/>
          <w14:textFill>
            <w14:solidFill>
              <w14:schemeClr w14:val="tx1"/>
            </w14:solidFill>
          </w14:textFill>
        </w:rPr>
        <w:t>新疆喀什技师学院日常公用经费5.07万元，比上年减少8.85万元，降低63.58%，主要原因是专项业务活动次数减少，资金支出减少。</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年度政府采购支出总额1,609.34万元，其中：政府采购货物支出1,558.40万元、政府采购工程支出0万元、政府采购服务支出50.94万元。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授予中小企业合同金额1,609.34万元，占政府采购支出总额的100%，其中：授予小微企业合同金额174.98万元，占政府采购支出总额的10.87%。</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w:t>
      </w:r>
      <w:r>
        <w:rPr>
          <w:rFonts w:ascii="仿宋_GB2312" w:eastAsia="仿宋_GB2312"/>
          <w:sz w:val="32"/>
          <w:szCs w:val="32"/>
        </w:rPr>
        <w:t>2019</w:t>
      </w:r>
      <w:r>
        <w:rPr>
          <w:rFonts w:hint="eastAsia" w:ascii="仿宋_GB2312" w:eastAsia="仿宋_GB2312"/>
          <w:sz w:val="32"/>
          <w:szCs w:val="32"/>
        </w:rPr>
        <w:t>年12月31日，单位共有房屋77,406.18（平方米），价值16,925.32万元。车辆79辆，价值679.02万元，其中：副部（省）级及以上领导用车0辆、主要领导干部用车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辆、机要通信用车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辆、应急保障用车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辆、执法执勤用车0辆、特种专业技术用车0辆、离退休干部用车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辆、其他用车</w:t>
      </w:r>
      <w:r>
        <w:rPr>
          <w:rFonts w:ascii="仿宋_GB2312" w:eastAsia="仿宋_GB2312"/>
          <w:color w:val="000000" w:themeColor="text1"/>
          <w:sz w:val="32"/>
          <w:szCs w:val="32"/>
          <w14:textFill>
            <w14:solidFill>
              <w14:schemeClr w14:val="tx1"/>
            </w14:solidFill>
          </w14:textFill>
        </w:rPr>
        <w:t>79</w:t>
      </w:r>
      <w:r>
        <w:rPr>
          <w:rFonts w:hint="eastAsia" w:ascii="仿宋_GB2312" w:eastAsia="仿宋_GB2312"/>
          <w:sz w:val="32"/>
          <w:szCs w:val="32"/>
        </w:rPr>
        <w:t>辆，其他用车主要是：</w:t>
      </w:r>
      <w:r>
        <w:rPr>
          <w:rFonts w:ascii="仿宋_GB2312" w:eastAsia="仿宋_GB2312"/>
          <w:color w:val="000000" w:themeColor="text1"/>
          <w:sz w:val="32"/>
          <w:szCs w:val="32"/>
          <w14:textFill>
            <w14:solidFill>
              <w14:schemeClr w14:val="tx1"/>
            </w14:solidFill>
          </w14:textFill>
        </w:rPr>
        <w:t>学院汽车驾驶专业实训车辆；</w:t>
      </w:r>
      <w:r>
        <w:rPr>
          <w:rFonts w:hint="eastAsia" w:ascii="仿宋_GB2312" w:eastAsia="仿宋_GB2312"/>
          <w:sz w:val="32"/>
          <w:szCs w:val="32"/>
        </w:rPr>
        <w:t>单位价值50万元以上通用设备8台（套）、单位价值100万元以上专用设备4台（套）。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根据预算绩效管理要求，我单位2019年度开展预算绩效评价项目24个，共涉及资金</w:t>
      </w:r>
      <w:r>
        <w:rPr>
          <w:rFonts w:hint="eastAsia" w:ascii="仿宋_GB2312" w:eastAsia="仿宋_GB2312"/>
          <w:sz w:val="32"/>
          <w:szCs w:val="32"/>
          <w:lang w:val="en-US" w:eastAsia="zh-CN"/>
        </w:rPr>
        <w:t>7106.56</w:t>
      </w:r>
      <w:bookmarkStart w:id="54" w:name="_GoBack"/>
      <w:bookmarkEnd w:id="54"/>
      <w:r>
        <w:rPr>
          <w:rFonts w:hint="eastAsia" w:ascii="仿宋_GB2312" w:eastAsia="仿宋_GB2312"/>
          <w:sz w:val="32"/>
          <w:szCs w:val="32"/>
        </w:rPr>
        <w:t>万元。预算绩效管理取得的成效：一是经济性评价：部门年度任务在预算资金额度内完成，并通过规范的招投标</w:t>
      </w:r>
      <w:r>
        <w:rPr>
          <w:rFonts w:hint="eastAsia" w:ascii="仿宋_GB2312" w:eastAsia="仿宋_GB2312"/>
          <w:sz w:val="32"/>
          <w:szCs w:val="32"/>
          <w:lang w:eastAsia="zh-CN"/>
        </w:rPr>
        <w:t>，</w:t>
      </w:r>
      <w:r>
        <w:rPr>
          <w:rFonts w:hint="eastAsia" w:ascii="仿宋_GB2312" w:eastAsia="仿宋_GB2312"/>
          <w:sz w:val="32"/>
          <w:szCs w:val="32"/>
        </w:rPr>
        <w:t>严格的资金管理</w:t>
      </w:r>
      <w:r>
        <w:rPr>
          <w:rFonts w:hint="eastAsia" w:ascii="仿宋_GB2312" w:eastAsia="仿宋_GB2312"/>
          <w:sz w:val="32"/>
          <w:szCs w:val="32"/>
          <w:lang w:eastAsia="zh-CN"/>
        </w:rPr>
        <w:t>、</w:t>
      </w:r>
      <w:r>
        <w:rPr>
          <w:rFonts w:hint="eastAsia" w:ascii="仿宋_GB2312" w:eastAsia="仿宋_GB2312"/>
          <w:sz w:val="32"/>
          <w:szCs w:val="32"/>
        </w:rPr>
        <w:t>项目管理及其他创新的管理措施实现了资金的节约。三公经费在预算范围内开支，开支范围较上年无变化。二是效率性评价：各项工作计划按预期计划按时完成，效益按预期时间产生。三是效益性评价：预期的经济效益、社会效益、可持续的影响产生，相关人员的满意。发现的问题及原因：一是通过预算绩效管理，发现了工作中存在的不足，前期资金使用因资金到位较晚、资金使用计划不完整以及项目跨年度等原因未按期支付，导致了资金滞缓，影响了项目的进度，造成了部分资金的浪费。下一步改进措施：年初做好资金计划，按照项目进度及时拨付资金，当年新增项目按照资金用途及时编制资金计划，按照计划加快项目实施，使资金使用效益最大化，减少不必要的浪费，节约成本。具体项目自评情况附项目支出绩效自评表。</w:t>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2784"/>
      <w:bookmarkStart w:id="37" w:name="_Toc28903"/>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5STQfgMCAAAEBAAADgAAAAAAAAABACAAAAAeAQAAZHJzL2Uyb0Rv&#10;Yy54bWxQSwUGAAAAAAYABgBZAQAAkw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97"/>
  <w:bordersDoNotSurroundHeader w:val="1"/>
  <w:bordersDoNotSurroundFooter w:val="1"/>
  <w:documentProtection w:edit="comments" w:enforcement="1" w:cryptProviderType="rsaFull" w:cryptAlgorithmClass="hash" w:cryptAlgorithmType="typeAny" w:cryptAlgorithmSid="4" w:cryptSpinCount="0" w:hash="X8v46SP9AhEWagR4y2tZgH/58/Q=" w:salt="I2i5whIL3vfmaLiO8MFi4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7B8"/>
    <w:rsid w:val="000F01B7"/>
    <w:rsid w:val="000F6705"/>
    <w:rsid w:val="001128A8"/>
    <w:rsid w:val="001130AE"/>
    <w:rsid w:val="001237CF"/>
    <w:rsid w:val="00125A6F"/>
    <w:rsid w:val="0014029C"/>
    <w:rsid w:val="00146FA3"/>
    <w:rsid w:val="00162E66"/>
    <w:rsid w:val="001826D1"/>
    <w:rsid w:val="001848EE"/>
    <w:rsid w:val="00186B3B"/>
    <w:rsid w:val="001C2D35"/>
    <w:rsid w:val="001C5BE8"/>
    <w:rsid w:val="001C6E66"/>
    <w:rsid w:val="001D3634"/>
    <w:rsid w:val="001D37EF"/>
    <w:rsid w:val="001E4D79"/>
    <w:rsid w:val="001F777A"/>
    <w:rsid w:val="002122DE"/>
    <w:rsid w:val="00227229"/>
    <w:rsid w:val="002328AF"/>
    <w:rsid w:val="00233021"/>
    <w:rsid w:val="0024217C"/>
    <w:rsid w:val="00243E6C"/>
    <w:rsid w:val="00265F92"/>
    <w:rsid w:val="00272845"/>
    <w:rsid w:val="0029171A"/>
    <w:rsid w:val="00292B7F"/>
    <w:rsid w:val="002B072F"/>
    <w:rsid w:val="002B37DA"/>
    <w:rsid w:val="002B7A04"/>
    <w:rsid w:val="002D187F"/>
    <w:rsid w:val="002F1732"/>
    <w:rsid w:val="00327986"/>
    <w:rsid w:val="003314E6"/>
    <w:rsid w:val="00340AE7"/>
    <w:rsid w:val="00354737"/>
    <w:rsid w:val="0037159F"/>
    <w:rsid w:val="00377EC6"/>
    <w:rsid w:val="003920B8"/>
    <w:rsid w:val="003A44F0"/>
    <w:rsid w:val="003C3EF4"/>
    <w:rsid w:val="003D1DD1"/>
    <w:rsid w:val="003E5F70"/>
    <w:rsid w:val="00400D8F"/>
    <w:rsid w:val="00430E56"/>
    <w:rsid w:val="004318F5"/>
    <w:rsid w:val="00456820"/>
    <w:rsid w:val="00471387"/>
    <w:rsid w:val="00471BBD"/>
    <w:rsid w:val="0047268F"/>
    <w:rsid w:val="004A41CF"/>
    <w:rsid w:val="004A44C9"/>
    <w:rsid w:val="004B2E7F"/>
    <w:rsid w:val="004D35C0"/>
    <w:rsid w:val="004E519F"/>
    <w:rsid w:val="004F1D2D"/>
    <w:rsid w:val="00531503"/>
    <w:rsid w:val="00534ECA"/>
    <w:rsid w:val="005358C2"/>
    <w:rsid w:val="005474EB"/>
    <w:rsid w:val="005506DD"/>
    <w:rsid w:val="005529D0"/>
    <w:rsid w:val="00553FB5"/>
    <w:rsid w:val="00554A58"/>
    <w:rsid w:val="00560394"/>
    <w:rsid w:val="0056525F"/>
    <w:rsid w:val="005B1DE6"/>
    <w:rsid w:val="005C11EB"/>
    <w:rsid w:val="006032AE"/>
    <w:rsid w:val="0068591E"/>
    <w:rsid w:val="00690F22"/>
    <w:rsid w:val="00693012"/>
    <w:rsid w:val="006B0B73"/>
    <w:rsid w:val="006D2B94"/>
    <w:rsid w:val="006E0721"/>
    <w:rsid w:val="0070295D"/>
    <w:rsid w:val="00725755"/>
    <w:rsid w:val="0075023C"/>
    <w:rsid w:val="00750D8A"/>
    <w:rsid w:val="00764051"/>
    <w:rsid w:val="00772611"/>
    <w:rsid w:val="007741F8"/>
    <w:rsid w:val="007B0022"/>
    <w:rsid w:val="007E2E4F"/>
    <w:rsid w:val="007E3BFD"/>
    <w:rsid w:val="00807B4B"/>
    <w:rsid w:val="008144CF"/>
    <w:rsid w:val="00827663"/>
    <w:rsid w:val="00847CE1"/>
    <w:rsid w:val="00852D88"/>
    <w:rsid w:val="00857132"/>
    <w:rsid w:val="00862395"/>
    <w:rsid w:val="008853A8"/>
    <w:rsid w:val="00887778"/>
    <w:rsid w:val="008D5B57"/>
    <w:rsid w:val="008F7D99"/>
    <w:rsid w:val="00922FA7"/>
    <w:rsid w:val="00927301"/>
    <w:rsid w:val="009351E1"/>
    <w:rsid w:val="0094423A"/>
    <w:rsid w:val="00963E2E"/>
    <w:rsid w:val="009774AD"/>
    <w:rsid w:val="00980F6F"/>
    <w:rsid w:val="009A173F"/>
    <w:rsid w:val="009C479E"/>
    <w:rsid w:val="009F4245"/>
    <w:rsid w:val="009F594D"/>
    <w:rsid w:val="00A009B3"/>
    <w:rsid w:val="00A239E7"/>
    <w:rsid w:val="00A34EDA"/>
    <w:rsid w:val="00AA13D0"/>
    <w:rsid w:val="00AC0B18"/>
    <w:rsid w:val="00AC1D87"/>
    <w:rsid w:val="00AE136F"/>
    <w:rsid w:val="00AE6C82"/>
    <w:rsid w:val="00AE7A56"/>
    <w:rsid w:val="00AF0871"/>
    <w:rsid w:val="00AF530E"/>
    <w:rsid w:val="00AF5DFE"/>
    <w:rsid w:val="00B006E5"/>
    <w:rsid w:val="00B13535"/>
    <w:rsid w:val="00B24234"/>
    <w:rsid w:val="00B3219F"/>
    <w:rsid w:val="00B51D57"/>
    <w:rsid w:val="00B64D13"/>
    <w:rsid w:val="00B76725"/>
    <w:rsid w:val="00BC38D2"/>
    <w:rsid w:val="00BC65E4"/>
    <w:rsid w:val="00BE0A9F"/>
    <w:rsid w:val="00C01003"/>
    <w:rsid w:val="00C87860"/>
    <w:rsid w:val="00C92609"/>
    <w:rsid w:val="00C974A0"/>
    <w:rsid w:val="00CA0969"/>
    <w:rsid w:val="00CB7A14"/>
    <w:rsid w:val="00CD1E0A"/>
    <w:rsid w:val="00CD44C9"/>
    <w:rsid w:val="00CE40E2"/>
    <w:rsid w:val="00CE4AEB"/>
    <w:rsid w:val="00CE74CB"/>
    <w:rsid w:val="00D00B68"/>
    <w:rsid w:val="00D04E19"/>
    <w:rsid w:val="00D6644C"/>
    <w:rsid w:val="00D71F68"/>
    <w:rsid w:val="00D767F4"/>
    <w:rsid w:val="00DA07A0"/>
    <w:rsid w:val="00DB6F81"/>
    <w:rsid w:val="00DC1313"/>
    <w:rsid w:val="00DD3B82"/>
    <w:rsid w:val="00E43F43"/>
    <w:rsid w:val="00EE3598"/>
    <w:rsid w:val="00EE791B"/>
    <w:rsid w:val="00F040C7"/>
    <w:rsid w:val="00F04DC0"/>
    <w:rsid w:val="00F24BA1"/>
    <w:rsid w:val="00F45607"/>
    <w:rsid w:val="00F552F7"/>
    <w:rsid w:val="00F57EE2"/>
    <w:rsid w:val="00F777E1"/>
    <w:rsid w:val="00F80266"/>
    <w:rsid w:val="00F83E19"/>
    <w:rsid w:val="00FB3828"/>
    <w:rsid w:val="00FC7A52"/>
    <w:rsid w:val="00FE0761"/>
    <w:rsid w:val="00FF5166"/>
    <w:rsid w:val="06792773"/>
    <w:rsid w:val="088769A3"/>
    <w:rsid w:val="19A418D6"/>
    <w:rsid w:val="1DAF458D"/>
    <w:rsid w:val="1ED64431"/>
    <w:rsid w:val="2A053397"/>
    <w:rsid w:val="2D1136DF"/>
    <w:rsid w:val="31C63837"/>
    <w:rsid w:val="3D5275AC"/>
    <w:rsid w:val="46901EEE"/>
    <w:rsid w:val="469C74D2"/>
    <w:rsid w:val="49F163E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1034</Words>
  <Characters>5894</Characters>
  <Lines>49</Lines>
  <Paragraphs>13</Paragraphs>
  <TotalTime>5</TotalTime>
  <ScaleCrop>false</ScaleCrop>
  <LinksUpToDate>false</LinksUpToDate>
  <CharactersWithSpaces>6915</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2020-07-16T02:47:00Z</dcterms:created>
  <dc:creator>GXR</dc:creator>
  <cp:lastModifiedBy>都是海</cp:lastModifiedBy>
  <dcterms:modified xsi:type="dcterms:W3CDTF">2020-12-03T12:05:41Z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