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44"/>
          <w:szCs w:val="44"/>
        </w:rPr>
      </w:pPr>
    </w:p>
    <w:p>
      <w:pPr>
        <w:spacing w:before="156" w:beforeLines="5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喀什地区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歌舞剧团</w:t>
      </w:r>
      <w:r>
        <w:rPr>
          <w:rFonts w:hint="eastAsia" w:ascii="方正小标宋简体" w:eastAsia="方正小标宋简体"/>
          <w:sz w:val="44"/>
          <w:szCs w:val="44"/>
        </w:rPr>
        <w:t>提前下达201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9</w:t>
      </w:r>
      <w:r>
        <w:rPr>
          <w:rFonts w:hint="eastAsia" w:ascii="方正小标宋简体" w:eastAsia="方正小标宋简体"/>
          <w:sz w:val="44"/>
          <w:szCs w:val="44"/>
        </w:rPr>
        <w:t>年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中央补助地方公共文化服务体系建设资金</w:t>
      </w:r>
      <w:r>
        <w:rPr>
          <w:rFonts w:hint="eastAsia" w:ascii="方正小标宋简体" w:eastAsia="方正小标宋简体"/>
          <w:sz w:val="44"/>
          <w:szCs w:val="44"/>
        </w:rPr>
        <w:t>项目支出绩效评价报告</w:t>
      </w: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spacing w:before="156" w:beforeLines="50"/>
        <w:jc w:val="center"/>
        <w:rPr>
          <w:rFonts w:ascii="方正小标宋简体" w:eastAsia="方正小标宋简体"/>
          <w:sz w:val="52"/>
          <w:szCs w:val="52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_GB2312" w:eastAsia="仿宋_GB2312" w:cs="仿宋_GB2312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项目名称：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提前下达201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中央补助地方公共文化服务体系建设资金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color w:val="000000" w:themeColor="text1"/>
          <w:ker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2019年预算指标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实施单位：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喀什地区歌舞剧团</w:t>
      </w:r>
    </w:p>
    <w:p>
      <w:pPr>
        <w:autoSpaceDE w:val="0"/>
        <w:autoSpaceDN w:val="0"/>
        <w:spacing w:line="540" w:lineRule="exact"/>
        <w:ind w:firstLine="712" w:firstLineChars="200"/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评价部门：</w:t>
      </w:r>
      <w:r>
        <w:rPr>
          <w:rFonts w:hint="eastAsia" w:ascii="仿宋_GB2312" w:hAnsi="仿宋" w:eastAsia="仿宋_GB2312" w:cs="Times New Roman"/>
          <w:spacing w:val="-2"/>
          <w:sz w:val="36"/>
          <w:szCs w:val="36"/>
          <w:lang w:eastAsia="zh-CN"/>
        </w:rPr>
        <w:t>喀什地区歌舞剧团</w:t>
      </w: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712" w:firstLineChars="2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136" w:firstLineChars="600"/>
        <w:rPr>
          <w:rFonts w:ascii="仿宋_GB2312" w:hAnsi="仿宋" w:eastAsia="仿宋_GB2312" w:cs="Times New Roman"/>
          <w:spacing w:val="-2"/>
          <w:sz w:val="36"/>
          <w:szCs w:val="36"/>
        </w:rPr>
      </w:pPr>
    </w:p>
    <w:p>
      <w:pPr>
        <w:autoSpaceDE w:val="0"/>
        <w:autoSpaceDN w:val="0"/>
        <w:spacing w:line="540" w:lineRule="exact"/>
        <w:ind w:firstLine="2848" w:firstLineChars="800"/>
        <w:rPr>
          <w:rFonts w:ascii="仿宋_GB2312" w:hAnsi="仿宋" w:eastAsia="仿宋_GB2312" w:cs="Times New Roman"/>
          <w:spacing w:val="-2"/>
          <w:sz w:val="36"/>
          <w:szCs w:val="36"/>
        </w:rPr>
      </w:pPr>
      <w:r>
        <w:rPr>
          <w:rFonts w:hint="eastAsia" w:ascii="仿宋_GB2312" w:hAnsi="仿宋" w:eastAsia="仿宋_GB2312" w:cs="Times New Roman"/>
          <w:spacing w:val="-2"/>
          <w:sz w:val="36"/>
          <w:szCs w:val="36"/>
        </w:rPr>
        <w:t>二零二零年四月</w:t>
      </w:r>
    </w:p>
    <w:p>
      <w:pPr>
        <w:spacing w:before="156" w:beforeLines="50" w:line="0" w:lineRule="atLeast"/>
        <w:jc w:val="left"/>
        <w:rPr>
          <w:sz w:val="28"/>
          <w:szCs w:val="28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spacing w:before="156" w:beforeLines="50" w:after="156" w:afterLines="50" w:line="600" w:lineRule="exact"/>
        <w:jc w:val="center"/>
        <w:rPr>
          <w:rFonts w:hint="eastAsia" w:ascii="方正小标宋简体" w:hAnsi="仿宋_GB2312" w:eastAsia="方正小标宋简体" w:cs="仿宋_GB2312"/>
          <w:color w:val="FF0000"/>
          <w:kern w:val="0"/>
          <w:sz w:val="44"/>
          <w:szCs w:val="44"/>
          <w:shd w:val="clear" w:color="auto" w:fill="FFFFFF"/>
          <w:lang w:bidi="ar"/>
        </w:rPr>
      </w:pP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基本情况</w:t>
      </w:r>
    </w:p>
    <w:p>
      <w:pPr>
        <w:pStyle w:val="24"/>
        <w:ind w:left="0" w:firstLine="643" w:firstLineChars="200"/>
        <w:rPr>
          <w:lang w:bidi="ar"/>
        </w:rPr>
      </w:pPr>
      <w:bookmarkStart w:id="0" w:name="_Toc26401549"/>
      <w:r>
        <w:rPr>
          <w:rFonts w:hint="eastAsia"/>
          <w:lang w:bidi="ar"/>
        </w:rPr>
        <w:t>项目概况</w:t>
      </w:r>
      <w:bookmarkEnd w:id="0"/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项目背景及立项依据</w:t>
      </w:r>
    </w:p>
    <w:p>
      <w:pPr>
        <w:pStyle w:val="24"/>
        <w:numPr>
          <w:ilvl w:val="0"/>
          <w:numId w:val="0"/>
        </w:numPr>
        <w:ind w:leftChars="200" w:firstLine="624" w:firstLineChars="200"/>
        <w:rPr>
          <w:b w:val="0"/>
          <w:bCs w:val="0"/>
          <w:lang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根据新财教〔2018〕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290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号</w:t>
      </w:r>
      <w:r>
        <w:rPr>
          <w:rFonts w:hint="eastAsia" w:ascii="仿宋_GB2312" w:hAnsi="仿宋"/>
          <w:b w:val="0"/>
          <w:bCs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文件，</w:t>
      </w:r>
      <w:r>
        <w:rPr>
          <w:rFonts w:hint="eastAsia" w:hAnsi="仿宋"/>
          <w:b w:val="0"/>
          <w:bCs w:val="0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提前下达</w:t>
      </w:r>
      <w:r>
        <w:rPr>
          <w:rFonts w:hint="eastAsia" w:hAnsi="宋体" w:cs="宋体"/>
          <w:b w:val="0"/>
          <w:bCs w:val="0"/>
          <w:color w:val="000000" w:themeColor="text1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中央补助地方公共文化服务体系建设资金</w:t>
      </w:r>
      <w:r>
        <w:rPr>
          <w:rFonts w:hint="eastAsia" w:hAnsi="宋体" w:cs="宋体"/>
          <w:b w:val="0"/>
          <w:bCs w:val="0"/>
          <w:color w:val="000000" w:themeColor="text1"/>
          <w:kern w:val="0"/>
          <w:sz w:val="30"/>
          <w:szCs w:val="30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="仿宋_GB2312" w:hAnsi="仿宋"/>
          <w:b w:val="0"/>
          <w:bCs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万元，其中：中央补助资金</w:t>
      </w:r>
      <w:r>
        <w:rPr>
          <w:rFonts w:hint="eastAsia" w:ascii="仿宋_GB2312" w:hAnsi="仿宋"/>
          <w:b w:val="0"/>
          <w:bCs w:val="0"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hint="eastAsia" w:ascii="仿宋_GB2312" w:hAnsi="仿宋"/>
          <w:b w:val="0"/>
          <w:bCs w:val="0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万元。自治区补助资金0万元。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本项目根据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新财教（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2018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）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290号文件精神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（文件、会议精神）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根据我团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2019年度年初预算实行的同时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立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了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提前下达中央补助地方公共文化服务体系建设资金项目，该项目资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金主要用于为团艺术领域创作新剧目费用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20万元，外请京剧艺术老师费用20万元，购买单位剧场耗材25万元，标准化舞蹈培训11万元等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。</w:t>
      </w:r>
    </w:p>
    <w:p>
      <w:pPr>
        <w:pStyle w:val="18"/>
        <w:numPr>
          <w:ilvl w:val="0"/>
          <w:numId w:val="3"/>
        </w:numPr>
        <w:spacing w:before="156" w:beforeLines="50" w:line="600" w:lineRule="exact"/>
        <w:ind w:firstLineChars="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项目主要内容及实施情况</w:t>
      </w:r>
    </w:p>
    <w:p>
      <w:pPr>
        <w:spacing w:before="156" w:beforeLines="50" w:line="600" w:lineRule="exact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 xml:space="preserve">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项目的主要内容为：</w:t>
      </w:r>
      <w:r>
        <w:rPr>
          <w:rStyle w:val="15"/>
          <w:rFonts w:hint="eastAsia" w:ascii="仿宋" w:hAnsi="仿宋" w:eastAsia="仿宋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该项目资金主要用于2019年度给单位剧场采购耗材费用25万元，新剧目创作费用20万元，外请专业舞蹈老师费用20万元，标准化舞蹈培训费用11万元等方面，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本项目的主管部门为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喀什地区文化广播电视和旅游局</w:t>
      </w:r>
      <w:r>
        <w:rPr>
          <w:rFonts w:ascii="仿宋_GB2312" w:hAnsi="仿宋" w:eastAsia="仿宋_GB2312" w:cs="宋体"/>
          <w:sz w:val="32"/>
          <w:szCs w:val="32"/>
          <w:lang w:bidi="ar"/>
        </w:rPr>
        <w:t>,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实施单位为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新疆维吾尔自治区喀什地区歌舞剧团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喀什地区文化广播电视和旅游局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主要职责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是监督我团政府采购全过程，我团主要是配合上级安排，完成此项目的采购流程。</w:t>
      </w:r>
    </w:p>
    <w:p>
      <w:pPr>
        <w:spacing w:before="156" w:beforeLines="50" w:line="600" w:lineRule="exact"/>
        <w:ind w:firstLine="645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项目的实施情况：本项目自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2019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年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月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02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日经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我团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会议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决定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，确定了项目领导小组，明确了责任分工：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组长：鬲岚（地区歌舞剧团书记）项目小组组长，具体负责项目采购监督，成员：米热班，姑丽纳项目小组成员，具体负责项目采购流程安排和财务资料收集，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由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地区歌舞剧团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完成项目初步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安排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，编制了实施方案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。</w:t>
      </w:r>
    </w:p>
    <w:p>
      <w:pPr>
        <w:tabs>
          <w:tab w:val="left" w:pos="7770"/>
        </w:tabs>
        <w:spacing w:before="156" w:beforeLines="50" w:line="600" w:lineRule="exact"/>
        <w:ind w:firstLine="645"/>
        <w:rPr>
          <w:rFonts w:hint="default" w:ascii="仿宋_GB2312" w:hAnsi="仿宋" w:eastAsia="仿宋_GB2312" w:cs="宋体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3.项目负责人为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鬲岚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，主要职责为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具体负责项目采购监督。</w:t>
      </w:r>
    </w:p>
    <w:p>
      <w:pPr>
        <w:pStyle w:val="24"/>
        <w:ind w:left="0" w:firstLine="643" w:firstLineChars="200"/>
        <w:rPr>
          <w:lang w:bidi="ar"/>
        </w:rPr>
      </w:pPr>
      <w:bookmarkStart w:id="1" w:name="_Toc26401550"/>
      <w:r>
        <w:rPr>
          <w:rFonts w:hint="eastAsia"/>
          <w:lang w:bidi="ar"/>
        </w:rPr>
        <w:t>资金</w:t>
      </w:r>
      <w:bookmarkEnd w:id="1"/>
      <w:r>
        <w:rPr>
          <w:rFonts w:hint="eastAsia"/>
          <w:lang w:bidi="ar"/>
        </w:rPr>
        <w:t>投入和使用情况</w:t>
      </w:r>
    </w:p>
    <w:p>
      <w:pPr>
        <w:spacing w:before="156" w:beforeLines="50" w:line="600" w:lineRule="exact"/>
        <w:ind w:firstLine="645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本项目总投资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元，资金来源为中央专项资金、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76万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元。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提前下达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中央补助地方公共文化服务体系建设资金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</w:t>
      </w:r>
    </w:p>
    <w:p>
      <w:pPr>
        <w:spacing w:before="156" w:beforeLines="50" w:line="600" w:lineRule="exact"/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主要用于</w:t>
      </w:r>
      <w:r>
        <w:rPr>
          <w:rStyle w:val="15"/>
          <w:rFonts w:hint="eastAsia" w:ascii="仿宋" w:hAnsi="仿宋" w:eastAsia="仿宋"/>
          <w:b w:val="0"/>
          <w:bCs/>
          <w:color w:val="000000" w:themeColor="text1"/>
          <w:spacing w:val="-4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2019年度给单位剧场采购耗材25万元，新剧目创作费20万元，外请专业舞蹈老师费20万元，标准化舞蹈培训费11万元等方面。</w:t>
      </w:r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资金的使用范围：</w:t>
      </w:r>
      <w:r>
        <w:rPr>
          <w:rFonts w:hint="eastAsia" w:ascii="仿宋" w:hAnsi="仿宋" w:eastAsia="仿宋" w:cs="宋体"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本项目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资金严格按照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" w:hAnsi="仿宋" w:eastAsia="仿宋"/>
          <w:bCs/>
          <w:color w:val="000000" w:themeColor="text1"/>
          <w:spacing w:val="-4"/>
          <w:sz w:val="32"/>
          <w:szCs w:val="32"/>
          <w14:textFill>
            <w14:solidFill>
              <w14:schemeClr w14:val="tx1"/>
            </w14:solidFill>
          </w14:textFill>
        </w:rPr>
        <w:t>资金管理办法和地区财政资金管理制度支付资金；资金支付由本单位分管地区领导、主管财务领导、地区财政局等各级部门审批审核；资金的支付有完整的审批程序和手续符合制度要求；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本项目支出符合喀什地区歌舞剧团相关财务管理制度，单位的一切费用开支符合国家和自治区财务、本项目在年初做了项目预算</w:t>
      </w:r>
      <w:r>
        <w:rPr>
          <w:rFonts w:hint="eastAsia" w:ascii="仿宋" w:hAnsi="仿宋" w:eastAsia="仿宋"/>
          <w:bCs/>
          <w:spacing w:val="-4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bCs/>
          <w:spacing w:val="-4"/>
          <w:sz w:val="32"/>
          <w:szCs w:val="32"/>
        </w:rPr>
        <w:t>该项目资金的拨付有完整的审批程序和手续不存在截留，挪用等情况。</w:t>
      </w:r>
    </w:p>
    <w:p>
      <w:pPr>
        <w:pStyle w:val="24"/>
        <w:ind w:left="0" w:firstLine="643" w:firstLineChars="200"/>
        <w:rPr>
          <w:lang w:bidi="ar"/>
        </w:rPr>
      </w:pPr>
      <w:bookmarkStart w:id="2" w:name="_Toc26401551"/>
      <w:r>
        <w:rPr>
          <w:rFonts w:hint="eastAsia"/>
          <w:lang w:bidi="ar"/>
        </w:rPr>
        <w:t>绩效目标</w:t>
      </w:r>
      <w:bookmarkEnd w:id="2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总体目标为：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利用现有的资金优势为我团的文艺领域争取良好的舞台设备耗材，为丰富演出内容继续创作新剧目，安排标准化舞蹈培训，外请京剧艺术老师，于此同时为我团艺术发展平台打好基础。</w:t>
      </w:r>
    </w:p>
    <w:p>
      <w:pPr>
        <w:spacing w:before="156" w:beforeLines="50" w:line="600" w:lineRule="exact"/>
        <w:rPr>
          <w:rFonts w:ascii="仿宋_GB2312" w:hAnsi="仿宋" w:eastAsia="仿宋_GB2312" w:cs="宋体"/>
          <w:color w:val="FF0000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 xml:space="preserve"> </w:t>
      </w:r>
      <w:r>
        <w:rPr>
          <w:rFonts w:ascii="仿宋_GB2312" w:hAnsi="仿宋" w:eastAsia="仿宋_GB2312" w:cs="宋体"/>
          <w:sz w:val="32"/>
          <w:szCs w:val="32"/>
          <w:lang w:bidi="ar"/>
        </w:rPr>
        <w:t xml:space="preserve">   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项目共设置</w:t>
      </w:r>
      <w:r>
        <w:rPr>
          <w:rFonts w:ascii="仿宋_GB2312" w:hAnsi="仿宋" w:eastAsia="仿宋_GB2312" w:cs="宋体"/>
          <w:sz w:val="32"/>
          <w:szCs w:val="32"/>
          <w:lang w:bidi="ar"/>
        </w:rPr>
        <w:t>1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级指标3个，二级指标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7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个，三级指标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16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个，绩效目标申报表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,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详见附件1。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bookmarkStart w:id="3" w:name="_Toc26401552"/>
      <w:r>
        <w:rPr>
          <w:rFonts w:hint="eastAsia"/>
          <w:lang w:bidi="ar"/>
        </w:rPr>
        <w:t>评价工作简述</w:t>
      </w:r>
      <w:bookmarkEnd w:id="3"/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4" w:name="_Toc26401553"/>
      <w:r>
        <w:rPr>
          <w:rFonts w:hint="eastAsia"/>
          <w:lang w:bidi="ar"/>
        </w:rPr>
        <w:t>评价目的</w:t>
      </w:r>
      <w:bookmarkEnd w:id="4"/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eastAsia="zh-CN"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本次绩效评价遵循财政部《项目</w:t>
      </w:r>
      <w:r>
        <w:rPr>
          <w:rFonts w:ascii="仿宋_GB2312" w:hAnsi="仿宋" w:eastAsia="仿宋_GB2312" w:cs="宋体"/>
          <w:sz w:val="32"/>
          <w:szCs w:val="32"/>
          <w:lang w:bidi="ar"/>
        </w:rPr>
        <w:t>支出绩效评价管理办法》（财预〔2020〕10号）和自治区财政厅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《自治区财政支出绩效评价管理暂行办法》（新财预〔</w:t>
      </w:r>
      <w:r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2018〕189号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  <w:t>）</w:t>
      </w:r>
      <w:r>
        <w:rPr>
          <w:rFonts w:ascii="仿宋_GB2312" w:hAnsi="仿宋" w:eastAsia="仿宋_GB2312" w:cs="宋体"/>
          <w:sz w:val="32"/>
          <w:szCs w:val="32"/>
          <w:lang w:bidi="ar"/>
        </w:rPr>
        <w:t>等相关政策文件与规定，</w:t>
      </w:r>
      <w:r>
        <w:rPr>
          <w:rFonts w:hint="eastAsia" w:ascii="仿宋_GB2312" w:hAnsi="仿宋" w:eastAsia="仿宋_GB2312" w:cs="宋体"/>
          <w:sz w:val="32"/>
          <w:szCs w:val="32"/>
          <w:highlight w:val="none"/>
          <w:lang w:bidi="ar"/>
        </w:rPr>
        <w:t>旨在评价提前下达中央补助地方公共文化服务体系建设专项资金2019年预算指标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项目实施前期、过程及效果，评价财政预算资金使用的效率及效益。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根据提前下达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中央补助地方公共文化服务体系建设资金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项目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的执行情况来看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在完成中央补助地方公共文化服务体系建设资金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项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目后，项目小组对本项目的资金落实，资金具体使用范围，资金使用范围是否规范，实施方案是否规范等方面进行了评价，由此目的为确保这次项目资金使用的完整性，规范性。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本次绩效评价的对象及范围</w:t>
      </w:r>
      <w:bookmarkStart w:id="5" w:name="_Toc26401554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ascii="仿宋_GB2312" w:hAnsi="仿宋" w:eastAsia="仿宋_GB2312" w:cs="宋体"/>
          <w:sz w:val="32"/>
          <w:szCs w:val="32"/>
          <w:lang w:bidi="ar"/>
        </w:rPr>
        <w:t>本次评价对象为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spacing w:val="-4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提前下达</w:t>
      </w:r>
      <w:r>
        <w:rPr>
          <w:rFonts w:hint="eastAsia" w:ascii="仿宋_GB2312" w:hAnsi="仿宋_GB2312" w:eastAsia="仿宋_GB2312" w:cs="仿宋_GB2312"/>
          <w:b w:val="0"/>
          <w:bCs w:val="0"/>
          <w:color w:val="000000" w:themeColor="text1"/>
          <w:kern w:val="0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中央补助地方公共文化服务体系建设</w:t>
      </w:r>
      <w:r>
        <w:rPr>
          <w:rFonts w:ascii="仿宋_GB2312" w:hAnsi="仿宋" w:eastAsia="仿宋_GB2312" w:cs="宋体"/>
          <w:sz w:val="32"/>
          <w:szCs w:val="32"/>
          <w:lang w:bidi="ar"/>
        </w:rPr>
        <w:t>项目资金，评价范围包括专项资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金的安排、组织及使用效益。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绩效评价原则</w:t>
      </w:r>
      <w:bookmarkEnd w:id="5"/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本次绩效评价遵循的原则包括：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科学公正。绩效评价应当运用科学合理的方法，按照规范的程序，对项目绩效进行客观、公正的反映。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rFonts w:hAnsi="仿宋" w:cs="宋体"/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激励约束。绩效评价结果应与预算安排、政策调整、改进管理实质性挂钩，体现奖优罚劣和激励相容导向，有效要安排、低效要压减、无效要问责。</w:t>
      </w:r>
    </w:p>
    <w:p>
      <w:pPr>
        <w:pStyle w:val="24"/>
        <w:keepNext w:val="0"/>
        <w:keepLines w:val="0"/>
        <w:numPr>
          <w:ilvl w:val="1"/>
          <w:numId w:val="5"/>
        </w:numPr>
        <w:ind w:left="0" w:firstLine="640" w:firstLineChars="200"/>
        <w:rPr>
          <w:b w:val="0"/>
          <w:lang w:bidi="ar"/>
        </w:rPr>
      </w:pPr>
      <w:r>
        <w:rPr>
          <w:rFonts w:hint="eastAsia" w:hAnsi="仿宋" w:cs="宋体"/>
          <w:b w:val="0"/>
          <w:lang w:bidi="ar"/>
        </w:rPr>
        <w:t>公开透明。绩效评价结果应依法依规公开，并自觉接受社会监督。</w:t>
      </w:r>
    </w:p>
    <w:p>
      <w:pPr>
        <w:pStyle w:val="24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本项目绩效评价体系</w:t>
      </w:r>
    </w:p>
    <w:p>
      <w:pPr>
        <w:pStyle w:val="24"/>
        <w:numPr>
          <w:ilvl w:val="0"/>
          <w:numId w:val="0"/>
        </w:numPr>
        <w:ind w:firstLine="640" w:firstLineChars="200"/>
        <w:rPr>
          <w:b w:val="0"/>
          <w:lang w:bidi="ar"/>
        </w:rPr>
      </w:pPr>
      <w:r>
        <w:rPr>
          <w:rFonts w:hint="eastAsia"/>
          <w:b w:val="0"/>
          <w:lang w:bidi="ar"/>
        </w:rPr>
        <w:t>本项目绩效评价体系为根据财预</w:t>
      </w:r>
      <w:r>
        <w:rPr>
          <w:rFonts w:hint="eastAsia" w:ascii="仿宋" w:hAnsi="仿宋" w:eastAsia="仿宋"/>
          <w:b w:val="0"/>
          <w:lang w:bidi="ar"/>
        </w:rPr>
        <w:t>﹝</w:t>
      </w:r>
      <w:r>
        <w:rPr>
          <w:rFonts w:hint="eastAsia"/>
          <w:b w:val="0"/>
          <w:lang w:bidi="ar"/>
        </w:rPr>
        <w:t>2</w:t>
      </w:r>
      <w:r>
        <w:rPr>
          <w:b w:val="0"/>
          <w:lang w:bidi="ar"/>
        </w:rPr>
        <w:t>020</w:t>
      </w:r>
      <w:r>
        <w:rPr>
          <w:rFonts w:hint="eastAsia" w:ascii="仿宋" w:hAnsi="仿宋" w:eastAsia="仿宋"/>
          <w:b w:val="0"/>
          <w:lang w:bidi="ar"/>
        </w:rPr>
        <w:t>﹞</w:t>
      </w:r>
      <w:r>
        <w:rPr>
          <w:rFonts w:hint="eastAsia"/>
          <w:b w:val="0"/>
          <w:lang w:bidi="ar"/>
        </w:rPr>
        <w:t>1</w:t>
      </w:r>
      <w:r>
        <w:rPr>
          <w:b w:val="0"/>
          <w:lang w:bidi="ar"/>
        </w:rPr>
        <w:t>0</w:t>
      </w:r>
      <w:r>
        <w:rPr>
          <w:rFonts w:hint="eastAsia"/>
          <w:b w:val="0"/>
          <w:lang w:bidi="ar"/>
        </w:rPr>
        <w:t>号共性指标及个性化指标设置</w:t>
      </w:r>
      <w:r>
        <w:rPr>
          <w:rFonts w:hint="eastAsia"/>
          <w:b w:val="0"/>
          <w:color w:val="auto"/>
          <w:lang w:bidi="ar"/>
        </w:rPr>
        <w:t>，详见附件</w:t>
      </w:r>
      <w:r>
        <w:rPr>
          <w:rFonts w:hint="eastAsia"/>
          <w:b w:val="0"/>
          <w:color w:val="auto"/>
          <w:lang w:val="en-US" w:eastAsia="zh-CN" w:bidi="ar"/>
        </w:rPr>
        <w:t>4</w:t>
      </w:r>
      <w:r>
        <w:rPr>
          <w:rFonts w:hint="eastAsia"/>
          <w:b w:val="0"/>
          <w:color w:val="auto"/>
          <w:lang w:bidi="ar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bookmarkStart w:id="6" w:name="_Toc26401555"/>
      <w:r>
        <w:rPr>
          <w:rFonts w:hint="eastAsia"/>
          <w:lang w:bidi="ar"/>
        </w:rPr>
        <w:t>绩效评价方法</w:t>
      </w:r>
      <w:bookmarkEnd w:id="6"/>
    </w:p>
    <w:p>
      <w:pPr>
        <w:spacing w:before="156" w:beforeLines="50" w:line="6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本次绩效评价方法的选用坚持简便有效的原则采用成本效益分析法、最低成本法。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评价标准</w:t>
      </w:r>
    </w:p>
    <w:p>
      <w:pPr>
        <w:pStyle w:val="24"/>
        <w:keepNext w:val="0"/>
        <w:keepLines w:val="0"/>
        <w:numPr>
          <w:ilvl w:val="0"/>
          <w:numId w:val="0"/>
        </w:numPr>
        <w:rPr>
          <w:rFonts w:hint="eastAsia" w:eastAsia="仿宋_GB2312"/>
          <w:lang w:eastAsia="zh-CN" w:bidi="ar"/>
        </w:rPr>
      </w:pPr>
      <w:r>
        <w:rPr>
          <w:rFonts w:hint="eastAsia"/>
          <w:lang w:bidi="ar"/>
        </w:rPr>
        <w:t xml:space="preserve"> </w:t>
      </w:r>
      <w:r>
        <w:rPr>
          <w:lang w:bidi="ar"/>
        </w:rPr>
        <w:t xml:space="preserve">   </w:t>
      </w:r>
      <w:r>
        <w:rPr>
          <w:rFonts w:hint="eastAsia"/>
          <w:lang w:bidi="ar"/>
        </w:rPr>
        <w:t>项目评价标准采用</w:t>
      </w:r>
      <w:r>
        <w:rPr>
          <w:rFonts w:hint="eastAsia"/>
          <w:bCs w:val="0"/>
        </w:rPr>
        <w:t>计划标准、行业标准、历史标准</w:t>
      </w:r>
      <w:r>
        <w:rPr>
          <w:rFonts w:hint="eastAsia"/>
          <w:bCs w:val="0"/>
          <w:lang w:eastAsia="zh-CN"/>
        </w:rPr>
        <w:t>。</w:t>
      </w:r>
    </w:p>
    <w:p>
      <w:pPr>
        <w:pStyle w:val="24"/>
        <w:keepNext w:val="0"/>
        <w:keepLines w:val="0"/>
        <w:numPr>
          <w:ilvl w:val="0"/>
          <w:numId w:val="4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绩效评价工作过程</w:t>
      </w:r>
    </w:p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本次评价成立了评价</w:t>
      </w:r>
      <w:r>
        <w:rPr>
          <w:rFonts w:hint="eastAsia"/>
          <w:b w:val="0"/>
          <w:bCs w:val="0"/>
          <w:lang w:eastAsia="zh-CN" w:bidi="ar"/>
        </w:rPr>
        <w:t>小组</w:t>
      </w:r>
      <w:r>
        <w:rPr>
          <w:rFonts w:hint="eastAsia"/>
          <w:b w:val="0"/>
          <w:bCs w:val="0"/>
          <w:lang w:bidi="ar"/>
        </w:rPr>
        <w:t>，成员如下：</w:t>
      </w:r>
    </w:p>
    <w:tbl>
      <w:tblPr>
        <w:tblStyle w:val="13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5"/>
        <w:gridCol w:w="2765"/>
        <w:gridCol w:w="2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评价人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职责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鬲岚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评价组组长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团支部书记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米热班多力坤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团副团长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姑丽纳</w:t>
            </w:r>
          </w:p>
        </w:tc>
        <w:tc>
          <w:tcPr>
            <w:tcW w:w="2765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b w:val="0"/>
                <w:bCs w:val="0"/>
                <w:lang w:bidi="ar"/>
              </w:rPr>
            </w:pPr>
            <w:r>
              <w:rPr>
                <w:rFonts w:hint="eastAsia"/>
                <w:b w:val="0"/>
                <w:bCs w:val="0"/>
                <w:lang w:bidi="ar"/>
              </w:rPr>
              <w:t>评价组成员</w:t>
            </w:r>
          </w:p>
        </w:tc>
        <w:tc>
          <w:tcPr>
            <w:tcW w:w="2766" w:type="dxa"/>
            <w:vAlign w:val="center"/>
          </w:tcPr>
          <w:p>
            <w:pPr>
              <w:pStyle w:val="24"/>
              <w:keepNext w:val="0"/>
              <w:keepLines w:val="0"/>
              <w:numPr>
                <w:ilvl w:val="0"/>
                <w:numId w:val="0"/>
              </w:numPr>
              <w:spacing w:line="240" w:lineRule="atLeast"/>
              <w:jc w:val="center"/>
              <w:rPr>
                <w:rFonts w:hint="eastAsia" w:eastAsia="仿宋_GB2312"/>
                <w:b w:val="0"/>
                <w:bCs w:val="0"/>
                <w:lang w:eastAsia="zh-CN" w:bidi="ar"/>
              </w:rPr>
            </w:pPr>
            <w:r>
              <w:rPr>
                <w:rFonts w:hint="eastAsia"/>
                <w:b w:val="0"/>
                <w:bCs w:val="0"/>
                <w:lang w:eastAsia="zh-CN" w:bidi="ar"/>
              </w:rPr>
              <w:t>团支部委员，出纳</w:t>
            </w:r>
          </w:p>
        </w:tc>
      </w:tr>
    </w:tbl>
    <w:p>
      <w:pPr>
        <w:pStyle w:val="24"/>
        <w:keepNext w:val="0"/>
        <w:keepLines w:val="0"/>
        <w:numPr>
          <w:ilvl w:val="0"/>
          <w:numId w:val="0"/>
        </w:numPr>
        <w:ind w:firstLine="640" w:firstLineChars="200"/>
        <w:outlineLvl w:val="9"/>
        <w:rPr>
          <w:b w:val="0"/>
          <w:bCs w:val="0"/>
          <w:lang w:bidi="ar"/>
        </w:rPr>
      </w:pPr>
      <w:r>
        <w:rPr>
          <w:rFonts w:hint="eastAsia"/>
          <w:b w:val="0"/>
          <w:bCs w:val="0"/>
          <w:lang w:bidi="ar"/>
        </w:rPr>
        <w:t>本次评价设计了评价方案、评价指标体系，通过资料分析、调研、访谈满意度调查等方式形成评价结论，在与项目单位沟通后确定评价意见，并出具评价报告。　</w:t>
      </w:r>
    </w:p>
    <w:p>
      <w:pPr>
        <w:pStyle w:val="22"/>
        <w:numPr>
          <w:ilvl w:val="0"/>
          <w:numId w:val="2"/>
        </w:numPr>
        <w:ind w:firstLineChars="0"/>
        <w:rPr>
          <w:rFonts w:hint="eastAsia"/>
          <w:lang w:bidi="ar"/>
        </w:rPr>
      </w:pPr>
      <w:bookmarkStart w:id="7" w:name="_Toc26401558"/>
      <w:r>
        <w:rPr>
          <w:rFonts w:hint="eastAsia"/>
          <w:lang w:bidi="ar"/>
        </w:rPr>
        <w:t>综合评价情况及评价结论</w:t>
      </w:r>
    </w:p>
    <w:p>
      <w:pPr>
        <w:pStyle w:val="22"/>
        <w:ind w:firstLine="640"/>
        <w:rPr>
          <w:rFonts w:ascii="仿宋_GB2312" w:eastAsia="仿宋_GB2312" w:hAnsiTheme="majorHAnsi"/>
          <w:b w:val="0"/>
          <w:bCs w:val="0"/>
          <w:kern w:val="2"/>
          <w:highlight w:val="none"/>
          <w:lang w:bidi="ar"/>
        </w:rPr>
      </w:pP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经评价组通过实地调研、资料分析等方式，采用综合分析法、成本效益分析法、最低成本法、标杆管理法（根据实际情况去留）等对项目的决策、管理、绩效进行的综合评价分析，项目得分为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77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分，评价结果为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eastAsia="zh-CN" w:bidi="ar"/>
        </w:rPr>
        <w:t>一般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，详见附件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val="en-US" w:eastAsia="zh-CN" w:bidi="ar"/>
        </w:rPr>
        <w:t>6</w:t>
      </w:r>
      <w:r>
        <w:rPr>
          <w:rFonts w:hint="eastAsia" w:ascii="仿宋_GB2312" w:eastAsia="仿宋_GB2312" w:hAnsiTheme="majorHAnsi"/>
          <w:b w:val="0"/>
          <w:bCs w:val="0"/>
          <w:kern w:val="2"/>
          <w:highlight w:val="none"/>
          <w:lang w:bidi="ar"/>
        </w:rPr>
        <w:t>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/>
          <w:lang w:bidi="ar"/>
        </w:rPr>
        <w:t>绩效评价指标分析</w:t>
      </w:r>
      <w:bookmarkEnd w:id="7"/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项目的决策情况</w:t>
      </w:r>
    </w:p>
    <w:p>
      <w:pPr>
        <w:pStyle w:val="27"/>
        <w:ind w:firstLine="640"/>
        <w:rPr>
          <w:rFonts w:hint="eastAsia"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本项目的立项符合相关法规政策及部门职责，依据充分；</w:t>
      </w:r>
    </w:p>
    <w:p>
      <w:pPr>
        <w:pStyle w:val="27"/>
        <w:ind w:firstLine="640"/>
        <w:rPr>
          <w:rFonts w:hint="eastAsia" w:ascii="仿宋_GB2312" w:hAnsi="仿宋" w:cs="宋体"/>
          <w:sz w:val="32"/>
          <w:szCs w:val="32"/>
          <w:lang w:bidi="ar"/>
        </w:rPr>
      </w:pPr>
      <w:r>
        <w:rPr>
          <w:rFonts w:hint="eastAsia" w:ascii="仿宋_GB2312" w:hAnsi="仿宋" w:cs="宋体"/>
          <w:sz w:val="32"/>
          <w:szCs w:val="32"/>
          <w:lang w:bidi="ar"/>
        </w:rPr>
        <w:t>项目按照规定的程序申请设立；审批文件、材料符合相关要求；项目前期已经过必要的可行性研究、绩效评估、集体决策</w:t>
      </w:r>
      <w:r>
        <w:rPr>
          <w:rFonts w:hint="eastAsia" w:ascii="仿宋_GB2312" w:hAnsi="仿宋" w:cs="宋体"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根据相关文件要求设置了绩效目标，项目绩效目标基本合理，与实际工作内容相关；项目预期产出效益和效果符合正常的业绩水平；与预算确定的项目投资额或资金量相匹配。将项目绩效目标细化分解为具体的绩效指标；通过清晰、可衡量的指标值予以体现；与项目目标任务数或计划数相对应。</w:t>
      </w:r>
    </w:p>
    <w:p>
      <w:pPr>
        <w:pStyle w:val="18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" w:eastAsia="仿宋_GB2312" w:cs="宋体"/>
          <w:kern w:val="2"/>
          <w:sz w:val="32"/>
          <w:szCs w:val="32"/>
          <w:lang w:val="en-US" w:eastAsia="zh-CN" w:bidi="ar"/>
        </w:rPr>
      </w:pPr>
      <w:r>
        <w:rPr>
          <w:rFonts w:hint="eastAsia" w:ascii="仿宋_GB2312" w:hAnsi="仿宋" w:eastAsia="仿宋_GB2312" w:cs="宋体"/>
          <w:kern w:val="2"/>
          <w:sz w:val="32"/>
          <w:szCs w:val="32"/>
          <w:lang w:val="en-US" w:eastAsia="zh-CN" w:bidi="ar"/>
        </w:rPr>
        <w:t>项目在资金投入方面，预算编制经过科学论证、有明确标准，资金额度与年度目标相适应，用以反映和考核项目预算编制的科学性、合理性情况。项目预算资金分配有测算依据，与补助单位或地方实际相适应。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lang w:bidi="ar"/>
        </w:rPr>
        <w:t>项目的过程情况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在资金管理方面，项目资金到位足额及时，及时支付，资金使用符合国家法规和财务管理制度；资金拨付有完整的审批程序和手续，符合项目预算批复或合同规定的用途；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不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存在截留、挤占、挪用、虚列支出等情况。</w:t>
      </w:r>
    </w:p>
    <w:p>
      <w:pPr>
        <w:spacing w:line="500" w:lineRule="exact"/>
        <w:ind w:firstLine="645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在项目组织实施方面，项目单位已制定或具有相应的财务和业务管理制度，财务和业务管理制度合法、合规、完整。项目实施遵守相关法律法规和相关管理规定。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项目产出情况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数量</w:t>
      </w:r>
      <w:r>
        <w:rPr>
          <w:rFonts w:hint="eastAsia" w:ascii="仿宋_GB2312" w:eastAsia="仿宋_GB2312"/>
          <w:sz w:val="32"/>
          <w:szCs w:val="32"/>
          <w:lang w:eastAsia="zh-CN"/>
        </w:rPr>
        <w:t>指标：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外请京剧艺术老师,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4名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3名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的主要原因：今年反复增加了上海援疆指挥中心安排的规模比较大的《感恩援疆文化交流演出，赴上海高校文化交流演出》等活动，预算安排时间不合理等原因未完成该项目并且未达到预期目标。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数量</w:t>
      </w:r>
      <w:r>
        <w:rPr>
          <w:rFonts w:hint="eastAsia" w:ascii="仿宋_GB2312" w:eastAsia="仿宋_GB2312"/>
          <w:sz w:val="32"/>
          <w:szCs w:val="32"/>
          <w:lang w:eastAsia="zh-CN"/>
        </w:rPr>
        <w:t>指标：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创作新剧目数，</w:t>
      </w:r>
      <w:r>
        <w:rPr>
          <w:rFonts w:hint="eastAsia" w:ascii="仿宋_GB2312" w:eastAsia="仿宋_GB2312"/>
          <w:sz w:val="32"/>
          <w:szCs w:val="32"/>
        </w:rPr>
        <w:t>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5个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3个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的主要原因：今年反复增加了上海援疆指挥中心安排的规模比较大的《感恩援疆文化交流演出，赴上海高校文化交流演出》等活动，预算安排时间不合理等原因未完成该项目并且未达到预期目标。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  <w:t>数量指标：单位剧场耗材，预期指标值5批，实际完成值1批，指标完成率20%。指标未达到预期目标的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/>
        <w:jc w:val="both"/>
        <w:textAlignment w:val="auto"/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  <w:t xml:space="preserve">    数量指标：标准化舞蹈培训，预期指标值2次，实际完成值2次，指标完成率100%</w:t>
      </w:r>
      <w:r>
        <w:rPr>
          <w:rFonts w:hint="eastAsia" w:ascii="仿宋_GB2312" w:eastAsia="仿宋_GB2312" w:cstheme="minorBidi"/>
          <w:b w:val="0"/>
          <w:bCs w:val="0"/>
          <w:kern w:val="2"/>
          <w:sz w:val="32"/>
          <w:szCs w:val="32"/>
          <w:lang w:val="en-US" w:eastAsia="zh-CN" w:bidi="ar-SA"/>
        </w:rPr>
        <w:t>。</w:t>
      </w:r>
      <w:r>
        <w:rPr>
          <w:rFonts w:hint="eastAsia" w:ascii="仿宋_GB2312" w:eastAsia="仿宋_GB2312"/>
          <w:sz w:val="32"/>
          <w:szCs w:val="32"/>
        </w:rPr>
        <w:t>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的主要原因：今年反复增加了上海援疆指挥中心安排的规模比较大的《感恩援疆文化交流演出，赴上海高校文化交流演出》等活动，预算安排时间不合理等原因未完成该项目并且未达到预期目标。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/>
        <w:jc w:val="both"/>
        <w:textAlignment w:val="auto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数量指标共计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个，完成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个，基本达到预期目标。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质量</w:t>
      </w:r>
      <w:r>
        <w:rPr>
          <w:rFonts w:hint="eastAsia" w:ascii="仿宋_GB2312" w:eastAsia="仿宋_GB2312"/>
          <w:sz w:val="32"/>
          <w:szCs w:val="32"/>
          <w:lang w:eastAsia="zh-CN"/>
        </w:rPr>
        <w:t>指标：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外请老师合格率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75%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的主要原因：今年反复增加了上海援疆指挥中心安排的规模比较大的《感恩援疆文化交流演出，赴上海高校文化交流演出》等活动，预算安排时间不合理等原因未完成该项目并且未达到预期目标。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质量</w:t>
      </w:r>
      <w:r>
        <w:rPr>
          <w:rFonts w:hint="eastAsia" w:ascii="仿宋_GB2312" w:eastAsia="仿宋_GB2312"/>
          <w:sz w:val="32"/>
          <w:szCs w:val="32"/>
          <w:lang w:eastAsia="zh-CN"/>
        </w:rPr>
        <w:t>指标：新剧目创作率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20%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的主要原因：今年反复增加了上海援疆指挥中心安排的规模比较大的《感恩援疆文化交流演出，赴上海高校文化交流演出》等活动，预算安排时间不合理等原因未完成该项目并且未达到预期目标。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质量</w:t>
      </w:r>
      <w:r>
        <w:rPr>
          <w:rFonts w:hint="eastAsia" w:ascii="仿宋_GB2312" w:eastAsia="仿宋_GB2312"/>
          <w:sz w:val="32"/>
          <w:szCs w:val="32"/>
          <w:lang w:eastAsia="zh-CN"/>
        </w:rPr>
        <w:t>指标：耗材购买率，年度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eastAsia="仿宋_GB2312"/>
          <w:sz w:val="32"/>
          <w:szCs w:val="32"/>
        </w:rPr>
        <w:t>，指标达到预期目标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质量</w:t>
      </w:r>
      <w:r>
        <w:rPr>
          <w:rFonts w:hint="eastAsia" w:ascii="仿宋_GB2312" w:eastAsia="仿宋_GB2312"/>
          <w:sz w:val="32"/>
          <w:szCs w:val="32"/>
          <w:lang w:eastAsia="zh-CN"/>
        </w:rPr>
        <w:t>指标：标准化舞蹈培训执行率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80%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已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/>
        <w:jc w:val="both"/>
        <w:textAlignment w:val="auto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/>
          <w:sz w:val="32"/>
          <w:szCs w:val="32"/>
        </w:rPr>
        <w:t>质量</w:t>
      </w:r>
      <w:r>
        <w:rPr>
          <w:rFonts w:hint="eastAsia" w:ascii="仿宋_GB2312" w:eastAsia="仿宋_GB2312"/>
          <w:sz w:val="32"/>
          <w:szCs w:val="32"/>
          <w:lang w:eastAsia="zh-CN"/>
        </w:rPr>
        <w:t>指标共计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个，完成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个，基本达到预期目标。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项目产出时效为，预期指标值为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80%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 w:firstLine="640" w:firstLineChars="200"/>
        <w:jc w:val="both"/>
        <w:textAlignment w:val="auto"/>
        <w:rPr>
          <w:rFonts w:hint="eastAsia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时效指标共计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个，完成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0</w:t>
      </w:r>
      <w:r>
        <w:rPr>
          <w:rFonts w:hint="eastAsia" w:ascii="仿宋_GB2312" w:eastAsia="仿宋_GB2312"/>
          <w:sz w:val="32"/>
          <w:szCs w:val="32"/>
          <w:lang w:eastAsia="zh-CN"/>
        </w:rPr>
        <w:t>个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,</w:t>
      </w:r>
      <w:r>
        <w:rPr>
          <w:rFonts w:hint="eastAsia" w:ascii="仿宋_GB2312" w:eastAsia="仿宋_GB2312"/>
          <w:sz w:val="32"/>
          <w:szCs w:val="32"/>
          <w:lang w:eastAsia="zh-CN"/>
        </w:rPr>
        <w:t>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成本指标为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外请京剧艺术老师费用标准，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15万元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成本指标为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标准化舞蹈费用标准，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5.5万元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11万元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已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成本指标为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新剧目创作费用标准，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4万元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成本指标为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购买单位剧场耗材标准，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25万元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12.8万元</w:t>
      </w:r>
      <w:r>
        <w:rPr>
          <w:rFonts w:hint="eastAsia" w:ascii="仿宋_GB2312" w:eastAsia="仿宋_GB2312"/>
          <w:sz w:val="32"/>
          <w:szCs w:val="32"/>
        </w:rPr>
        <w:t>，指标</w:t>
      </w:r>
      <w:r>
        <w:rPr>
          <w:rFonts w:hint="eastAsia" w:ascii="仿宋_GB2312" w:eastAsia="仿宋_GB2312"/>
          <w:sz w:val="32"/>
          <w:szCs w:val="32"/>
          <w:lang w:eastAsia="zh-CN"/>
        </w:rPr>
        <w:t>未</w:t>
      </w:r>
      <w:r>
        <w:rPr>
          <w:rFonts w:hint="eastAsia" w:ascii="仿宋_GB2312" w:eastAsia="仿宋_GB2312"/>
          <w:sz w:val="32"/>
          <w:szCs w:val="32"/>
        </w:rPr>
        <w:t>达到预期目标</w:t>
      </w:r>
      <w:r>
        <w:rPr>
          <w:rFonts w:hint="eastAsia" w:ascii="仿宋_GB2312" w:eastAsia="仿宋_GB2312"/>
          <w:sz w:val="32"/>
          <w:szCs w:val="32"/>
          <w:lang w:eastAsia="zh-CN"/>
        </w:rPr>
        <w:t>。</w:t>
      </w:r>
    </w:p>
    <w:p>
      <w:pPr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left="0" w:leftChars="0" w:right="0" w:rightChars="0"/>
        <w:jc w:val="both"/>
        <w:textAlignment w:val="auto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成本指标</w:t>
      </w:r>
      <w:r>
        <w:rPr>
          <w:rFonts w:hint="eastAsia" w:ascii="仿宋_GB2312" w:eastAsia="仿宋_GB2312"/>
          <w:sz w:val="32"/>
          <w:szCs w:val="32"/>
          <w:lang w:eastAsia="zh-CN"/>
        </w:rPr>
        <w:t>共计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个，完成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个，未达到预期目标。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pStyle w:val="18"/>
        <w:numPr>
          <w:ilvl w:val="0"/>
          <w:numId w:val="6"/>
        </w:numPr>
        <w:spacing w:before="156" w:beforeLines="50" w:line="600" w:lineRule="exact"/>
        <w:ind w:left="0" w:firstLine="643"/>
        <w:rPr>
          <w:rFonts w:ascii="仿宋_GB2312" w:hAnsi="仿宋" w:eastAsia="仿宋_GB2312" w:cs="宋体"/>
          <w:b/>
          <w:bCs/>
          <w:sz w:val="32"/>
          <w:szCs w:val="32"/>
          <w:highlight w:val="none"/>
          <w:lang w:bidi="ar"/>
        </w:rPr>
      </w:pPr>
      <w:r>
        <w:rPr>
          <w:rFonts w:hint="eastAsia" w:ascii="仿宋_GB2312" w:hAnsi="仿宋" w:eastAsia="仿宋_GB2312" w:cs="宋体"/>
          <w:b/>
          <w:bCs/>
          <w:sz w:val="32"/>
          <w:szCs w:val="32"/>
          <w:highlight w:val="none"/>
          <w:lang w:bidi="ar"/>
        </w:rPr>
        <w:t>项目效益情况</w:t>
      </w:r>
    </w:p>
    <w:p>
      <w:pPr>
        <w:pStyle w:val="18"/>
        <w:numPr>
          <w:ilvl w:val="0"/>
          <w:numId w:val="0"/>
        </w:numPr>
        <w:spacing w:before="156" w:beforeLines="50" w:line="600" w:lineRule="exact"/>
        <w:ind w:left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val="en-US" w:eastAsia="zh-CN" w:bidi="ar"/>
        </w:rPr>
        <w:t xml:space="preserve"> 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经济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</w:p>
    <w:p>
      <w:pPr>
        <w:pStyle w:val="18"/>
        <w:numPr>
          <w:ilvl w:val="0"/>
          <w:numId w:val="0"/>
        </w:numPr>
        <w:spacing w:before="156" w:beforeLines="50" w:line="600" w:lineRule="exact"/>
        <w:ind w:leftChars="200"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无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社会效益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：提高单位专业艺术平台质量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eastAsia="zh-CN"/>
        </w:rPr>
        <w:t>有效提升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60"/>
        <w:rPr>
          <w:rFonts w:hint="eastAsia" w:ascii="仿宋_GB2312" w:eastAsia="仿宋_GB2312"/>
          <w:color w:val="FF0000"/>
          <w:sz w:val="32"/>
          <w:szCs w:val="32"/>
          <w:lang w:eastAsia="zh-CN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生态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该项目未产生生态效益。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可持续效益效益</w:t>
      </w:r>
      <w:r>
        <w:rPr>
          <w:rFonts w:hint="eastAsia" w:ascii="仿宋_GB2312" w:eastAsia="仿宋_GB2312"/>
          <w:sz w:val="32"/>
          <w:szCs w:val="32"/>
        </w:rPr>
        <w:t>指标为</w:t>
      </w:r>
      <w:r>
        <w:rPr>
          <w:rFonts w:hint="eastAsia" w:ascii="仿宋_GB2312" w:eastAsia="仿宋_GB2312"/>
          <w:sz w:val="32"/>
          <w:szCs w:val="32"/>
          <w:lang w:eastAsia="zh-CN"/>
        </w:rPr>
        <w:t>：持续加强艺术领域，发挥单位本职作用</w:t>
      </w:r>
      <w:r>
        <w:rPr>
          <w:rFonts w:hint="eastAsia" w:ascii="仿宋_GB2312" w:eastAsia="仿宋_GB2312"/>
          <w:sz w:val="32"/>
          <w:szCs w:val="32"/>
        </w:rPr>
        <w:t>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eastAsia="zh-CN"/>
        </w:rPr>
        <w:t>有效提高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100%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，达到了预期目标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bCs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经问卷调查项目收益群众满意度为：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群众满意率，</w:t>
      </w:r>
      <w:r>
        <w:rPr>
          <w:rFonts w:hint="eastAsia" w:ascii="仿宋_GB2312" w:eastAsia="仿宋_GB2312"/>
          <w:sz w:val="32"/>
          <w:szCs w:val="32"/>
          <w:lang w:eastAsia="zh-CN"/>
        </w:rPr>
        <w:t>年度</w:t>
      </w:r>
      <w:r>
        <w:rPr>
          <w:rFonts w:hint="eastAsia" w:ascii="仿宋_GB2312" w:eastAsia="仿宋_GB2312"/>
          <w:sz w:val="32"/>
          <w:szCs w:val="32"/>
        </w:rPr>
        <w:t>指标值为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90%</w:t>
      </w:r>
      <w:r>
        <w:rPr>
          <w:rFonts w:hint="eastAsia" w:ascii="仿宋_GB2312" w:eastAsia="仿宋_GB2312"/>
          <w:sz w:val="32"/>
          <w:szCs w:val="32"/>
        </w:rPr>
        <w:t>，实际完成值为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70%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，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未</w:t>
      </w:r>
      <w:r>
        <w:rPr>
          <w:rFonts w:hint="eastAsia" w:ascii="仿宋_GB2312" w:hAnsi="仿宋" w:eastAsia="仿宋_GB2312" w:cs="宋体"/>
          <w:bCs/>
          <w:sz w:val="32"/>
          <w:szCs w:val="32"/>
          <w:lang w:bidi="ar"/>
        </w:rPr>
        <w:t>达到预期目标</w:t>
      </w:r>
      <w:r>
        <w:rPr>
          <w:rFonts w:hint="eastAsia" w:ascii="仿宋_GB2312" w:hAnsi="仿宋" w:eastAsia="仿宋_GB2312" w:cs="宋体"/>
          <w:bCs/>
          <w:sz w:val="32"/>
          <w:szCs w:val="32"/>
          <w:lang w:eastAsia="zh-CN" w:bidi="ar"/>
        </w:rPr>
        <w:t>。</w:t>
      </w:r>
      <w:r>
        <w:rPr>
          <w:rFonts w:hint="eastAsia" w:ascii="仿宋_GB2312" w:eastAsia="仿宋_GB2312"/>
          <w:sz w:val="32"/>
          <w:szCs w:val="32"/>
          <w:lang w:eastAsia="zh-CN"/>
        </w:rPr>
        <w:t>主要原因：今年反复增加了上海援疆指挥中心安排的规模比较大的《感恩援疆文化交流演出，赴上海高校文化交流演出》等活动，预算安排时间不合理等原因未完成该项目并且未达到预期目标。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pStyle w:val="22"/>
        <w:numPr>
          <w:ilvl w:val="0"/>
          <w:numId w:val="2"/>
        </w:numPr>
        <w:ind w:firstLineChars="0"/>
        <w:rPr>
          <w:lang w:bidi="ar"/>
        </w:rPr>
      </w:pPr>
      <w:r>
        <w:rPr>
          <w:rFonts w:hint="eastAsia" w:ascii="黑体" w:hAnsi="黑体"/>
        </w:rPr>
        <w:t>主要经验及做法、存在的问题及原因分析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主要</w:t>
      </w:r>
      <w:r>
        <w:rPr>
          <w:rFonts w:hint="eastAsia"/>
          <w:lang w:bidi="ar"/>
        </w:rPr>
        <w:t>经验及做法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/>
        </w:rPr>
        <w:t xml:space="preserve"> </w:t>
      </w:r>
      <w:r>
        <w:rPr>
          <w:rFonts w:hint="eastAsia" w:eastAsia="宋体"/>
          <w:lang w:val="en-US" w:eastAsia="zh-CN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 w:ascii="仿宋_GB2312" w:eastAsia="仿宋_GB2312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sz w:val="32"/>
          <w:szCs w:val="32"/>
        </w:rPr>
        <w:t>绩效</w:t>
      </w:r>
      <w:r>
        <w:rPr>
          <w:rFonts w:hint="eastAsia" w:ascii="仿宋_GB2312" w:eastAsia="仿宋_GB2312"/>
          <w:sz w:val="32"/>
          <w:szCs w:val="32"/>
          <w:lang w:eastAsia="zh-CN"/>
        </w:rPr>
        <w:t>小组</w:t>
      </w:r>
      <w:r>
        <w:rPr>
          <w:rFonts w:hint="eastAsia" w:ascii="仿宋_GB2312" w:eastAsia="仿宋_GB2312"/>
          <w:sz w:val="32"/>
          <w:szCs w:val="32"/>
        </w:rPr>
        <w:t>对项目绩效自评工作做充分准备，一是按照</w:t>
      </w:r>
      <w:r>
        <w:rPr>
          <w:rFonts w:hint="eastAsia" w:ascii="仿宋_GB2312" w:eastAsia="仿宋_GB2312"/>
          <w:sz w:val="32"/>
          <w:szCs w:val="32"/>
          <w:lang w:eastAsia="zh-CN"/>
        </w:rPr>
        <w:t>绩效小组</w:t>
      </w:r>
      <w:r>
        <w:rPr>
          <w:rFonts w:hint="eastAsia" w:ascii="仿宋_GB2312" w:eastAsia="仿宋_GB2312"/>
          <w:sz w:val="32"/>
          <w:szCs w:val="32"/>
        </w:rPr>
        <w:t>成员分工，组织评价小组，小组成员由单位负责人</w:t>
      </w:r>
      <w:r>
        <w:rPr>
          <w:rFonts w:hint="eastAsia" w:ascii="仿宋_GB2312" w:eastAsia="仿宋_GB2312"/>
          <w:sz w:val="32"/>
          <w:szCs w:val="32"/>
          <w:lang w:eastAsia="zh-CN"/>
        </w:rPr>
        <w:t>鬲岚</w:t>
      </w:r>
      <w:r>
        <w:rPr>
          <w:rFonts w:hint="eastAsia" w:ascii="仿宋_GB2312" w:eastAsia="仿宋_GB2312"/>
          <w:sz w:val="32"/>
          <w:szCs w:val="32"/>
        </w:rPr>
        <w:t>提总负责，财务主要负责项目绩效目标制定、项目资金下达、使用以及项目执行过程中相关的财务资料治理收集工作。二是在资料收集和档案整理及分析方面</w:t>
      </w:r>
      <w:r>
        <w:rPr>
          <w:rFonts w:hint="eastAsia" w:ascii="仿宋_GB2312" w:eastAsia="仿宋_GB2312"/>
          <w:sz w:val="32"/>
          <w:szCs w:val="32"/>
          <w:lang w:eastAsia="zh-CN"/>
        </w:rPr>
        <w:t>，小组</w:t>
      </w:r>
      <w:r>
        <w:rPr>
          <w:rFonts w:hint="eastAsia" w:ascii="仿宋_GB2312" w:eastAsia="仿宋_GB2312"/>
          <w:sz w:val="32"/>
          <w:szCs w:val="32"/>
        </w:rPr>
        <w:t>负责人组织绩效办所有人员对项目绩效进行全面分析</w:t>
      </w:r>
      <w:r>
        <w:rPr>
          <w:rFonts w:hint="eastAsia" w:ascii="仿宋_GB2312" w:eastAsia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</w:rPr>
        <w:t>用绩效的理论和知识进行分析评价，客观、公正的分析项目实施情况、资金使用和支付情况、绩效目标的完成情况，对发现的问题要及时总结。</w:t>
      </w:r>
    </w:p>
    <w:p>
      <w:pPr>
        <w:pStyle w:val="24"/>
        <w:numPr>
          <w:ilvl w:val="0"/>
          <w:numId w:val="7"/>
        </w:numPr>
        <w:ind w:left="0" w:firstLine="643" w:firstLineChars="200"/>
        <w:rPr>
          <w:lang w:bidi="ar"/>
        </w:rPr>
      </w:pPr>
      <w:r>
        <w:rPr>
          <w:rFonts w:hint="eastAsia"/>
          <w:lang w:bidi="ar"/>
        </w:rPr>
        <w:t>存在的问题及原因分析</w:t>
      </w:r>
    </w:p>
    <w:p>
      <w:pPr>
        <w:spacing w:before="156" w:beforeLines="50" w:line="600" w:lineRule="exact"/>
        <w:ind w:firstLine="640" w:firstLineChars="200"/>
        <w:rPr>
          <w:b w:val="0"/>
          <w:lang w:bidi="ar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因今年反复增加了上海援疆指挥中心安排的规模比较大的《感恩援疆文化交流演出，赴上海高校文化交流演出》等活动，预算安排时间不合理等原因未完成该项目并且未达到预期目标。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有关建议</w:t>
      </w:r>
    </w:p>
    <w:p>
      <w:pPr>
        <w:spacing w:before="156" w:beforeLines="50" w:line="600" w:lineRule="exact"/>
        <w:ind w:firstLine="420" w:firstLineChars="200"/>
        <w:rPr>
          <w:rFonts w:ascii="黑体" w:hAnsi="黑体"/>
          <w:b w:val="0"/>
        </w:rPr>
      </w:pPr>
      <w:r>
        <w:rPr>
          <w:rFonts w:ascii="黑体" w:hAnsi="黑体"/>
          <w:b w:val="0"/>
        </w:rPr>
        <w:t xml:space="preserve"> </w:t>
      </w:r>
      <w:r>
        <w:rPr>
          <w:rFonts w:ascii="仿宋_GB2312" w:hAnsi="仿宋" w:eastAsia="仿宋_GB2312" w:cs="宋体"/>
          <w:b w:val="0"/>
          <w:kern w:val="2"/>
          <w:lang w:bidi="ar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在以后的工作中抓好项目资金安排时间合理，提高项目资金使用进度。</w:t>
      </w:r>
    </w:p>
    <w:p>
      <w:pPr>
        <w:pStyle w:val="22"/>
        <w:numPr>
          <w:ilvl w:val="0"/>
          <w:numId w:val="2"/>
        </w:numPr>
        <w:ind w:firstLineChars="0"/>
        <w:rPr>
          <w:rFonts w:ascii="黑体" w:hAnsi="黑体"/>
        </w:rPr>
      </w:pPr>
      <w:r>
        <w:rPr>
          <w:rFonts w:hint="eastAsia" w:ascii="黑体" w:hAnsi="黑体"/>
        </w:rPr>
        <w:t>其他需要说明的问题</w:t>
      </w:r>
    </w:p>
    <w:p>
      <w:pPr>
        <w:pStyle w:val="22"/>
        <w:numPr>
          <w:ilvl w:val="0"/>
          <w:numId w:val="0"/>
        </w:numPr>
        <w:ind w:left="643" w:leftChars="0" w:firstLine="640" w:firstLineChars="200"/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  <w:t>无</w:t>
      </w:r>
    </w:p>
    <w:p>
      <w:pPr>
        <w:pStyle w:val="22"/>
        <w:numPr>
          <w:ilvl w:val="0"/>
          <w:numId w:val="0"/>
        </w:numPr>
        <w:ind w:left="643" w:leftChars="0" w:firstLine="640" w:firstLineChars="200"/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22"/>
        <w:numPr>
          <w:ilvl w:val="0"/>
          <w:numId w:val="0"/>
        </w:numPr>
        <w:ind w:left="643" w:leftChars="0" w:firstLine="640" w:firstLineChars="200"/>
        <w:rPr>
          <w:rFonts w:hint="eastAsia" w:ascii="仿宋_GB2312" w:eastAsia="仿宋_GB2312" w:hAnsiTheme="minorHAnsi" w:cstheme="minorBidi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附件1：喀什地区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地区歌舞剧团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项目支出绩效目标申报表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2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歌舞剧团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项目支出绩效目标</w:t>
      </w:r>
      <w:bookmarkStart w:id="8" w:name="_GoBack"/>
      <w:bookmarkEnd w:id="8"/>
      <w:r>
        <w:rPr>
          <w:rFonts w:hint="eastAsia" w:ascii="仿宋_GB2312" w:hAnsi="仿宋" w:eastAsia="仿宋_GB2312" w:cs="宋体"/>
          <w:sz w:val="32"/>
          <w:szCs w:val="32"/>
          <w:lang w:bidi="ar"/>
        </w:rPr>
        <w:t>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附件3：喀什地区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歌舞剧团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项目支出绩效自评表</w:t>
      </w:r>
    </w:p>
    <w:p>
      <w:pPr>
        <w:spacing w:before="156" w:beforeLines="50" w:line="600" w:lineRule="exact"/>
        <w:ind w:firstLine="640" w:firstLineChars="200"/>
        <w:rPr>
          <w:rFonts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4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歌舞剧团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项目支出绩效评价指标体系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5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：绩效评价依据</w:t>
      </w:r>
    </w:p>
    <w:p>
      <w:pPr>
        <w:spacing w:before="156" w:beforeLines="50" w:line="600" w:lineRule="exact"/>
        <w:ind w:firstLine="640" w:firstLineChars="200"/>
        <w:rPr>
          <w:rFonts w:hint="eastAsia" w:ascii="仿宋_GB2312" w:hAnsi="仿宋" w:eastAsia="仿宋_GB2312" w:cs="宋体"/>
          <w:sz w:val="32"/>
          <w:szCs w:val="32"/>
          <w:lang w:bidi="ar"/>
        </w:rPr>
      </w:pPr>
      <w:r>
        <w:rPr>
          <w:rFonts w:hint="eastAsia" w:ascii="仿宋_GB2312" w:hAnsi="仿宋" w:eastAsia="仿宋_GB2312" w:cs="宋体"/>
          <w:sz w:val="32"/>
          <w:szCs w:val="32"/>
          <w:lang w:bidi="ar"/>
        </w:rPr>
        <w:t>附件</w:t>
      </w:r>
      <w:r>
        <w:rPr>
          <w:rFonts w:hint="eastAsia" w:ascii="仿宋_GB2312" w:hAnsi="仿宋" w:eastAsia="仿宋_GB2312" w:cs="宋体"/>
          <w:sz w:val="32"/>
          <w:szCs w:val="32"/>
          <w:lang w:val="en-US" w:eastAsia="zh-CN" w:bidi="ar"/>
        </w:rPr>
        <w:t>6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：喀什地区</w:t>
      </w:r>
      <w:r>
        <w:rPr>
          <w:rFonts w:hint="eastAsia" w:ascii="仿宋_GB2312" w:hAnsi="仿宋" w:eastAsia="仿宋_GB2312" w:cs="宋体"/>
          <w:sz w:val="32"/>
          <w:szCs w:val="32"/>
          <w:lang w:eastAsia="zh-CN" w:bidi="ar"/>
        </w:rPr>
        <w:t>歌舞剧团</w:t>
      </w:r>
      <w:r>
        <w:rPr>
          <w:rFonts w:hint="eastAsia" w:ascii="仿宋_GB2312" w:hAnsi="仿宋" w:eastAsia="仿宋_GB2312" w:cs="宋体"/>
          <w:sz w:val="32"/>
          <w:szCs w:val="32"/>
          <w:lang w:bidi="ar"/>
        </w:rPr>
        <w:t>项目支出绩效评价评分表</w:t>
      </w:r>
    </w:p>
    <w:sectPr>
      <w:footerReference r:id="rId3" w:type="default"/>
      <w:pgSz w:w="11906" w:h="16838"/>
      <w:pgMar w:top="1440" w:right="1797" w:bottom="1440" w:left="1797" w:header="851" w:footer="992" w:gutter="0"/>
      <w:pgNumType w:start="1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MingLiU">
    <w:panose1 w:val="02020509000000000000"/>
    <w:charset w:val="88"/>
    <w:family w:val="decorative"/>
    <w:pitch w:val="default"/>
    <w:sig w:usb0="A00002FF" w:usb1="28CFFCFA" w:usb2="00000016" w:usb3="00000000" w:csb0="0010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</w:p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D4D14"/>
    <w:multiLevelType w:val="multilevel"/>
    <w:tmpl w:val="316D4D14"/>
    <w:lvl w:ilvl="0" w:tentative="0">
      <w:start w:val="1"/>
      <w:numFmt w:val="decimal"/>
      <w:lvlText w:val="%1."/>
      <w:lvlJc w:val="left"/>
      <w:pPr>
        <w:ind w:left="988" w:hanging="420"/>
      </w:pPr>
    </w:lvl>
    <w:lvl w:ilvl="1" w:tentative="0">
      <w:start w:val="1"/>
      <w:numFmt w:val="decimal"/>
      <w:lvlText w:val="%2."/>
      <w:lvlJc w:val="left"/>
      <w:pPr>
        <w:ind w:left="1408" w:hanging="420"/>
      </w:pPr>
    </w:lvl>
    <w:lvl w:ilvl="2" w:tentative="0">
      <w:start w:val="1"/>
      <w:numFmt w:val="lowerRoman"/>
      <w:lvlText w:val="%3."/>
      <w:lvlJc w:val="right"/>
      <w:pPr>
        <w:ind w:left="1828" w:hanging="420"/>
      </w:pPr>
    </w:lvl>
    <w:lvl w:ilvl="3" w:tentative="0">
      <w:start w:val="1"/>
      <w:numFmt w:val="decimal"/>
      <w:lvlText w:val="%4."/>
      <w:lvlJc w:val="left"/>
      <w:pPr>
        <w:ind w:left="2248" w:hanging="420"/>
      </w:pPr>
    </w:lvl>
    <w:lvl w:ilvl="4" w:tentative="0">
      <w:start w:val="1"/>
      <w:numFmt w:val="lowerLetter"/>
      <w:lvlText w:val="%5)"/>
      <w:lvlJc w:val="left"/>
      <w:pPr>
        <w:ind w:left="2668" w:hanging="420"/>
      </w:pPr>
    </w:lvl>
    <w:lvl w:ilvl="5" w:tentative="0">
      <w:start w:val="1"/>
      <w:numFmt w:val="lowerRoman"/>
      <w:lvlText w:val="%6."/>
      <w:lvlJc w:val="right"/>
      <w:pPr>
        <w:ind w:left="3088" w:hanging="420"/>
      </w:pPr>
    </w:lvl>
    <w:lvl w:ilvl="6" w:tentative="0">
      <w:start w:val="1"/>
      <w:numFmt w:val="decimal"/>
      <w:lvlText w:val="%7."/>
      <w:lvlJc w:val="left"/>
      <w:pPr>
        <w:ind w:left="3508" w:hanging="420"/>
      </w:pPr>
    </w:lvl>
    <w:lvl w:ilvl="7" w:tentative="0">
      <w:start w:val="1"/>
      <w:numFmt w:val="lowerLetter"/>
      <w:lvlText w:val="%8)"/>
      <w:lvlJc w:val="left"/>
      <w:pPr>
        <w:ind w:left="3928" w:hanging="420"/>
      </w:pPr>
    </w:lvl>
    <w:lvl w:ilvl="8" w:tentative="0">
      <w:start w:val="1"/>
      <w:numFmt w:val="lowerRoman"/>
      <w:lvlText w:val="%9."/>
      <w:lvlJc w:val="right"/>
      <w:pPr>
        <w:ind w:left="4348" w:hanging="420"/>
      </w:pPr>
    </w:lvl>
  </w:abstractNum>
  <w:abstractNum w:abstractNumId="1">
    <w:nsid w:val="3A7260C0"/>
    <w:multiLevelType w:val="multilevel"/>
    <w:tmpl w:val="3A7260C0"/>
    <w:lvl w:ilvl="0" w:tentative="0">
      <w:start w:val="1"/>
      <w:numFmt w:val="chineseCountingThousand"/>
      <w:pStyle w:val="24"/>
      <w:lvlText w:val="(%1)"/>
      <w:lvlJc w:val="left"/>
      <w:pPr>
        <w:ind w:left="988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37299F"/>
    <w:multiLevelType w:val="multilevel"/>
    <w:tmpl w:val="4F37299F"/>
    <w:lvl w:ilvl="0" w:tentative="0">
      <w:start w:val="1"/>
      <w:numFmt w:val="chineseCountingThousand"/>
      <w:lvlText w:val="(%1)"/>
      <w:lvlJc w:val="left"/>
      <w:pPr>
        <w:ind w:left="420" w:hanging="420"/>
      </w:pPr>
      <w:rPr>
        <w:rFonts w:hint="eastAsia"/>
      </w:rPr>
    </w:lvl>
    <w:lvl w:ilvl="1" w:tentative="0">
      <w:start w:val="1"/>
      <w:numFmt w:val="japaneseCounting"/>
      <w:lvlText w:val="（%2）"/>
      <w:lvlJc w:val="left"/>
      <w:pPr>
        <w:ind w:left="1500" w:hanging="10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4451D54"/>
    <w:multiLevelType w:val="multilevel"/>
    <w:tmpl w:val="54451D54"/>
    <w:lvl w:ilvl="0" w:tentative="0">
      <w:start w:val="1"/>
      <w:numFmt w:val="decimal"/>
      <w:lvlText w:val="%1．"/>
      <w:lvlJc w:val="left"/>
      <w:pPr>
        <w:ind w:left="1065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5" w:hanging="420"/>
      </w:pPr>
    </w:lvl>
    <w:lvl w:ilvl="2" w:tentative="0">
      <w:start w:val="1"/>
      <w:numFmt w:val="lowerRoman"/>
      <w:lvlText w:val="%3."/>
      <w:lvlJc w:val="right"/>
      <w:pPr>
        <w:ind w:left="1905" w:hanging="420"/>
      </w:pPr>
    </w:lvl>
    <w:lvl w:ilvl="3" w:tentative="0">
      <w:start w:val="1"/>
      <w:numFmt w:val="decimal"/>
      <w:lvlText w:val="%4."/>
      <w:lvlJc w:val="left"/>
      <w:pPr>
        <w:ind w:left="2325" w:hanging="420"/>
      </w:pPr>
    </w:lvl>
    <w:lvl w:ilvl="4" w:tentative="0">
      <w:start w:val="1"/>
      <w:numFmt w:val="lowerLetter"/>
      <w:lvlText w:val="%5)"/>
      <w:lvlJc w:val="left"/>
      <w:pPr>
        <w:ind w:left="2745" w:hanging="420"/>
      </w:pPr>
    </w:lvl>
    <w:lvl w:ilvl="5" w:tentative="0">
      <w:start w:val="1"/>
      <w:numFmt w:val="lowerRoman"/>
      <w:lvlText w:val="%6."/>
      <w:lvlJc w:val="right"/>
      <w:pPr>
        <w:ind w:left="3165" w:hanging="420"/>
      </w:pPr>
    </w:lvl>
    <w:lvl w:ilvl="6" w:tentative="0">
      <w:start w:val="1"/>
      <w:numFmt w:val="decimal"/>
      <w:lvlText w:val="%7."/>
      <w:lvlJc w:val="left"/>
      <w:pPr>
        <w:ind w:left="3585" w:hanging="420"/>
      </w:pPr>
    </w:lvl>
    <w:lvl w:ilvl="7" w:tentative="0">
      <w:start w:val="1"/>
      <w:numFmt w:val="lowerLetter"/>
      <w:lvlText w:val="%8)"/>
      <w:lvlJc w:val="left"/>
      <w:pPr>
        <w:ind w:left="4005" w:hanging="420"/>
      </w:pPr>
    </w:lvl>
    <w:lvl w:ilvl="8" w:tentative="0">
      <w:start w:val="1"/>
      <w:numFmt w:val="lowerRoman"/>
      <w:lvlText w:val="%9."/>
      <w:lvlJc w:val="right"/>
      <w:pPr>
        <w:ind w:left="4425" w:hanging="420"/>
      </w:pPr>
    </w:lvl>
  </w:abstractNum>
  <w:abstractNum w:abstractNumId="4">
    <w:nsid w:val="5B493FDA"/>
    <w:multiLevelType w:val="multilevel"/>
    <w:tmpl w:val="5B493FDA"/>
    <w:lvl w:ilvl="0" w:tentative="0">
      <w:start w:val="1"/>
      <w:numFmt w:val="chineseCountingThousand"/>
      <w:lvlText w:val="(%1)"/>
      <w:lvlJc w:val="left"/>
      <w:pPr>
        <w:ind w:left="106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abstractNum w:abstractNumId="5">
    <w:nsid w:val="6757463D"/>
    <w:multiLevelType w:val="multilevel"/>
    <w:tmpl w:val="6757463D"/>
    <w:lvl w:ilvl="0" w:tentative="0">
      <w:start w:val="1"/>
      <w:numFmt w:val="chineseCountingThousand"/>
      <w:lvlText w:val="%1、"/>
      <w:lvlJc w:val="left"/>
      <w:pPr>
        <w:ind w:left="1063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83" w:hanging="420"/>
      </w:pPr>
    </w:lvl>
    <w:lvl w:ilvl="2" w:tentative="0">
      <w:start w:val="1"/>
      <w:numFmt w:val="lowerRoman"/>
      <w:lvlText w:val="%3."/>
      <w:lvlJc w:val="right"/>
      <w:pPr>
        <w:ind w:left="1903" w:hanging="420"/>
      </w:pPr>
    </w:lvl>
    <w:lvl w:ilvl="3" w:tentative="0">
      <w:start w:val="1"/>
      <w:numFmt w:val="decimal"/>
      <w:lvlText w:val="%4."/>
      <w:lvlJc w:val="left"/>
      <w:pPr>
        <w:ind w:left="2323" w:hanging="420"/>
      </w:pPr>
    </w:lvl>
    <w:lvl w:ilvl="4" w:tentative="0">
      <w:start w:val="1"/>
      <w:numFmt w:val="lowerLetter"/>
      <w:lvlText w:val="%5)"/>
      <w:lvlJc w:val="left"/>
      <w:pPr>
        <w:ind w:left="2743" w:hanging="420"/>
      </w:pPr>
    </w:lvl>
    <w:lvl w:ilvl="5" w:tentative="0">
      <w:start w:val="1"/>
      <w:numFmt w:val="lowerRoman"/>
      <w:lvlText w:val="%6."/>
      <w:lvlJc w:val="right"/>
      <w:pPr>
        <w:ind w:left="3163" w:hanging="420"/>
      </w:pPr>
    </w:lvl>
    <w:lvl w:ilvl="6" w:tentative="0">
      <w:start w:val="1"/>
      <w:numFmt w:val="decimal"/>
      <w:lvlText w:val="%7."/>
      <w:lvlJc w:val="left"/>
      <w:pPr>
        <w:ind w:left="3583" w:hanging="420"/>
      </w:pPr>
    </w:lvl>
    <w:lvl w:ilvl="7" w:tentative="0">
      <w:start w:val="1"/>
      <w:numFmt w:val="lowerLetter"/>
      <w:lvlText w:val="%8)"/>
      <w:lvlJc w:val="left"/>
      <w:pPr>
        <w:ind w:left="4003" w:hanging="420"/>
      </w:pPr>
    </w:lvl>
    <w:lvl w:ilvl="8" w:tentative="0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0"/>
  <w:drawingGridHorizontalSpacing w:val="210"/>
  <w:drawingGridVerticalSpacing w:val="158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715"/>
    <w:rsid w:val="00022413"/>
    <w:rsid w:val="00037F93"/>
    <w:rsid w:val="00042126"/>
    <w:rsid w:val="000E0C7B"/>
    <w:rsid w:val="000F2007"/>
    <w:rsid w:val="00100A64"/>
    <w:rsid w:val="00100AA9"/>
    <w:rsid w:val="001143D6"/>
    <w:rsid w:val="0012798F"/>
    <w:rsid w:val="00132553"/>
    <w:rsid w:val="00151AF1"/>
    <w:rsid w:val="00174F3A"/>
    <w:rsid w:val="0018169D"/>
    <w:rsid w:val="00193649"/>
    <w:rsid w:val="0019720C"/>
    <w:rsid w:val="001A1902"/>
    <w:rsid w:val="001A4FFA"/>
    <w:rsid w:val="001B5B44"/>
    <w:rsid w:val="001D5FF2"/>
    <w:rsid w:val="001D6F2E"/>
    <w:rsid w:val="00203FB6"/>
    <w:rsid w:val="00233ECE"/>
    <w:rsid w:val="002A1BF4"/>
    <w:rsid w:val="002B3A72"/>
    <w:rsid w:val="002C6231"/>
    <w:rsid w:val="002F7CDC"/>
    <w:rsid w:val="00324E56"/>
    <w:rsid w:val="00331AF1"/>
    <w:rsid w:val="003468D7"/>
    <w:rsid w:val="00363E52"/>
    <w:rsid w:val="00382736"/>
    <w:rsid w:val="003A04D1"/>
    <w:rsid w:val="003C327E"/>
    <w:rsid w:val="003C4B3D"/>
    <w:rsid w:val="003C6E7F"/>
    <w:rsid w:val="003E0E95"/>
    <w:rsid w:val="003F1C70"/>
    <w:rsid w:val="003F2E47"/>
    <w:rsid w:val="00403544"/>
    <w:rsid w:val="004115AA"/>
    <w:rsid w:val="00434C92"/>
    <w:rsid w:val="00443C47"/>
    <w:rsid w:val="00452560"/>
    <w:rsid w:val="00467DBB"/>
    <w:rsid w:val="004A0587"/>
    <w:rsid w:val="004C56AB"/>
    <w:rsid w:val="004D088E"/>
    <w:rsid w:val="004D4F06"/>
    <w:rsid w:val="005225F1"/>
    <w:rsid w:val="00531253"/>
    <w:rsid w:val="00540B36"/>
    <w:rsid w:val="00563E06"/>
    <w:rsid w:val="0058554B"/>
    <w:rsid w:val="00596DDF"/>
    <w:rsid w:val="005B6EAB"/>
    <w:rsid w:val="005D7AC7"/>
    <w:rsid w:val="00630E69"/>
    <w:rsid w:val="006362B2"/>
    <w:rsid w:val="0065420A"/>
    <w:rsid w:val="006869EC"/>
    <w:rsid w:val="00694A44"/>
    <w:rsid w:val="006D0AA4"/>
    <w:rsid w:val="006F2513"/>
    <w:rsid w:val="006F64CB"/>
    <w:rsid w:val="0071759F"/>
    <w:rsid w:val="007253B3"/>
    <w:rsid w:val="00731D46"/>
    <w:rsid w:val="00734BAD"/>
    <w:rsid w:val="00752C57"/>
    <w:rsid w:val="00781733"/>
    <w:rsid w:val="007C5CF9"/>
    <w:rsid w:val="007D340B"/>
    <w:rsid w:val="007E6392"/>
    <w:rsid w:val="007F3C25"/>
    <w:rsid w:val="00811F2D"/>
    <w:rsid w:val="00815938"/>
    <w:rsid w:val="008226BA"/>
    <w:rsid w:val="00827DA6"/>
    <w:rsid w:val="00835103"/>
    <w:rsid w:val="00854416"/>
    <w:rsid w:val="00866F54"/>
    <w:rsid w:val="00883FF2"/>
    <w:rsid w:val="0089293E"/>
    <w:rsid w:val="00893E6C"/>
    <w:rsid w:val="008D7BC7"/>
    <w:rsid w:val="0090104C"/>
    <w:rsid w:val="00982B10"/>
    <w:rsid w:val="009C0267"/>
    <w:rsid w:val="009E5354"/>
    <w:rsid w:val="00A10F1E"/>
    <w:rsid w:val="00A12A0C"/>
    <w:rsid w:val="00A365D5"/>
    <w:rsid w:val="00A41DB8"/>
    <w:rsid w:val="00A43094"/>
    <w:rsid w:val="00A53361"/>
    <w:rsid w:val="00A5786D"/>
    <w:rsid w:val="00A60191"/>
    <w:rsid w:val="00A81609"/>
    <w:rsid w:val="00A85237"/>
    <w:rsid w:val="00AB07C5"/>
    <w:rsid w:val="00AE1FDF"/>
    <w:rsid w:val="00AE3042"/>
    <w:rsid w:val="00B03B29"/>
    <w:rsid w:val="00B16C8F"/>
    <w:rsid w:val="00B32FA4"/>
    <w:rsid w:val="00B36F46"/>
    <w:rsid w:val="00B47B13"/>
    <w:rsid w:val="00B53BE4"/>
    <w:rsid w:val="00B6063F"/>
    <w:rsid w:val="00B9042A"/>
    <w:rsid w:val="00BA0855"/>
    <w:rsid w:val="00BA65AD"/>
    <w:rsid w:val="00BC7696"/>
    <w:rsid w:val="00C2671D"/>
    <w:rsid w:val="00C563AA"/>
    <w:rsid w:val="00C71FF0"/>
    <w:rsid w:val="00C77259"/>
    <w:rsid w:val="00C97E2D"/>
    <w:rsid w:val="00D043D7"/>
    <w:rsid w:val="00D117FB"/>
    <w:rsid w:val="00D23C2E"/>
    <w:rsid w:val="00D61EC8"/>
    <w:rsid w:val="00D93516"/>
    <w:rsid w:val="00DA7F4C"/>
    <w:rsid w:val="00DC5F94"/>
    <w:rsid w:val="00DE152F"/>
    <w:rsid w:val="00DE293B"/>
    <w:rsid w:val="00E05626"/>
    <w:rsid w:val="00E25B2F"/>
    <w:rsid w:val="00E373A5"/>
    <w:rsid w:val="00E66A4D"/>
    <w:rsid w:val="00E72B1C"/>
    <w:rsid w:val="00E96169"/>
    <w:rsid w:val="00F0780F"/>
    <w:rsid w:val="00F16D54"/>
    <w:rsid w:val="00F6015C"/>
    <w:rsid w:val="00F75715"/>
    <w:rsid w:val="00FB2E2F"/>
    <w:rsid w:val="00FD300A"/>
    <w:rsid w:val="00FF137F"/>
    <w:rsid w:val="00FF6959"/>
    <w:rsid w:val="00FF6C14"/>
    <w:rsid w:val="01BE6316"/>
    <w:rsid w:val="025A3DC3"/>
    <w:rsid w:val="1FD363DB"/>
    <w:rsid w:val="217F35A7"/>
    <w:rsid w:val="24E73B1F"/>
    <w:rsid w:val="26AD0244"/>
    <w:rsid w:val="26F03C06"/>
    <w:rsid w:val="2A547683"/>
    <w:rsid w:val="2BA42AC0"/>
    <w:rsid w:val="32705150"/>
    <w:rsid w:val="47942AC2"/>
    <w:rsid w:val="49005E5A"/>
    <w:rsid w:val="49BB151B"/>
    <w:rsid w:val="4BB01DB6"/>
    <w:rsid w:val="4D3B4607"/>
    <w:rsid w:val="52E95AA5"/>
    <w:rsid w:val="54873A2F"/>
    <w:rsid w:val="57964064"/>
    <w:rsid w:val="58661B85"/>
    <w:rsid w:val="5E1F3A88"/>
    <w:rsid w:val="62894CCD"/>
    <w:rsid w:val="667765BF"/>
    <w:rsid w:val="7775238E"/>
    <w:rsid w:val="79AC6245"/>
    <w:rsid w:val="7A8638D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12F1EB-F90A-43BA-ADA9-C32044478457}">
  <ds:schemaRefs/>
</ds:datastoreItem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2052-11.1.0.9564</vt:lpwstr>
  </property>
</Properties>
</file>