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bookmarkEnd w:id="54"/>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新疆喀什地区歌舞剧团2019年度部门决算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本单位是自治区重点艺术表演团体之一，从事创作演出优秀歌舞剧目，繁荣地区文化艺术事业，承担地区大型活动，负责完成政府接待和三下乡的演出活动任务，面向基层，为广大群众服务，培训地县专业创作表演人才，承担地委、行署下达的各项演出任务，牢牢把握意识形态领域前沿阵地，争取民心，凝聚人心，打好主动仗，传播正能量。</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新疆喀什地区歌舞剧团2</w:t>
      </w:r>
      <w:r>
        <w:rPr>
          <w:rFonts w:ascii="仿宋_GB2312" w:eastAsia="仿宋_GB2312"/>
          <w:sz w:val="32"/>
          <w:szCs w:val="32"/>
        </w:rPr>
        <w:t>019</w:t>
      </w:r>
      <w:r>
        <w:rPr>
          <w:rFonts w:hint="eastAsia" w:ascii="仿宋_GB2312" w:eastAsia="仿宋_GB2312"/>
          <w:sz w:val="32"/>
          <w:szCs w:val="32"/>
        </w:rPr>
        <w:t>年度，实有人数203人，其中：在职人员138人，离休人员0人，退休人员65人。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从部门决算单位构成看，新疆喀什地区歌舞剧团部门决算包括：新疆喀什地区歌舞剧团决算。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2019年度本年收入2,614.46万元，与上年相比，增加333.74万元，增长14.63%，主要原因是：</w:t>
      </w:r>
      <w:r>
        <w:rPr>
          <w:rFonts w:hint="eastAsia" w:ascii="仿宋_GB2312" w:eastAsia="仿宋_GB2312"/>
          <w:color w:val="000000" w:themeColor="text1"/>
          <w:sz w:val="32"/>
          <w:szCs w:val="32"/>
          <w14:textFill>
            <w14:solidFill>
              <w14:schemeClr w14:val="tx1"/>
            </w14:solidFill>
          </w14:textFill>
        </w:rPr>
        <w:t>今年增加了感恩援疆文化交流演出任务经费补助</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赴上海高校文化交流演出经费补助、新歌唱新喀什经费补助等。</w:t>
      </w:r>
      <w:r>
        <w:rPr>
          <w:rFonts w:hint="eastAsia" w:ascii="仿宋_GB2312" w:eastAsia="仿宋_GB2312"/>
          <w:sz w:val="32"/>
          <w:szCs w:val="32"/>
        </w:rPr>
        <w:t>本年支出2,603.98万元，与上年相比，增加351.30万元，增长15.59%，主要原因是：</w:t>
      </w:r>
      <w:r>
        <w:rPr>
          <w:rFonts w:hint="eastAsia" w:ascii="仿宋_GB2312" w:eastAsia="仿宋_GB2312"/>
          <w:color w:val="000000" w:themeColor="text1"/>
          <w:sz w:val="32"/>
          <w:szCs w:val="32"/>
          <w14:textFill>
            <w14:solidFill>
              <w14:schemeClr w14:val="tx1"/>
            </w14:solidFill>
          </w14:textFill>
        </w:rPr>
        <w:t>今年增加了感恩援疆文化交流演出经费支出，赴上海高校文化交流演出经费支出，新歌唱新喀什经费支出等。</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年度本年收入2,614.46万元，其中：财政拨款收入2,155.58万元，占82.45%；上级补助收入0万元，占0%；事业收入0万元，占0%；经营收入0万元，占0%；附属单位上缴收入0万元，占0%；其他收入458.88万元，占17.55%。</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2019年度本年支出2,603.98万元，其中：基本支出1,951.09万元，占74.93%；项目支出652.89万元，占25.07%；上缴上级支出0万元，占0%；经营支出0万元，占0%；对附属单位补助支出0万元，占0%。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2,155.58万元，与上年相比，减少83.14万元，下降3.71%，主要原因是：职工基本养老保险缴费基数降低、5人死亡、1人调出。财政拨款支出2,155.58万元，与上年相比，减少83.14万元，下降3.71%，主要原因是：</w:t>
      </w:r>
      <w:r>
        <w:rPr>
          <w:rFonts w:ascii="仿宋_GB2312" w:eastAsia="仿宋_GB2312"/>
          <w:sz w:val="32"/>
          <w:szCs w:val="32"/>
        </w:rPr>
        <w:t>职工基本养老保险缴费基数降低、5人死亡、1人调出。</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2,092.21</w:t>
      </w:r>
      <w:r>
        <w:rPr>
          <w:rFonts w:hint="eastAsia" w:ascii="仿宋_GB2312" w:eastAsia="仿宋_GB2312"/>
          <w:sz w:val="32"/>
          <w:szCs w:val="32"/>
        </w:rPr>
        <w:t>万元，决算数2,155.58万元</w:t>
      </w:r>
      <w:r>
        <w:rPr>
          <w:rFonts w:ascii="仿宋_GB2312" w:eastAsia="仿宋_GB2312"/>
          <w:color w:val="000000" w:themeColor="text1"/>
          <w:sz w:val="32"/>
          <w:szCs w:val="32"/>
          <w14:textFill>
            <w14:solidFill>
              <w14:schemeClr w14:val="tx1"/>
            </w14:solidFill>
          </w14:textFill>
        </w:rPr>
        <w:t>，预决算差异率3.03%，主要原因是：本年执行预算中追加了18年度中央补助地方公共文化体系建设资金。</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2,216.21</w:t>
      </w:r>
      <w:r>
        <w:rPr>
          <w:rFonts w:hint="eastAsia" w:ascii="仿宋_GB2312" w:eastAsia="仿宋_GB2312"/>
          <w:sz w:val="32"/>
          <w:szCs w:val="32"/>
        </w:rPr>
        <w:t>万元，决算数2,155.58万元</w:t>
      </w:r>
      <w:r>
        <w:rPr>
          <w:rFonts w:ascii="仿宋_GB2312" w:eastAsia="仿宋_GB2312"/>
          <w:color w:val="000000" w:themeColor="text1"/>
          <w:sz w:val="32"/>
          <w:szCs w:val="32"/>
          <w14:textFill>
            <w14:solidFill>
              <w14:schemeClr w14:val="tx1"/>
            </w14:solidFill>
          </w14:textFill>
        </w:rPr>
        <w:t>，预决算差异率-2.74%，主要原因是：职工养老保险缴费基数调降低，5人（在职和退休人员）自然死亡，1人调出，职工工资基数有变动。</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年度一般公共预算财政拨款支出2,145.58万元。按功能分类科目项级科目公开，其中：</w:t>
      </w:r>
    </w:p>
    <w:p>
      <w:pPr>
        <w:rPr>
          <w:rFonts w:ascii="仿宋_GB2312" w:eastAsia="仿宋_GB2312"/>
          <w:sz w:val="32"/>
          <w:szCs w:val="32"/>
        </w:rPr>
      </w:pPr>
      <w:r>
        <w:rPr>
          <w:rFonts w:ascii="仿宋_GB2312" w:eastAsia="仿宋_GB2312"/>
          <w:sz w:val="32"/>
          <w:szCs w:val="32"/>
        </w:rPr>
        <w:t xml:space="preserve">   2070107艺术表演团体支出1,580.05万元；</w:t>
      </w:r>
      <w:r>
        <w:rPr>
          <w:rFonts w:ascii="仿宋_GB2312" w:eastAsia="仿宋_GB2312"/>
          <w:sz w:val="32"/>
          <w:szCs w:val="32"/>
        </w:rPr>
        <w:br w:type="textWrapping"/>
      </w:r>
      <w:r>
        <w:rPr>
          <w:rFonts w:ascii="仿宋_GB2312" w:eastAsia="仿宋_GB2312"/>
          <w:sz w:val="32"/>
          <w:szCs w:val="32"/>
        </w:rPr>
        <w:t xml:space="preserve">   2079999其他文化体育与传媒支出158.50万元；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2080505机关事业单位基本养老保险缴费支出168.88万元；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2080506机关事业单位职业年金缴费支出76.46万元；</w:t>
      </w:r>
      <w:r>
        <w:rPr>
          <w:rFonts w:ascii="仿宋_GB2312" w:eastAsia="仿宋_GB2312"/>
          <w:sz w:val="32"/>
          <w:szCs w:val="32"/>
        </w:rPr>
        <w:br w:type="textWrapping"/>
      </w:r>
      <w:r>
        <w:rPr>
          <w:rFonts w:ascii="仿宋_GB2312" w:eastAsia="仿宋_GB2312"/>
          <w:sz w:val="32"/>
          <w:szCs w:val="32"/>
        </w:rPr>
        <w:t xml:space="preserve">   2210201住房公积金支出125.69万元；</w:t>
      </w:r>
      <w:r>
        <w:rPr>
          <w:rFonts w:ascii="仿宋_GB2312" w:eastAsia="仿宋_GB2312"/>
          <w:sz w:val="32"/>
          <w:szCs w:val="32"/>
        </w:rPr>
        <w:br w:type="textWrapping"/>
      </w:r>
      <w:r>
        <w:rPr>
          <w:rFonts w:ascii="仿宋_GB2312" w:eastAsia="仿宋_GB2312"/>
          <w:sz w:val="32"/>
          <w:szCs w:val="32"/>
        </w:rPr>
        <w:t xml:space="preserve">   2299901其他支出36万元。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年度一般公共预算财政拨款基本支出1,951.09万元，其中：</w:t>
      </w:r>
    </w:p>
    <w:p>
      <w:pPr>
        <w:ind w:firstLine="640" w:firstLineChars="200"/>
        <w:rPr>
          <w:rFonts w:ascii="仿宋_GB2312" w:eastAsia="仿宋_GB2312"/>
          <w:sz w:val="32"/>
          <w:szCs w:val="32"/>
        </w:rPr>
      </w:pPr>
      <w:r>
        <w:rPr>
          <w:rFonts w:hint="eastAsia" w:ascii="仿宋_GB2312" w:eastAsia="仿宋_GB2312"/>
          <w:sz w:val="32"/>
          <w:szCs w:val="32"/>
        </w:rPr>
        <w:t>人员经费1,934.37万元，包括：基本工资、津贴补贴、奖金、绩效工资、机关事业单位基本养老保险缴费、职业年金缴费、职工基本医疗保险缴费、公务员医疗补助缴费、其他社会保障缴费、住房公积金、退休费、抚恤金、生活补助。</w:t>
      </w:r>
    </w:p>
    <w:p>
      <w:pPr>
        <w:ind w:firstLine="640" w:firstLineChars="200"/>
        <w:rPr>
          <w:rFonts w:ascii="仿宋_GB2312" w:eastAsia="仿宋_GB2312"/>
          <w:sz w:val="32"/>
          <w:szCs w:val="32"/>
        </w:rPr>
      </w:pPr>
      <w:r>
        <w:rPr>
          <w:rFonts w:hint="eastAsia" w:ascii="仿宋_GB2312" w:eastAsia="仿宋_GB2312"/>
          <w:sz w:val="32"/>
          <w:szCs w:val="32"/>
        </w:rPr>
        <w:t>公用经费16.71万元，包括：取暖费、差旅费、专用材料费、其他交通费用。</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与上年相比无变动，与上年一致。其中，因公出国（境）费支出0万元，占0%，比上年增加0万元，增长0%，主要原因是上年相比无变动，与上年一致；公务用车购置及运行维护费支出0万元，占0%，比上年增加0万元，增长0%，主要原因是上年相比无变动，与上年一致；公务接待费支出0万元，占0%，比上年增加0万元，增长0%，主要原因是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w:t>
      </w:r>
      <w:r>
        <w:rPr>
          <w:rFonts w:hint="eastAsia" w:ascii="仿宋_GB2312" w:eastAsia="仿宋_GB2312"/>
          <w:color w:val="000000" w:themeColor="text1"/>
          <w:sz w:val="32"/>
          <w:szCs w:val="32"/>
          <w:lang w:eastAsia="zh-CN"/>
          <w14:textFill>
            <w14:solidFill>
              <w14:schemeClr w14:val="tx1"/>
            </w14:solidFill>
          </w14:textFill>
        </w:rPr>
        <w:t>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2019年度政府性基金预算财政拨款收入10万元，与上年相比，减少39.71万元，下降79.88%，主要原因是：本年春节晚会补助资金预算安排减少。政府性基金预算支出10万元，与上年相比，减少39.71万元，下降79.88%，主要原因是：本年春节晚会补助资金预算安排减少。</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新疆喀什地区歌舞剧团日常公用经费16.71万元，比上年增加11.63万元，增长228.94%，主要原因是本年专项经费支出增加。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年度政府采购支出总额182.32万元，其中：政府采购货物支出182.32万元、政府采购工程支出0万元、政府采购服务支出0万元。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授予中小企业合同金额182.32万元，占政府采购支出总额的100%，其中：授予小微企业合同金额0万元，占政府采购支出总额的0%。</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年12月31日，单位共有房屋2,309（平方米），价值191万元。车辆3辆，价值81.10万元，其中：副部（省）级及以上领导用车0辆、主要领导干部用车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桑塔纳车（一般公务用车）、大巴车（38座）、舞台流动车（文化厅捐赠</w:t>
      </w:r>
      <w:r>
        <w:rPr>
          <w:rFonts w:hint="eastAsia" w:ascii="仿宋_GB2312" w:eastAsia="仿宋_GB2312"/>
          <w:color w:val="000000" w:themeColor="text1"/>
          <w:sz w:val="32"/>
          <w:szCs w:val="32"/>
          <w:lang w:val="en-US" w:eastAsia="zh-CN"/>
          <w14:textFill>
            <w14:solidFill>
              <w14:schemeClr w14:val="tx1"/>
            </w14:solidFill>
          </w14:textFill>
        </w:rPr>
        <w:t>)</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6个，共涉及资金204.45万元。预算绩效管理取得的成效：一是经济性评价：我团年度任务是在预算资金额度内完成，并通过规范的招投标及严格的资金管理及项目管理及其他创新的管理措施实现了资金的节约。三公经费在预算范围内开支，开支范围较上年的变化，有节约</w:t>
      </w:r>
      <w:r>
        <w:rPr>
          <w:rFonts w:hint="eastAsia" w:ascii="仿宋_GB2312" w:eastAsia="仿宋_GB2312"/>
          <w:sz w:val="32"/>
          <w:szCs w:val="32"/>
          <w:lang w:eastAsia="zh-CN"/>
        </w:rPr>
        <w:t>；</w:t>
      </w:r>
      <w:r>
        <w:rPr>
          <w:rFonts w:hint="eastAsia" w:ascii="仿宋_GB2312" w:eastAsia="仿宋_GB2312"/>
          <w:sz w:val="32"/>
          <w:szCs w:val="32"/>
        </w:rPr>
        <w:t>二是效率性评价：各项工作计划按预期计划按时完成，效益按预期时间产生</w:t>
      </w:r>
      <w:r>
        <w:rPr>
          <w:rFonts w:hint="eastAsia" w:ascii="仿宋_GB2312" w:eastAsia="仿宋_GB2312"/>
          <w:sz w:val="32"/>
          <w:szCs w:val="32"/>
          <w:lang w:eastAsia="zh-CN"/>
        </w:rPr>
        <w:t>；</w:t>
      </w:r>
      <w:r>
        <w:rPr>
          <w:rFonts w:hint="eastAsia" w:ascii="仿宋_GB2312" w:eastAsia="仿宋_GB2312"/>
          <w:sz w:val="32"/>
          <w:szCs w:val="32"/>
        </w:rPr>
        <w:t>三是效益性评价：其中预期的经济效益未产生经济效益、产出了社会效益主要是提高单位本职作用，提高单位宣传能力方面等、产生了可持续的影响，主要是群众，农民群众满意度方面取得了好评价。发现的问题及原因：一是预算编制内职工工资和对个人和家庭的补助支出和单位保障运转执行数小于与预算数，原因</w:t>
      </w:r>
      <w:r>
        <w:rPr>
          <w:rFonts w:hint="eastAsia" w:ascii="仿宋_GB2312" w:eastAsia="仿宋_GB2312"/>
          <w:sz w:val="32"/>
          <w:szCs w:val="32"/>
          <w:lang w:eastAsia="zh-CN"/>
        </w:rPr>
        <w:t>是</w:t>
      </w:r>
      <w:r>
        <w:rPr>
          <w:rFonts w:hint="eastAsia" w:ascii="仿宋_GB2312" w:eastAsia="仿宋_GB2312"/>
          <w:sz w:val="32"/>
          <w:szCs w:val="32"/>
        </w:rPr>
        <w:t>今年在职职工减少2人，单位保障运转小于预算数，原因是今年单位有些资金调账的原因今年单位运转资金减少</w:t>
      </w:r>
      <w:r>
        <w:rPr>
          <w:rFonts w:hint="eastAsia" w:ascii="仿宋_GB2312" w:eastAsia="仿宋_GB2312"/>
          <w:sz w:val="32"/>
          <w:szCs w:val="32"/>
          <w:lang w:eastAsia="zh-CN"/>
        </w:rPr>
        <w:t>；</w:t>
      </w:r>
      <w:r>
        <w:rPr>
          <w:rFonts w:hint="eastAsia" w:ascii="仿宋_GB2312" w:eastAsia="仿宋_GB2312"/>
          <w:sz w:val="32"/>
          <w:szCs w:val="32"/>
        </w:rPr>
        <w:t>二是采购类项目资金里（采购类项目共3个）部分项目资金为执行完，因今年反复增加了上海援疆指挥中心安排的规模比较大的《感恩援疆文化交流演出，赴上海高校文化交流演出》等活动，年初预算安排数量较多等原因所以未完成该项目。下一步改进措施：在以后的工作中抓好项目资金安排时间合理，提高项目资金使用进度。按照基本支出预算和项目支出预算进度及时拨付资金，提高资金使用效益最大化，最量化，预算执行过程中重视年度各项资金追加点，减少不必要的活动开支，合理安排时间节约成本。具体项目自评情况附项目支出绩效自评表。</w:t>
      </w:r>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5Uo8nedf4EuvEReeW7Xd+SIfHwI=" w:salt="ELOiTJamSLeJnX7o86ghE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2C51EDF"/>
    <w:rsid w:val="06792773"/>
    <w:rsid w:val="09274961"/>
    <w:rsid w:val="14C15712"/>
    <w:rsid w:val="1DAF458D"/>
    <w:rsid w:val="231C4665"/>
    <w:rsid w:val="2A053397"/>
    <w:rsid w:val="2D1136DF"/>
    <w:rsid w:val="31C63837"/>
    <w:rsid w:val="3D5275AC"/>
    <w:rsid w:val="46901EEE"/>
    <w:rsid w:val="469C74D2"/>
    <w:rsid w:val="4827781B"/>
    <w:rsid w:val="50DB5F45"/>
    <w:rsid w:val="60981937"/>
    <w:rsid w:val="6758545C"/>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1056</Words>
  <Characters>6024</Characters>
  <Lines>50</Lines>
  <Paragraphs>14</Paragraphs>
  <TotalTime>23</TotalTime>
  <ScaleCrop>false</ScaleCrop>
  <LinksUpToDate>false</LinksUpToDate>
  <CharactersWithSpaces>7066</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2020-09-11T05:25:37Z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