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2765" w14:textId="77777777" w:rsidR="00E7612A" w:rsidRDefault="00E7612A">
      <w:pPr>
        <w:spacing w:line="570" w:lineRule="exact"/>
        <w:jc w:val="center"/>
        <w:rPr>
          <w:rFonts w:ascii="华文中宋" w:eastAsia="华文中宋" w:hAnsi="华文中宋" w:cs="宋体"/>
          <w:b/>
          <w:kern w:val="0"/>
          <w:sz w:val="52"/>
          <w:szCs w:val="52"/>
        </w:rPr>
      </w:pPr>
    </w:p>
    <w:p w14:paraId="2E450B95" w14:textId="77777777" w:rsidR="00E7612A" w:rsidRDefault="00E7612A">
      <w:pPr>
        <w:spacing w:line="570" w:lineRule="exact"/>
        <w:jc w:val="center"/>
        <w:rPr>
          <w:rFonts w:ascii="华文中宋" w:eastAsia="华文中宋" w:hAnsi="华文中宋" w:cs="宋体"/>
          <w:b/>
          <w:kern w:val="0"/>
          <w:sz w:val="52"/>
          <w:szCs w:val="52"/>
        </w:rPr>
      </w:pPr>
    </w:p>
    <w:p w14:paraId="29DA2E51" w14:textId="77777777" w:rsidR="00E7612A" w:rsidRDefault="00E7612A">
      <w:pPr>
        <w:spacing w:line="570" w:lineRule="exact"/>
        <w:jc w:val="center"/>
        <w:rPr>
          <w:rFonts w:ascii="华文中宋" w:eastAsia="华文中宋" w:hAnsi="华文中宋" w:cs="宋体"/>
          <w:b/>
          <w:kern w:val="0"/>
          <w:sz w:val="52"/>
          <w:szCs w:val="52"/>
        </w:rPr>
      </w:pPr>
    </w:p>
    <w:p w14:paraId="322FB570" w14:textId="77777777" w:rsidR="00E7612A" w:rsidRDefault="00E7612A">
      <w:pPr>
        <w:spacing w:line="570" w:lineRule="exact"/>
        <w:jc w:val="center"/>
        <w:rPr>
          <w:rFonts w:ascii="华文中宋" w:eastAsia="华文中宋" w:hAnsi="华文中宋" w:cs="宋体"/>
          <w:b/>
          <w:kern w:val="0"/>
          <w:sz w:val="52"/>
          <w:szCs w:val="52"/>
        </w:rPr>
      </w:pPr>
    </w:p>
    <w:p w14:paraId="6B50659F" w14:textId="77777777" w:rsidR="00E7612A" w:rsidRDefault="00E7612A">
      <w:pPr>
        <w:spacing w:line="570" w:lineRule="exact"/>
        <w:jc w:val="center"/>
        <w:rPr>
          <w:rFonts w:ascii="华文中宋" w:eastAsia="华文中宋" w:hAnsi="华文中宋" w:cs="宋体"/>
          <w:b/>
          <w:kern w:val="0"/>
          <w:sz w:val="52"/>
          <w:szCs w:val="52"/>
        </w:rPr>
      </w:pPr>
    </w:p>
    <w:p w14:paraId="06578019" w14:textId="77777777" w:rsidR="00E7612A" w:rsidRDefault="00E7612A">
      <w:pPr>
        <w:spacing w:line="570" w:lineRule="exact"/>
        <w:jc w:val="center"/>
        <w:rPr>
          <w:rFonts w:ascii="华文中宋" w:eastAsia="华文中宋" w:hAnsi="华文中宋" w:cs="宋体"/>
          <w:b/>
          <w:kern w:val="0"/>
          <w:sz w:val="52"/>
          <w:szCs w:val="52"/>
        </w:rPr>
      </w:pPr>
    </w:p>
    <w:p w14:paraId="65D9F1F5" w14:textId="77777777" w:rsidR="00E7612A" w:rsidRDefault="00E7612A">
      <w:pPr>
        <w:spacing w:line="570" w:lineRule="exact"/>
        <w:jc w:val="center"/>
        <w:rPr>
          <w:rFonts w:ascii="华文中宋" w:eastAsia="华文中宋" w:hAnsi="华文中宋" w:cs="宋体"/>
          <w:b/>
          <w:kern w:val="0"/>
          <w:sz w:val="52"/>
          <w:szCs w:val="52"/>
        </w:rPr>
      </w:pPr>
    </w:p>
    <w:p w14:paraId="75242AA7" w14:textId="669A8BE6" w:rsidR="00E7612A" w:rsidRDefault="008F4CA9">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喀什地区财政</w:t>
      </w:r>
      <w:r w:rsidR="00B77738">
        <w:rPr>
          <w:rFonts w:ascii="方正小标宋_GBK" w:eastAsia="方正小标宋_GBK" w:hAnsi="华文中宋" w:cs="宋体" w:hint="eastAsia"/>
          <w:b/>
          <w:kern w:val="0"/>
          <w:sz w:val="44"/>
          <w:szCs w:val="44"/>
        </w:rPr>
        <w:t>专项</w:t>
      </w:r>
      <w:r>
        <w:rPr>
          <w:rFonts w:ascii="方正小标宋_GBK" w:eastAsia="方正小标宋_GBK" w:hAnsi="华文中宋" w:cs="宋体" w:hint="eastAsia"/>
          <w:b/>
          <w:kern w:val="0"/>
          <w:sz w:val="44"/>
          <w:szCs w:val="44"/>
        </w:rPr>
        <w:t>支出绩效自评报告</w:t>
      </w:r>
    </w:p>
    <w:p w14:paraId="07854308" w14:textId="77777777" w:rsidR="00E7612A" w:rsidRDefault="00E7612A">
      <w:pPr>
        <w:spacing w:line="570" w:lineRule="exact"/>
        <w:jc w:val="center"/>
        <w:rPr>
          <w:rFonts w:ascii="华文中宋" w:eastAsia="华文中宋" w:hAnsi="华文中宋" w:cs="宋体"/>
          <w:b/>
          <w:kern w:val="0"/>
          <w:sz w:val="52"/>
          <w:szCs w:val="52"/>
        </w:rPr>
      </w:pPr>
    </w:p>
    <w:p w14:paraId="1E692ED9" w14:textId="396E8DE4" w:rsidR="00E7612A" w:rsidRDefault="008F4CA9">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437035D" w14:textId="77777777" w:rsidR="00E7612A" w:rsidRDefault="00E7612A">
      <w:pPr>
        <w:spacing w:line="570" w:lineRule="exact"/>
        <w:jc w:val="center"/>
        <w:rPr>
          <w:rFonts w:eastAsia="仿宋_GB2312" w:hAnsi="宋体" w:cs="宋体"/>
          <w:kern w:val="0"/>
          <w:sz w:val="30"/>
          <w:szCs w:val="30"/>
        </w:rPr>
      </w:pPr>
    </w:p>
    <w:p w14:paraId="0D88DA09" w14:textId="77777777" w:rsidR="00E7612A" w:rsidRDefault="00E7612A">
      <w:pPr>
        <w:spacing w:line="570" w:lineRule="exact"/>
        <w:jc w:val="center"/>
        <w:rPr>
          <w:rFonts w:eastAsia="仿宋_GB2312" w:hAnsi="宋体" w:cs="宋体"/>
          <w:kern w:val="0"/>
          <w:sz w:val="30"/>
          <w:szCs w:val="30"/>
        </w:rPr>
      </w:pPr>
    </w:p>
    <w:p w14:paraId="5621372D" w14:textId="77777777" w:rsidR="00E7612A" w:rsidRDefault="008F4CA9">
      <w:pPr>
        <w:spacing w:line="57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p>
    <w:p w14:paraId="534EA41F" w14:textId="77777777" w:rsidR="00E7612A" w:rsidRDefault="00E7612A">
      <w:pPr>
        <w:spacing w:line="570" w:lineRule="exact"/>
        <w:jc w:val="center"/>
        <w:rPr>
          <w:rFonts w:ascii="方正小标宋_GBK" w:eastAsia="方正小标宋_GBK" w:hAnsi="宋体" w:cs="宋体"/>
          <w:kern w:val="0"/>
          <w:sz w:val="36"/>
          <w:szCs w:val="36"/>
        </w:rPr>
      </w:pPr>
    </w:p>
    <w:p w14:paraId="0AFB0CE3" w14:textId="0DA3C3AD" w:rsidR="00E7612A" w:rsidRDefault="00E7612A">
      <w:pPr>
        <w:spacing w:line="570" w:lineRule="exact"/>
        <w:rPr>
          <w:rFonts w:eastAsia="仿宋_GB2312" w:hAnsi="宋体" w:cs="宋体"/>
          <w:kern w:val="0"/>
          <w:sz w:val="30"/>
          <w:szCs w:val="30"/>
        </w:rPr>
      </w:pPr>
    </w:p>
    <w:p w14:paraId="5E968ACE" w14:textId="77777777" w:rsidR="007C0EA3" w:rsidRDefault="007C0EA3">
      <w:pPr>
        <w:spacing w:line="570" w:lineRule="exact"/>
        <w:rPr>
          <w:rFonts w:eastAsia="仿宋_GB2312" w:hAnsi="宋体" w:cs="宋体"/>
          <w:kern w:val="0"/>
          <w:sz w:val="30"/>
          <w:szCs w:val="30"/>
        </w:rPr>
      </w:pPr>
    </w:p>
    <w:p w14:paraId="5C2A08DA" w14:textId="5D4E6B16" w:rsidR="00E7612A" w:rsidRDefault="008F4CA9">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2022年公共体育场馆向社会免费或低收费开放补助资金项目</w:t>
      </w:r>
    </w:p>
    <w:p w14:paraId="53A2695D" w14:textId="551B8E64" w:rsidR="00E7612A" w:rsidRDefault="008F4CA9">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喀什地区体育馆</w:t>
      </w:r>
    </w:p>
    <w:p w14:paraId="18B0EA48" w14:textId="05BA31A1" w:rsidR="00E7612A" w:rsidRDefault="008F4CA9" w:rsidP="007A3C1F">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sidR="007A3C1F">
        <w:rPr>
          <w:rStyle w:val="ad"/>
          <w:rFonts w:ascii="仿宋" w:eastAsia="仿宋" w:hAnsi="仿宋" w:cs="仿宋" w:hint="eastAsia"/>
          <w:b w:val="0"/>
          <w:bCs w:val="0"/>
          <w:spacing w:val="-4"/>
          <w:sz w:val="32"/>
          <w:szCs w:val="32"/>
        </w:rPr>
        <w:t>喀什地区体育局</w:t>
      </w:r>
    </w:p>
    <w:p w14:paraId="711D26DE" w14:textId="0ED18634" w:rsidR="005E259B" w:rsidRDefault="005E259B" w:rsidP="005E259B">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江辉</w:t>
      </w:r>
    </w:p>
    <w:p w14:paraId="06580AD8" w14:textId="35781503" w:rsidR="00E7612A" w:rsidRDefault="008F4CA9">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2023年01月12日</w:t>
      </w:r>
    </w:p>
    <w:p w14:paraId="7AA4B8F6" w14:textId="77777777" w:rsidR="00E7612A" w:rsidRDefault="00E7612A">
      <w:pPr>
        <w:spacing w:line="570" w:lineRule="exact"/>
        <w:ind w:firstLineChars="200" w:firstLine="627"/>
        <w:rPr>
          <w:rStyle w:val="ad"/>
          <w:rFonts w:ascii="楷体" w:eastAsia="楷体" w:hAnsi="楷体"/>
          <w:spacing w:val="-4"/>
          <w:sz w:val="32"/>
          <w:szCs w:val="32"/>
        </w:rPr>
      </w:pPr>
    </w:p>
    <w:p w14:paraId="11FB36A2" w14:textId="64C82E2B" w:rsidR="00E7612A" w:rsidRDefault="00E7612A">
      <w:pPr>
        <w:spacing w:line="570" w:lineRule="exact"/>
        <w:rPr>
          <w:rFonts w:eastAsia="仿宋_GB2312" w:hAnsi="宋体" w:cs="宋体"/>
          <w:kern w:val="0"/>
          <w:sz w:val="30"/>
          <w:szCs w:val="30"/>
        </w:rPr>
      </w:pPr>
    </w:p>
    <w:p w14:paraId="6D6BACC8" w14:textId="77777777" w:rsidR="00E7612A" w:rsidRDefault="00E7612A">
      <w:pPr>
        <w:spacing w:line="570" w:lineRule="exact"/>
        <w:rPr>
          <w:rStyle w:val="ad"/>
          <w:rFonts w:ascii="黑体" w:eastAsia="黑体" w:hAnsi="黑体"/>
          <w:b w:val="0"/>
          <w:spacing w:val="-4"/>
          <w:sz w:val="32"/>
          <w:szCs w:val="32"/>
        </w:rPr>
      </w:pPr>
    </w:p>
    <w:p w14:paraId="56D05CE1"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1288170E" w14:textId="77777777" w:rsidR="00E7612A" w:rsidRDefault="008F4CA9">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09E93C78" w14:textId="35CBD87F"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2021〕182号）等相关政策文件与规定，下达2022年公共体育场馆向社会免费或低收费开放补助资金63万元。旨在大力开展全面健身活动，增强全民身体素质，推动全民健身及全民健康的深度融合。</w:t>
        <w:br/>
        <w:t>2. 主要内容及实施情况</w:t>
        <w:br/>
        <w:t>本项目建设主要服务于地区全民健身健身活动。项目实施前进行认真细致的充分调研，制定了《喀什地区体育馆免费开放》实施方案，项目实施过程中严格按照实施方案进行实施并及时进行监督管理，项目实施后进行及时验收及后期维护。该项目的实施对促进地区全民健身作用突出，成为全民健身的重要抓手和平台。</w:t>
        <w:br/>
        <w:t>3.项目实施主体</w:t>
        <w:br/>
        <w:t>喀什地区体育馆为全额事业单位，主要职责为：（1）贯彻和执行党和国家有关法律、法规、政策和标准; （2）组织和制定项目的总体规划; （3）负责项目的实施方案; （4）全面负责项目质量的监督检查; （5）全面负责项目资金的审批和支付。</w:t>
        <w:br/>
        <w:t>编制人数14人，其中：管理岗编制5人、专业技术岗编制6人、工勤3人。实有在职人数9人，其中：管理岗在职4人、专业技术岗在职2人、工勤在职3人。离退休人员12人。</w:t>
        <w:br/>
        <w:t>4. 资金投入和使用情况</w:t>
        <w:br/>
        <w:t>根据新财教（2021）182号共安排下达资金63万元，为中央专项资金，最终确定项目资金总数为63万元。</w:t>
        <w:br/>
        <w:t>截至2022年12月31日，实际支出53万元，预算执行率84.13%。</w:t>
      </w:r>
    </w:p>
    <w:p w14:paraId="53C18CE7"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4347546E" w14:textId="136FABFB"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（二）项目绩效目标</w:t>
        <w:br/>
        <w:t>项目绩效目标包括项目绩效总目标和阶段性目标。</w:t>
        <w:br/>
        <w:t>1.项目绩效总目标</w:t>
        <w:br/>
        <w:t>贯彻落实《全民健身条例》，大力开展全民健身活动，丰富群众体育活动，不断满足人民群众对美好生活的向往。  加快推进公共体育设施建设，提高体育公共服务能力和水平，不断改善群众体育健身活动场地和设施，把全民健身与全民健康有机融合，推动广大各族群众积极开展全民健身活动。增长经常参加体育锻炼人数 。加大公共体育基础设施建设，促进公共体育服务均等化，广泛开展全民健身活动，丰富各族群众精神文化生活。</w:t>
        <w:br/>
        <w:t>2.阶段性目标</w:t>
        <w:br/>
        <w:t>项目实施前进行认真细致的充分调研，制定了《喀什地区体育馆免费开放》实施方案，项目实施过程中严格按照实施方案进行实施，在严格疫情防控的情况下，坚持限流限时免费开放，并及时进行监督管理，项目实施后进行及时验收及后期维护。</w:t>
      </w:r>
    </w:p>
    <w:p w14:paraId="227EE9FD"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9E34335"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1E964037" w14:textId="3D5636C6"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052A507B"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435E31A3" w14:textId="616A93E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本次评价采用定量与定性评价相结合的比较法，公众评判法，总分由各项指标得分汇总形成。</w:t>
        <w:br/>
        <w:t>比较法：是指将实施情况与绩效目标、历史情况、不同部门和地区同类支出情况进行比较的方法。</w:t>
        <w:br/>
        <w:t>公众评判法：是指通过专家评估、公众问卷及抽样调查等方式进行评判的方法。</w:t>
        <w:br/>
        <w:t>4. 绩效评价标准</w:t>
        <w:br/>
        <w:t>绩效评价标准通常包括计划标准、行业标准、历史标准等，用于对绩效指标完成情况进行比较、分析、评价。本次评价主要采用了计划和历史标准。</w:t>
        <w:br/>
        <w:t>计划标准：指以预先制定的目标、计划、预算、定额等作为评价标准。</w:t>
        <w:br/>
        <w:t>历史标准：指参照历史数据制定的评价标准，为体现绩效改进的原则，在可实现的条件下应当确定相对较高的评价标准。</w:t>
      </w:r>
    </w:p>
    <w:p w14:paraId="0FA3017A" w14:textId="77777777" w:rsidR="00E7612A" w:rsidRDefault="008F4CA9">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7B7C4ED4" w14:textId="05E10D88"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艾尼瓦尔·阿不力孜任评价组组长，绩效评价工作职责为负责全盘工作。</w:t>
        <w:br/>
        <w:t>江辉任评价组副组长，绩效评价工作职责为为对项目实施情况进行实地调查。</w:t>
        <w:br/>
        <w:t>贺汉丽任评价组成员，绩效评价工作职责为负责资料审核等工作。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6AE90CFB"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09A3DDAB" w14:textId="54943E80"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经评价组通过实地调研、综合分析法、问卷调查法等方式，主要采用综合分析法对项目的决策、实施、产出、效益进行综合评价分析，最终评分97.6分。</w:t>
        <w:br/>
        <w:t>2022年公共体育场馆向社会免费或低收费开放补助资金项目得分情况表</w:t>
        <w:br/>
        <w:t>一级指标	权重	得分率	实际得分</w:t>
        <w:br/>
        <w:t>项目决策	20	100%	20</w:t>
        <w:br/>
        <w:t>项目过程	20	100%	19.2</w:t>
        <w:br/>
        <w:t>项目产出	40	100%	38.4</w:t>
        <w:br/>
        <w:t>项目效益	20	100%	20</w:t>
        <w:br/>
        <w:t>合计	100	100%	97.6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2022年公共体育场馆向社会免费或低收费开放补助资金项目已完成全年参与全民健身人数达7万余人，免费开放天数262天，推动了全民健身活动，有效提升群众身体素质，丰富群众精神文化生活，激发全民体育健身氛围。该项目最终评分97.6分，绩效评级为“优”。</w:t>
      </w:r>
    </w:p>
    <w:p w14:paraId="6E7B8C8F" w14:textId="77777777" w:rsidR="00E7612A" w:rsidRDefault="008F4CA9">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14CC46EF"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7BC9F166" w14:textId="534B2EF3"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（1）立项依据充分性：结合体育馆职责，并组织实施。围绕2022年度工作重点和工作计划制定经费预算，根据评分标准，该指标不扣分，得3分。</w:t>
        <w:br/>
        <w:t>（2）立项程序规范性：根据决策依据编制工作计划和经费预算，经过与体育局分管领导进行沟通、筛选确定经费预算计划，上党委会研究确定最终预算方案，根据评分标准，该指标不扣分，得2分。</w:t>
        <w:br/>
        <w:t>（3）绩效目标合理性：制定了《2022年喀什地区体育馆免费开放实施方案》，明确了总体思路及目标、并对任务进行了详细分解，对目标进行了细化，根据评分标准，该指标不扣分，得3分。</w:t>
        <w:br/>
        <w:t>（4）绩效指标明确性： 将项目绩效目标细化分解为具体的绩效指标，其中，3个一级指标，7个二级指标，11个三级指标构成。根据评分标准，该指标不扣分，得2分。</w:t>
        <w:br/>
        <w:t>（5）预算编制科学性： 预算编制经过科学论证，内容与项目内容匹配，项目投资额63万元与体育馆免费开放任务相匹配，根据评分标准，该指标不扣分，得5分。</w:t>
        <w:br/>
        <w:t>（6）资金分配合理性：资金分配与体育馆免费开放劳务费、水电费、设施维护等实际支付内容相适应，根据评分标准，该指标不扣分，得5分。</w:t>
      </w:r>
    </w:p>
    <w:p w14:paraId="0D3EC733"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3C6CADCB" w14:textId="055C9EF4"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5个三级指标构成，权重分为20分，实际得分19.2分，得分率为96%。</w:t>
        <w:br/>
        <w:t>项目过程指标得分情况</w:t>
        <w:br/>
        <w:t>三级指标	权重	得分率	实际得分</w:t>
        <w:br/>
        <w:t>资金到位率	5	100%	5</w:t>
        <w:br/>
        <w:t>预算执行率	5	100%	4.2</w:t>
        <w:br/>
        <w:t>资金使用合规性	5	100%	5</w:t>
        <w:br/>
        <w:t>管理制度健全性	2	100%	2</w:t>
        <w:br/>
        <w:t>制度执行	3	100%	3</w:t>
        <w:br/>
        <w:t>合计	20	100%	19.2</w:t>
        <w:br/>
        <w:t>（1）资金到位率：预算资金63万元，实际到位资金63万元，资金到位率100%，资金足额拨付到位，根据评分标准，该指标不扣分，得5分。   </w:t>
        <w:br/>
        <w:t>（2）预算执行率：财政预算资金63万元，实际到位资金63万元，资金执行率84%， 预算编制较为详细，项目资金支出总体能够按照预算执行，偏差原因：节约成本，采取措施：严格项目资金支出。根据评分标准，该指标扣分0.8，得4.2分。</w:t>
        <w:br/>
        <w:t>（3）资金使用合规性：根据《喀什地区体育馆财务收支管理办法》，对经费使用进行规范管理，财务制度健全、执行严格，根据评分标准，该指标不扣分，得5分。</w:t>
        <w:br/>
        <w:t>（4）管理制度健全性：根据《喀什地区体育馆财务收支管理办法》，对财政专项资金进行严格管理，基本做到了专款专用，根据评分标准，该指标不扣分，得2分。</w:t>
        <w:br/>
        <w:t>（5）制度执行有效性：由喀什地区体育馆提出经费预算支出《2022年喀什地区体育馆免费开放项目实施方案》，经过与体育局分管领导沟通后，报党组会议研究执行，财务对资金的使用合法合规性进行监督，年底对资金使用效果进行自评，根据评分标准，该指标不扣分，得3分。</w:t>
      </w:r>
    </w:p>
    <w:p w14:paraId="30541C6A"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25D2D5EB" w14:textId="445053DD"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项目产出类指标包括产出数量、产出质量、产出时效、产出成本四方面的内容，由4个三级指标构成，权重分为40分，实际得分38.4分，得分率为96%。</w:t>
        <w:br/>
        <w:t>项目产出指标得分情况</w:t>
        <w:br/>
        <w:t>三级指标	权重	得分率	实际得分</w:t>
        <w:br/>
        <w:t>产出数量	10	100%	10</w:t>
        <w:br/>
        <w:t>产出质量	10	100%	10</w:t>
        <w:br/>
        <w:t>产出时效	10	100%	10</w:t>
        <w:br/>
        <w:t>成本情况	10	84%	8.4</w:t>
        <w:br/>
        <w:t>合计	40	100%	38.4</w:t>
        <w:br/>
        <w:t>（1）对于“产出数量”</w:t>
        <w:br/>
        <w:t>参加全民健身体育锻炼人数指标，预期目标值大于等于7万人，实际完成值为7万人，指标完成率为100%，与预期目标一致，根据评分标准，该指标不扣分，得5分。</w:t>
        <w:br/>
        <w:t>全年免费开放天数指标，预期目标值大于等于245天，实际完成值为262天，指标完成率为107%，存在合理偏差，根据评分标准，该指标不扣分，得5分。</w:t>
        <w:br/>
        <w:t>合计得10分。</w:t>
        <w:br/>
        <w:t>（2）对于“产出质量”：</w:t>
        <w:br/>
        <w:t>全年免费开放率指标，预期目标值大于等于95%，实际完成值为95%，指标完成率为100%，与预期目标一致，根据评分标准，该指标不扣分，得10分。</w:t>
        <w:br/>
        <w:t>合计得10分。</w:t>
        <w:br/>
        <w:t>（3）对于“产出时效”：</w:t>
        <w:br/>
        <w:t>场馆免费开放及时率指标，预期目标值等于100%，实际完成值为100%，指标完成率为100%，与预期目标一致，根据评分标准，该指标不扣分，得5分。</w:t>
        <w:br/>
        <w:t>资金到位及时率指标，预期目标值等于100%,实际完成值为100%，指标完成率为100%，与预期目标一致，根据评分标准，该指标不扣分，得5分。</w:t>
        <w:br/>
        <w:t>合计得10分。</w:t>
        <w:br/>
        <w:t>（4）对于“产出成本”：</w:t>
        <w:br/>
        <w:t>劳务费指标，预期目标值小于等于25万元，实际完成值为20万元，指标完成率为80%，该指标存在偏差，偏差率20%，偏差原因：节约成本，采取措施：严格项目资金支出。根据评分标准，该指标扣分0.6，得2.4分。</w:t>
        <w:br/>
        <w:t>专用材料费指标，预期目标值小于等于15万元，实际完成值为10万元，指标完成率为67%，该指标存在偏差，偏差率33%，偏差原因：节约成本，采取措施：严格项目资金支出。根据评分标准，该指标扣分1，得2分。</w:t>
        <w:br/>
        <w:t>维修及其他费用指标，预期目标值小于等于23万元，实际完成值为23万元，指标完成率为100%，项目经费都能控制绩效目标范围内，与预期目标一致，根据评分标准，该指标不扣分，得4分。</w:t>
      </w:r>
    </w:p>
    <w:p w14:paraId="24654FD2" w14:textId="77777777"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5DB3EEA6" w14:textId="2B48DC29"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有效增强群众身体素质指标，预期值为“有效提升”，实际完成值为“有效提升”，指标完成率为100%，与预期指标一致，根据评分标准，该指标不扣分，得5分。</w:t>
        <w:br/>
        <w:t>丰富群众精神文化生活指标，预期值“长期”，实际完成值为“长期”，指标完成率为100%，与预期指标一致，根据评分标准，该指标不扣分，得5分。</w:t>
        <w:br/>
        <w:t>（2）对于“可持续影响指标”：</w:t>
        <w:br/>
        <w:t>本项目无该指标。</w:t>
        <w:br/>
        <w:t>（3）对于“经济效益指标”：</w:t>
        <w:br/>
        <w:t>本项目无该指标。</w:t>
        <w:br/>
        <w:t>（4）对于“生态效益指标”：</w:t>
        <w:br/>
        <w:t>本项目无该指标。</w:t>
        <w:br/>
        <w:t>实施效益指标合计得10分。</w:t>
        <w:br/>
        <w:t>2.满意度指标:</w:t>
        <w:br/>
        <w:t>对于“满意度指标：参加锻炼群众满意度指标，预期值大于等于95%，实际完成值为98%，指标完成率为103%，与预期目标存在合理偏差，根据评分标准，该指标不扣分,得10分。</w:t>
      </w:r>
    </w:p>
    <w:p w14:paraId="3778206A" w14:textId="4DCC0B44"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168062F2" w14:textId="29F2A2A3" w:rsidR="00E7612A" w:rsidRDefault="008F4CA9">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2022年公共体育场馆向社会免费或低收费开放补助资金项目预算63万元，到位63万元，实际支出53万元，预算执行率为84.13%，项目绩效指标总体完成率为96%，偏差率为11.9%,偏差原因：节约成本，采取的措施：严格控制成本支出。</w:t>
      </w:r>
    </w:p>
    <w:p w14:paraId="5660889F"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0662A21" w14:textId="6DC93891"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一是本项目能够严格按照《项目实施方案》执行，项目执行情况较好。单位领导、项目负责人、财务负责人和行业专家，不同的岗位和职责应用和发挥自身专业和岗位作用；</w:t>
        <w:br/>
        <w:t>二是加强组织领导，本项目绩效评价工作，有局主要领导亲自挂帅，分管局领导具体负责，从项目到资金，均能后很好的执行。在资料收集和档案整理及分析上要全面。</w:t>
        <w:br/>
        <w:t>三是加强沟通协调，我单位及时向县领导汇报项目建设进度，加强与施工单位的沟通，确保项目按期完工。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</w:t>
        <w:br/>
        <w:t>（二）存在问题及原因分析</w:t>
        <w:br/>
        <w:t>一是预算执行率未达预期。因疫情原因，项目未严格按照实施方案执行。二是产出成本未达预期，因下年度预算资金减少，节约支出成本。</w:t>
      </w:r>
    </w:p>
    <w:p w14:paraId="7A6B232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B318AD4" w14:textId="27781697"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1.严格按照项目实施方案执行项目。制定详细的项目实施方案，尽量排除各种干扰因素，按照项目实施进度，高标准执行项目。</w:t>
        <w:br/>
        <w:t>2.严格项目资金支出。严格按照单位财务资金收支管理办法执行项目支出，按照实施方案进度及时支出。</w:t>
      </w:r>
    </w:p>
    <w:p w14:paraId="36A7CF3E" w14:textId="77777777" w:rsidR="00E7612A" w:rsidRDefault="008F4CA9">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5EC64A79" w14:textId="493B4705" w:rsidR="00E7612A" w:rsidRDefault="008F4CA9">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7823F2B3" w14:textId="77777777" w:rsidR="00E7612A" w:rsidRDefault="00E7612A">
      <w:pPr>
        <w:spacing w:line="570" w:lineRule="exact"/>
        <w:rPr>
          <w:rStyle w:val="ad"/>
          <w:rFonts w:ascii="方正黑体_GBK" w:eastAsia="方正黑体_GBK" w:hAnsi="方正黑体_GBK" w:cs="方正黑体_GBK"/>
          <w:b w:val="0"/>
          <w:spacing w:val="-4"/>
          <w:sz w:val="32"/>
          <w:szCs w:val="32"/>
        </w:rPr>
      </w:pPr>
    </w:p>
    <w:p w14:paraId="1622A8B4" w14:textId="77777777" w:rsidR="00E7612A" w:rsidRDefault="00E7612A">
      <w:pPr>
        <w:spacing w:line="570" w:lineRule="exact"/>
        <w:rPr>
          <w:rStyle w:val="ad"/>
          <w:rFonts w:ascii="楷体" w:eastAsia="楷体" w:hAnsi="楷体"/>
          <w:spacing w:val="-4"/>
          <w:sz w:val="32"/>
          <w:szCs w:val="32"/>
        </w:rPr>
      </w:pPr>
    </w:p>
    <w:p w14:paraId="4AAEB59E" w14:textId="77777777" w:rsidR="00E7612A" w:rsidRDefault="00E7612A">
      <w:pPr>
        <w:spacing w:line="570" w:lineRule="exact"/>
        <w:rPr>
          <w:rStyle w:val="ad"/>
          <w:rFonts w:ascii="仿宋" w:eastAsia="仿宋" w:hAnsi="仿宋"/>
          <w:b w:val="0"/>
          <w:spacing w:val="-4"/>
          <w:sz w:val="32"/>
          <w:szCs w:val="32"/>
        </w:rPr>
      </w:pPr>
    </w:p>
    <w:p w14:paraId="2B7A3907" w14:textId="77777777" w:rsidR="00E7612A" w:rsidRDefault="00E7612A">
      <w:pPr>
        <w:spacing w:line="570" w:lineRule="exact"/>
        <w:rPr>
          <w:rStyle w:val="ad"/>
          <w:rFonts w:ascii="仿宋" w:eastAsia="仿宋" w:hAnsi="仿宋"/>
          <w:b w:val="0"/>
          <w:spacing w:val="-4"/>
          <w:sz w:val="32"/>
          <w:szCs w:val="32"/>
        </w:rPr>
      </w:pPr>
    </w:p>
    <w:p w14:paraId="0AEA9817" w14:textId="77777777" w:rsidR="00E7612A" w:rsidRDefault="00E7612A">
      <w:pPr>
        <w:spacing w:line="570" w:lineRule="exact"/>
        <w:rPr>
          <w:rStyle w:val="ad"/>
          <w:rFonts w:ascii="仿宋" w:eastAsia="仿宋" w:hAnsi="仿宋"/>
          <w:b w:val="0"/>
          <w:spacing w:val="-4"/>
          <w:sz w:val="32"/>
          <w:szCs w:val="32"/>
        </w:rPr>
      </w:pPr>
    </w:p>
    <w:p w14:paraId="64D955F6" w14:textId="77777777" w:rsidR="00E7612A" w:rsidRDefault="00E7612A">
      <w:pPr>
        <w:spacing w:line="570" w:lineRule="exact"/>
        <w:rPr>
          <w:rStyle w:val="ad"/>
          <w:rFonts w:ascii="仿宋" w:eastAsia="仿宋" w:hAnsi="仿宋"/>
          <w:b w:val="0"/>
          <w:spacing w:val="-4"/>
          <w:sz w:val="32"/>
          <w:szCs w:val="32"/>
        </w:rPr>
      </w:pPr>
    </w:p>
    <w:p w14:paraId="00C3B3A2" w14:textId="77777777" w:rsidR="00E7612A" w:rsidRDefault="00E7612A">
      <w:pPr>
        <w:spacing w:line="570" w:lineRule="exact"/>
        <w:rPr>
          <w:rStyle w:val="ad"/>
          <w:rFonts w:ascii="仿宋" w:eastAsia="仿宋" w:hAnsi="仿宋"/>
          <w:b w:val="0"/>
          <w:spacing w:val="-4"/>
          <w:sz w:val="32"/>
          <w:szCs w:val="32"/>
        </w:rPr>
      </w:pPr>
    </w:p>
    <w:p w14:paraId="6ECF0B97" w14:textId="77777777" w:rsidR="00E7612A" w:rsidRDefault="00E7612A">
      <w:pPr>
        <w:spacing w:line="570" w:lineRule="exact"/>
        <w:rPr>
          <w:rStyle w:val="ad"/>
          <w:rFonts w:ascii="仿宋" w:eastAsia="仿宋" w:hAnsi="仿宋"/>
          <w:b w:val="0"/>
          <w:spacing w:val="-4"/>
          <w:sz w:val="32"/>
          <w:szCs w:val="32"/>
        </w:rPr>
      </w:pPr>
    </w:p>
    <w:p w14:paraId="4FB25276" w14:textId="77777777" w:rsidR="00E7612A" w:rsidRDefault="00E7612A">
      <w:pPr>
        <w:spacing w:line="570" w:lineRule="exact"/>
        <w:rPr>
          <w:rStyle w:val="ad"/>
          <w:rFonts w:ascii="仿宋" w:eastAsia="仿宋" w:hAnsi="仿宋"/>
          <w:b w:val="0"/>
          <w:spacing w:val="-4"/>
          <w:sz w:val="32"/>
          <w:szCs w:val="32"/>
        </w:rPr>
      </w:pPr>
    </w:p>
    <w:p w14:paraId="071259FA" w14:textId="77777777" w:rsidR="00E7612A" w:rsidRDefault="00E7612A">
      <w:pPr>
        <w:spacing w:line="570" w:lineRule="exact"/>
        <w:rPr>
          <w:rStyle w:val="ad"/>
          <w:rFonts w:ascii="仿宋" w:eastAsia="仿宋" w:hAnsi="仿宋"/>
          <w:b w:val="0"/>
          <w:spacing w:val="-4"/>
          <w:sz w:val="32"/>
          <w:szCs w:val="32"/>
        </w:rPr>
      </w:pPr>
    </w:p>
    <w:p w14:paraId="66128EE1" w14:textId="77777777" w:rsidR="00E7612A" w:rsidRDefault="00E7612A">
      <w:pPr>
        <w:spacing w:line="570" w:lineRule="exact"/>
        <w:rPr>
          <w:rStyle w:val="ad"/>
          <w:rFonts w:ascii="仿宋" w:eastAsia="仿宋" w:hAnsi="仿宋"/>
          <w:b w:val="0"/>
          <w:spacing w:val="-4"/>
          <w:sz w:val="32"/>
          <w:szCs w:val="32"/>
        </w:rPr>
      </w:pPr>
    </w:p>
    <w:sectPr w:rsidR="00E7612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6440" w14:textId="77777777" w:rsidR="00FE2348" w:rsidRDefault="00FE2348">
      <w:r>
        <w:separator/>
      </w:r>
    </w:p>
  </w:endnote>
  <w:endnote w:type="continuationSeparator" w:id="0">
    <w:p w14:paraId="760EA34F" w14:textId="77777777" w:rsidR="00FE2348" w:rsidRDefault="00FE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1" w:usb1="080E0000" w:usb2="00000000" w:usb3="00000000" w:csb0="00040000" w:csb1="00000000"/>
  </w:font>
  <w:font w:name="方正黑体_GBK">
    <w:altName w:val="微软雅黑"/>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7EF6D006" w14:textId="77777777" w:rsidR="00E7612A" w:rsidRDefault="008F4CA9">
        <w:pPr>
          <w:pStyle w:val="a5"/>
          <w:jc w:val="center"/>
        </w:pPr>
        <w:r>
          <w:fldChar w:fldCharType="begin"/>
        </w:r>
        <w:r>
          <w:instrText>PAGE   \* MERGEFORMAT</w:instrText>
        </w:r>
        <w:r>
          <w:fldChar w:fldCharType="separate"/>
        </w:r>
        <w:r>
          <w:rPr>
            <w:lang w:val="zh-CN"/>
          </w:rPr>
          <w:t>1</w:t>
        </w:r>
        <w:r>
          <w:fldChar w:fldCharType="end"/>
        </w:r>
      </w:p>
    </w:sdtContent>
  </w:sdt>
  <w:p w14:paraId="5D977A94" w14:textId="77777777" w:rsidR="00E7612A" w:rsidRDefault="00E7612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D30D" w14:textId="77777777" w:rsidR="00FE2348" w:rsidRDefault="00FE2348">
      <w:r>
        <w:separator/>
      </w:r>
    </w:p>
  </w:footnote>
  <w:footnote w:type="continuationSeparator" w:id="0">
    <w:p w14:paraId="49E7A73D" w14:textId="77777777" w:rsidR="00FE2348" w:rsidRDefault="00FE23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43880"/>
    <w:rsid w:val="0005127A"/>
    <w:rsid w:val="0005416C"/>
    <w:rsid w:val="00056465"/>
    <w:rsid w:val="000B3872"/>
    <w:rsid w:val="000E0F73"/>
    <w:rsid w:val="000E4EDC"/>
    <w:rsid w:val="001028C5"/>
    <w:rsid w:val="00102DFF"/>
    <w:rsid w:val="00121328"/>
    <w:rsid w:val="00121AE4"/>
    <w:rsid w:val="0014601B"/>
    <w:rsid w:val="00146AAD"/>
    <w:rsid w:val="00150F05"/>
    <w:rsid w:val="00161856"/>
    <w:rsid w:val="00187874"/>
    <w:rsid w:val="001B3A40"/>
    <w:rsid w:val="001F78EB"/>
    <w:rsid w:val="0022555A"/>
    <w:rsid w:val="00273CCD"/>
    <w:rsid w:val="00291BC0"/>
    <w:rsid w:val="002A6E1A"/>
    <w:rsid w:val="002E53FC"/>
    <w:rsid w:val="00311DBE"/>
    <w:rsid w:val="00345DD7"/>
    <w:rsid w:val="00351EFF"/>
    <w:rsid w:val="003B0577"/>
    <w:rsid w:val="003B4B1E"/>
    <w:rsid w:val="003D054F"/>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80E14"/>
    <w:rsid w:val="005A4F2E"/>
    <w:rsid w:val="005A5018"/>
    <w:rsid w:val="005C51DF"/>
    <w:rsid w:val="005D10D6"/>
    <w:rsid w:val="005E259B"/>
    <w:rsid w:val="005E7C5E"/>
    <w:rsid w:val="006A1CC4"/>
    <w:rsid w:val="0075584F"/>
    <w:rsid w:val="0076216D"/>
    <w:rsid w:val="007A3C1F"/>
    <w:rsid w:val="007C0EA3"/>
    <w:rsid w:val="00810970"/>
    <w:rsid w:val="00855E3A"/>
    <w:rsid w:val="008B7343"/>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77738"/>
    <w:rsid w:val="00BA187C"/>
    <w:rsid w:val="00BA46E6"/>
    <w:rsid w:val="00BB5015"/>
    <w:rsid w:val="00C34DD1"/>
    <w:rsid w:val="00C56C72"/>
    <w:rsid w:val="00C62CB9"/>
    <w:rsid w:val="00CA5AD1"/>
    <w:rsid w:val="00CA6457"/>
    <w:rsid w:val="00CA6DC2"/>
    <w:rsid w:val="00CD37A4"/>
    <w:rsid w:val="00CE2FD9"/>
    <w:rsid w:val="00D00E38"/>
    <w:rsid w:val="00D032EA"/>
    <w:rsid w:val="00D17F2E"/>
    <w:rsid w:val="00D30354"/>
    <w:rsid w:val="00D40DCC"/>
    <w:rsid w:val="00D52B7C"/>
    <w:rsid w:val="00D73190"/>
    <w:rsid w:val="00D80C1E"/>
    <w:rsid w:val="00D967F5"/>
    <w:rsid w:val="00DA4559"/>
    <w:rsid w:val="00DB1661"/>
    <w:rsid w:val="00DD3412"/>
    <w:rsid w:val="00DF42A0"/>
    <w:rsid w:val="00E30E91"/>
    <w:rsid w:val="00E655F7"/>
    <w:rsid w:val="00E7612A"/>
    <w:rsid w:val="00E769FE"/>
    <w:rsid w:val="00E774CE"/>
    <w:rsid w:val="00E90349"/>
    <w:rsid w:val="00E96D03"/>
    <w:rsid w:val="00EA2CBE"/>
    <w:rsid w:val="00EB10A0"/>
    <w:rsid w:val="00F32FEE"/>
    <w:rsid w:val="00F332D7"/>
    <w:rsid w:val="00FB10BB"/>
    <w:rsid w:val="00FE2348"/>
    <w:rsid w:val="00FF3B44"/>
    <w:rsid w:val="2AE11386"/>
    <w:rsid w:val="2D5A6638"/>
    <w:rsid w:val="4609551D"/>
    <w:rsid w:val="4D2606A1"/>
    <w:rsid w:val="4DD42C22"/>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8CF93"/>
  <w15:docId w15:val="{EA503E47-86E4-41A1-9420-C3641E857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134</Words>
  <Characters>767</Characters>
  <Application>Microsoft Office Word</Application>
  <DocSecurity>0</DocSecurity>
  <Lines>6</Lines>
  <Paragraphs>1</Paragraphs>
  <ScaleCrop>false</ScaleCrop>
  <Company>Microsoft</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2023-01-05T10:03:00Z</dcterms:created>
  <dc:creator>赵 恺（预算处）</dc:creator>
  <cp:lastModifiedBy>Admin</cp:lastModifiedBy>
  <cp:lastPrinted>2018-12-31T10:56:00Z</cp:lastPrinted>
  <dcterms:modified xsi:type="dcterms:W3CDTF">2023-01-05T11:16:00Z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