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CFCFC6">
      <w:pPr>
        <w:spacing w:line="570" w:lineRule="exact"/>
        <w:jc w:val="center"/>
        <w:rPr>
          <w:rFonts w:ascii="华文中宋" w:hAnsi="华文中宋" w:eastAsia="华文中宋" w:cs="宋体"/>
          <w:b/>
          <w:kern w:val="0"/>
          <w:sz w:val="52"/>
          <w:szCs w:val="52"/>
        </w:rPr>
      </w:pPr>
      <w:bookmarkStart w:id="0" w:name="_GoBack"/>
      <w:bookmarkEnd w:id="0"/>
    </w:p>
    <w:p w14:paraId="75F71AA2">
      <w:pPr>
        <w:spacing w:line="570" w:lineRule="exact"/>
        <w:jc w:val="center"/>
        <w:rPr>
          <w:rFonts w:ascii="华文中宋" w:hAnsi="华文中宋" w:eastAsia="华文中宋" w:cs="宋体"/>
          <w:b/>
          <w:kern w:val="0"/>
          <w:sz w:val="52"/>
          <w:szCs w:val="52"/>
        </w:rPr>
      </w:pPr>
    </w:p>
    <w:p w14:paraId="50AD7232">
      <w:pPr>
        <w:spacing w:line="570" w:lineRule="exact"/>
        <w:jc w:val="center"/>
        <w:rPr>
          <w:rFonts w:ascii="华文中宋" w:hAnsi="华文中宋" w:eastAsia="华文中宋" w:cs="宋体"/>
          <w:b/>
          <w:kern w:val="0"/>
          <w:sz w:val="52"/>
          <w:szCs w:val="52"/>
        </w:rPr>
      </w:pPr>
    </w:p>
    <w:p w14:paraId="3310D9DF">
      <w:pPr>
        <w:spacing w:line="570" w:lineRule="exact"/>
        <w:jc w:val="center"/>
        <w:rPr>
          <w:rFonts w:ascii="华文中宋" w:hAnsi="华文中宋" w:eastAsia="华文中宋" w:cs="宋体"/>
          <w:b/>
          <w:kern w:val="0"/>
          <w:sz w:val="52"/>
          <w:szCs w:val="52"/>
        </w:rPr>
      </w:pPr>
    </w:p>
    <w:p w14:paraId="3E4EFBBF">
      <w:pPr>
        <w:spacing w:line="570" w:lineRule="exact"/>
        <w:jc w:val="both"/>
        <w:rPr>
          <w:rFonts w:ascii="华文中宋" w:hAnsi="华文中宋" w:eastAsia="华文中宋" w:cs="宋体"/>
          <w:b/>
          <w:kern w:val="0"/>
          <w:sz w:val="52"/>
          <w:szCs w:val="52"/>
        </w:rPr>
      </w:pPr>
    </w:p>
    <w:p w14:paraId="0B233E1D">
      <w:pPr>
        <w:spacing w:line="570" w:lineRule="exact"/>
        <w:jc w:val="center"/>
        <w:rPr>
          <w:rFonts w:ascii="华文中宋" w:hAnsi="华文中宋" w:eastAsia="华文中宋" w:cs="宋体"/>
          <w:b/>
          <w:kern w:val="0"/>
          <w:sz w:val="52"/>
          <w:szCs w:val="52"/>
        </w:rPr>
      </w:pPr>
    </w:p>
    <w:p w14:paraId="6E2C78C2">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14:paraId="687F0E97">
      <w:pPr>
        <w:spacing w:line="570" w:lineRule="exact"/>
        <w:jc w:val="center"/>
        <w:rPr>
          <w:rFonts w:ascii="华文中宋" w:hAnsi="华文中宋" w:eastAsia="华文中宋" w:cs="宋体"/>
          <w:b/>
          <w:kern w:val="0"/>
          <w:sz w:val="52"/>
          <w:szCs w:val="52"/>
        </w:rPr>
      </w:pPr>
    </w:p>
    <w:p w14:paraId="0A3F3D30">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24AB678D">
      <w:pPr>
        <w:spacing w:line="570" w:lineRule="exact"/>
        <w:jc w:val="center"/>
        <w:rPr>
          <w:rFonts w:hAnsi="宋体" w:eastAsia="仿宋_GB2312" w:cs="宋体"/>
          <w:kern w:val="0"/>
          <w:sz w:val="30"/>
          <w:szCs w:val="30"/>
        </w:rPr>
      </w:pPr>
    </w:p>
    <w:p w14:paraId="1966B246">
      <w:pPr>
        <w:spacing w:line="570" w:lineRule="exact"/>
        <w:jc w:val="center"/>
        <w:rPr>
          <w:rFonts w:hAnsi="宋体" w:eastAsia="仿宋_GB2312" w:cs="宋体"/>
          <w:kern w:val="0"/>
          <w:sz w:val="30"/>
          <w:szCs w:val="30"/>
        </w:rPr>
      </w:pPr>
    </w:p>
    <w:p w14:paraId="3F3CD82D">
      <w:pPr>
        <w:spacing w:line="570" w:lineRule="exact"/>
        <w:jc w:val="center"/>
        <w:rPr>
          <w:rFonts w:hAnsi="宋体" w:eastAsia="仿宋_GB2312" w:cs="宋体"/>
          <w:kern w:val="0"/>
          <w:sz w:val="30"/>
          <w:szCs w:val="30"/>
        </w:rPr>
      </w:pPr>
    </w:p>
    <w:p w14:paraId="7A4436FE">
      <w:pPr>
        <w:spacing w:line="570" w:lineRule="exact"/>
        <w:jc w:val="center"/>
        <w:rPr>
          <w:rFonts w:hAnsi="宋体" w:eastAsia="仿宋_GB2312" w:cs="宋体"/>
          <w:kern w:val="0"/>
          <w:sz w:val="30"/>
          <w:szCs w:val="30"/>
        </w:rPr>
      </w:pPr>
    </w:p>
    <w:p w14:paraId="7868AF26">
      <w:pPr>
        <w:spacing w:line="570" w:lineRule="exact"/>
        <w:jc w:val="center"/>
        <w:rPr>
          <w:rFonts w:hAnsi="宋体" w:eastAsia="仿宋_GB2312" w:cs="宋体"/>
          <w:kern w:val="0"/>
          <w:sz w:val="30"/>
          <w:szCs w:val="30"/>
        </w:rPr>
      </w:pPr>
    </w:p>
    <w:p w14:paraId="25D207A7">
      <w:pPr>
        <w:spacing w:line="570" w:lineRule="exact"/>
        <w:jc w:val="center"/>
        <w:rPr>
          <w:rFonts w:hAnsi="宋体" w:eastAsia="仿宋_GB2312" w:cs="宋体"/>
          <w:kern w:val="0"/>
          <w:sz w:val="30"/>
          <w:szCs w:val="30"/>
        </w:rPr>
      </w:pPr>
    </w:p>
    <w:p w14:paraId="7B83D029">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2023年自治区教育项目（不含直达中职免住宿费、生均公用经费）资金项目</w:t>
      </w:r>
    </w:p>
    <w:p w14:paraId="619D728E">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喀什地区体育运动学校</w:t>
      </w:r>
    </w:p>
    <w:p w14:paraId="793F0D55">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喀什地区体育局</w:t>
      </w:r>
    </w:p>
    <w:p w14:paraId="0E47379E">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曾子平</w:t>
      </w:r>
    </w:p>
    <w:p w14:paraId="7EB7BE36">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2024年06月05日</w:t>
      </w:r>
    </w:p>
    <w:p w14:paraId="31C52572">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05D4098F">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1EAE629E">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4154E29E">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本项目遵循财政部《项目支出绩效评价管理办法》（财预〔2020〕10号）和自治区财政厅《自治区财政支出绩效评价管理暂行办法》（新财预〔2018〕189号）等相关政策文件与规定，旨在评价认真贯彻《中共中央 国务院关于打赢脱贫攻坚三年行动的指导意见》《教育部脱贫攻坚</w:t>
      </w:r>
      <w:r>
        <w:rPr>
          <w:rStyle w:val="18"/>
          <w:rFonts w:hint="eastAsia" w:ascii="仿宋" w:hAnsi="仿宋" w:eastAsia="仿宋" w:cs="仿宋"/>
          <w:b w:val="0"/>
          <w:bCs w:val="0"/>
          <w:spacing w:val="-4"/>
          <w:sz w:val="32"/>
          <w:szCs w:val="32"/>
          <w:lang w:eastAsia="zh-CN"/>
        </w:rPr>
        <w:t>“十三五”规划</w:t>
      </w:r>
      <w:r>
        <w:rPr>
          <w:rStyle w:val="18"/>
          <w:rFonts w:hint="eastAsia" w:ascii="仿宋" w:hAnsi="仿宋" w:eastAsia="仿宋" w:cs="仿宋"/>
          <w:b w:val="0"/>
          <w:bCs w:val="0"/>
          <w:spacing w:val="-4"/>
          <w:sz w:val="32"/>
          <w:szCs w:val="32"/>
        </w:rPr>
        <w:t>》（教发[2016]18等要求），严格执行《中等职业学校助学金管理办法》（财科教[2016]35）、《中等职业学校免学费管理办法》（财科教[2016]36），分配资金，结合实际进一步向贫困地区特别是深度平困地区倾斜。统筹中央资金及自有资金，确保应助尽助，增强资助精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主要用于学校因中职学校实行“三免一补”政策，维持学校需要维持公正常教学训练运转基本公用开支。在国家“三免一补”政策的带动和引导下，喀什地区十二县县市建立和发展好职业教育及体育人才基地，使职业教育与普通教育是两种不同教育类型，具有同等重要地位。项目建设可有效将分配资金结合实际进一步向贫困地区特别是深度平困地区倾斜。统筹中央资金及自有资金，确保应助尽助。</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自治区《关于提前下达2023年教育非直达资金的通知》新材教[2022]166号转喀地财教（2022）64号，下达2023年自治区教育项目（不含直达中职免住宿费、生均公用经费）资金项目资金87.24万元。其中：中央资金0万元，自治区资金87.24万元。主要用于因中职学校实行“三免一补”政策，维持学校需要维持正常教学训练运转基本公用开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喀什地区体育运动学校为差额事业单位，纳入2023年部门决算编制范围的有7个办公室：办公室、学生科、教学科、训练科室、德育办、团委、保卫科。</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72人，其中：行政人员编制0人、工勤0人、参公0人、事业编制72人。实有在职人数58人，其中：行政在职0人、工勤0人、参公0人、事业在职58人。离退休人员37人，其中：行政退休人员0人、事业退休37人，公益性人员4名，自聘人员5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自治区《关于提前下达2023年教育非直达资金的通知》新材教[2022]166号转喀地财教（2022）64号文件共安排下达资金87.24万元，为2023年自治区教育项目（不含直达中职免住宿费、生均公用经费）资金项目资金，最终确定项目资金总数为87.24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截至2024年5月31日，资金全部支付完毕，其中，2023年实际支出85.9万元，2024年实际支出1.34万元。</w:t>
      </w:r>
    </w:p>
    <w:p w14:paraId="7E3C95C6">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0306250E">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自治区《关于提前下达2023年教育非直达资金的通知》新材教[2022]166号转喀地财教（2022）64号下达2023年自治区教育项目（不含直达生均公用经费）资金项目87.24万元。其中：中央资金0万元，自治区资金87.24万元。主要用于因中职学校实行“三免一补”政策，维持学校需要维持公正常教学训练运转基本公用开支。如水电暖办公费取暖费电话费专用材料费等其他经费开支。项目实施有效解决了中等职业学校因实行“三免一补”政策，学校需要维持正常教学训练运转基本公用开支的经费缺口的难题，保障了家庭经济困难学生的就学压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确保顺利实施，我校对学校每年经费开支做了详细的支出测算工作，并对2023年自治区教育项目（不含直达中职免住宿费、生均公用经费）资金项目开支做了轻重缓急的支出预算方案，本着规范专项资金使用监督的原则，用好管好资金并满足学校的正常运转，确保学校的各项工作有序开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实施的前期准备工作：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拟定的工作方案，进行实地调研。和学校各业务科室沟通进行项目预算、了解学校各业务科室对项目实施资金预算需求情况、辅导学校各业务科室对资金需求做出实施计划和方案，并收集准备资料以便对资金按学校运转的轻重缓急做出合理安排。</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具体实施的工作：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本项目自2023年1月1日根据自治区《关于提前下达2023年教育非直达资金的通知》新材教[2022]166号转喀地财教（2022）64号，下达2023年自治区教育项目（不含直达中职免住宿费、生均公用经费）资金项目资金87.24万元后，我校各业务科室根据项目使用范围制定了2023年自治区教育项目（不含直达中职免住宿费、生均公用经费）资金项目实施方案并通过了我校党总会议研究决定，确定了项目领导小组，明确了责任分工：项目负责人开沙尔·阿比提专项资金审批和监督，项目经办人李雪莲、黄禄兵负责项目的管理、报销、采购实施监督等事宜，由财务人员徐延红、张俊环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验收阶段的具体工作：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目前项目于2024年5月31日前2023年自治区教育项目（不含直达中职免住宿费、生均公用经费）资金项目已按资金使用范围和预算实施方案执行完毕。项目实施过程中制定了2023年自治区教育项目（不含直达中职免住宿费、生均公用经费）资金项目实施方案及项目资金管理办法。项目建设资金管理办法分为总则、管理机构和权限、专项资金预算管理、专项资金支出管理、采购管理、专项资金决算管理、监督检查与绩效考评、附则八个部分。</w:t>
      </w:r>
    </w:p>
    <w:p w14:paraId="233B77D5">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24A4F23A">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14:paraId="6611BE3D">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14:paraId="5A76CC82">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5B7F13F2">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二级指标，效益下设项目效益及满意度2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本次评价采用定量与定性评价相结合的比较法和公众评判法，总分由各项指标得分汇总形成。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绩效评价标准通常包括计划标准、行业标准、历史标准等，用于对绩效指标完成情况进行比较、分析、评价。本次评价主要采用了计划标准和行业标准。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行业标准：指参照国家公布的行业指标数据制定的评价标准。</w:t>
      </w:r>
    </w:p>
    <w:p w14:paraId="760BBAD1">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13D8DB16">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曾子平任评价组组长，绩效评价工作职责为负责全盘工作。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开沙尔·阿比提任评价组副组长，绩效评价工作职责为为对项目实施情况进行实地调查。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黄禄兵、徐延红、张俊环任评价组成员，绩效评价工作职责为负责资料审核等工作。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14:paraId="69D337C5">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59D1A37E">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通过实施2023年自治区教育项目（不含直达中职免住宿费、生均公用经费）资金项目有效改善我校职业教育办学条件。项目实施主要通过项目决策、项目过程、项目产出以及项目效益等方面进行评价，其中：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项目决策：该项目主要通过喀地财教（2022）64号文件立项，项目实施符合维持我校职业教育办学条件正常运转要求，项目立项依据充分，立项程序规范。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2023年自治区教育项目（不含直达中职免住宿费、生均公用经费）资金项目预算安排87.24万元，实际支出87.24万元，预算执行率100%。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项目产出：项目实施有效保障力我校544名师生正常教学训练秩序，提升我校学生学习环境。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项目效益：通过实施此项目有效保障学校正常教学秩序。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年自治区教育项目（不含直达生均公用经费）资金项目进行客观评价，最终评分结果：评价总分100分，绩效等级为“优”。</w:t>
      </w:r>
    </w:p>
    <w:p w14:paraId="4DDE50B7">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3E54D0A7">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202D1BF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项目决策类指标包括项目立项、绩效目标和资金投入三方面的内容，由7个三级指标构成，权重分为15分，实际得分20分，得分率为100%。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本项目自新疆维吾尔自治区财政厅新材教[2022]166号转喀地财教（2022）64号下达资金预算后，同时经我校党总会议研究决定项目实施方案后，结合喀什地区体育运动学校职责，并组织实施。围绕2023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经费预算，经过与喀什地区财政局科教文化科及我校各科室相关项目审核分管领导进行沟通、筛选确定经费预算计划，上党总支委员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2023年自治区教育项目（不含直达中职免住宿费、生均公用经费）资金项目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 2023年自治区教育项目（不含直达中职免住宿费、生均公用经费）资金项目绩效目标细化分解为具体的绩效指标，其中，一级指标四个，二级指标六个，三级指标八个，根据评分标准，该指标不扣分，得2分。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（5）预算编制科学性：预算编制经过科学论证，内容与2023年自治区教育项目（不含直达中职免住宿费、生均公用经费）资金项目内容匹配，项目投资额与工作任务相匹配，根据评分标准，该指标不扣分，得3分。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2023年自治区教育项目（不含直达中职免住宿费、生均公用经费）资金项目预算87.24万元，到位87.24万元，实际支出87.24万元，预算执行率为100%，资金分配与实际相适应，根据评分标准，该指标不扣分，得2分。</w:t>
      </w:r>
    </w:p>
    <w:p w14:paraId="7D112F8D">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267B96F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预算资金为87.24万元，实际到位资金为87.24万元，资金到位率=（实际到位资金/预算资金）×100%=100%，财政资金足额拨付到位，我单位能够及时足额按照合同约定将专项资金拨付给联合体单位，根据评分标准，该指标不扣分，得3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预算资金为87.24万元，实际到位资金为87.24万元，预算执行率=（实际支出资金/实际到位资金）×100%=100%，预算编制较为详细，项目资金支出总体能够按照预算执行，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根据《喀什地区体育运动学校项目管理制度》《喀什地区体育运动学校预算管理制度》《喀什地区体育运动学校收支管理制度》《喀什地区体育运动学校政府采购管理制度》，对经费使用进行规范管理，财务制度健全、执行严格，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根据《喀什地区体育运动学校建设项目管理制度》《喀什地区体育运动学校预算管理制度》《喀什地区体育运动学校收支管理制度》《喀什地区体育运动学校政府采购管理制度》，对财政专项资金进行严格管理，基本做到了专款专用，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喀什地区体育运动学校提出经费预算支出，2023年自治区教育项目（不含直达中职免住宿费、生均公用经费）资金项目支付方案，经过与喀什地区体育运动学校分管领导沟通后，报校党总支会议研究执行，财务对资金的使用合法合规性进行监督，2024年全部资金均已支付完毕，对资金使用效果进行自评，根据评分标准，该指标不扣分，得5分。</w:t>
      </w:r>
    </w:p>
    <w:p w14:paraId="041CD403">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0AFFDD8D">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免住宿费受助人数指标，预期指标值为等于544人，实际完成值为544人，与预期目标一致，根据评分标准，该指标不扣分，得5分。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生均公用经费受助人数指标，预期指标值为等于546人，实际完成值为546人，与预期目标一致，根据评分标准，该指标不扣分，得5分。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受助覆盖率指标，预期指标值为等于100%，实际完成值为100%，指标完成率为100%，与预期目标一致，根据评分标准，该指标不扣分，得10分。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资金支付及时率指标，预期指标值为等于100%，实际完成值100%，指标完成率为100%，与预期目标一致，根据评分标准，该指标不扣分，得10分。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免住宿费受助生均标准指标，预期指标值为等于600元/生/年，实际完成值为等于600元/生/年，指标完成率为100%，2023年支付2023年自治区教育项目（不含直达免住宿经费）资金项目共计32.64万元。根据评分标准，该指标不扣分，得7.5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生均公用经费受助生均标准指标，预期指标值为等于1000元/生/年，实际完成值为等于1000元/生/年，指标完成率为100%，2023年支付2023年自治区教育项目（不含直达生均公用经费）资金53.26万元，2024年支付2023年自治区教育项目（不含直达生均公用经费）资金项目结余结转资金1.34万元，2024年全部项目资金均已支付完毕，根据评分标准，该指标不扣分，得7.5分。</w:t>
      </w:r>
    </w:p>
    <w:p w14:paraId="7660D2D8">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3D5E778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xml:space="preserve">项目效益类指标包括项目效益1个方面的内容，由1个三级指标构成，权重分为20分，实际得分20分，得分率为100%。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保障学校正常教学秩序指标，该指标预期指标值为保障，实际完成值为保障，指标完成率为100%，与预期指标一致，根据评分标准，该指标不扣分，得10分。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（4）满意度指标分析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对于“满意度指标：师生满意度该指标预期指标值为100%，实际完成值为99.9%，指标完成率为100%，与预期目标存在合理偏差，根据评分标准，该指标不扣分,得10分。</w:t>
      </w:r>
    </w:p>
    <w:p w14:paraId="56A24253">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14:paraId="6BBC08C5">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2023年自治区教育项目（不含直达中职免住宿费、生均公用经费）资金项目预算87.24万元，到位87.24万元，实际支出87.24万元。2023年自治区教育项目（不含直达中职免住宿费）项目支出金额32.64万元，2023年自治区教育项目（生均公用经费）项目支出54.6万元（2023年支出53.26万元，2024年支出1.34万元），预算执行率为100%，项目绩效指标总体完成率为100%。</w:t>
      </w:r>
    </w:p>
    <w:p w14:paraId="13F8BCBC">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14:paraId="64F19E10">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自评工作首先是要工作准备充分，一是评价小组成员应包含单位领导、项目负责人、财务负责人和行业专家，不同的岗位和职责应用和发挥自身专业和岗位作用；二是在资料收集和档案整理及分析上要全面。其次是评价小组成员要加强绩效基础理论学习，用绩效的理论和知识进行分析评价，客观、公正的分析项目实施情况、资金使用和支付情况、绩效目标的完成情况，对发现的问题要及时总结；再次是要对项目的事前、事中、事后全方位、全过程进行分析、掌握，注重评价过程的记录和档案整理，为下一年度工作提供依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第一，项目管理不规范，在项目执行过程中，可能存在变更管理不到位、资料信息处理不及时等问题，导致结算时缺乏必要依据。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第二，合同条款不明确，对各项指标和指标值要进一步优化、完善，主要在细化、量化上改进。在合同签订阶段，对于项目支付的具体条款和条件未进行明确约定，导致后期执行过程中存在歧义。</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第三，沟通协调不畅，单位项目管理人员在办理前期手续和采购手续时因不熟悉流程影响工程及采购项目的进程。</w:t>
      </w:r>
    </w:p>
    <w:p w14:paraId="14C1E220">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14:paraId="584C7AA9">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第一，加强项目管理，建立健全项目管理制度，确保项目变更管理到位、资料信息处理及时。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第二，完善合同条款，在合同签订阶段，应明确项目支付的具体条款和条件。加强合同管理，明确项目支付的具体条款和条件，避免后期执行过程中产生歧义。</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第三，强化沟通协调，及时交流项目进展情况，共同解决项目支付过程中遇到的问题。对于结算争议，应主动沟通、协商解决，避免影响项目整体进度。</w:t>
      </w:r>
    </w:p>
    <w:p w14:paraId="48BD14F7">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14:paraId="2089ADA2">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2000000000000000000"/>
    <w:charset w:val="86"/>
    <w:family w:val="auto"/>
    <w:pitch w:val="default"/>
    <w:sig w:usb0="A00002BF" w:usb1="38CF7CFA" w:usb2="00082016" w:usb3="00000000" w:csb0="00040001" w:csb1="00000000"/>
  </w:font>
  <w:font w:name="方正小标宋_GBK">
    <w:panose1 w:val="02000000000000000000"/>
    <w:charset w:val="86"/>
    <w:family w:val="script"/>
    <w:pitch w:val="default"/>
    <w:sig w:usb0="A00002BF" w:usb1="38CF7CFA" w:usb2="00082016" w:usb3="00000000" w:csb0="00040001" w:csb1="00000000"/>
  </w:font>
  <w:font w:name="方正黑体_GBK">
    <w:panose1 w:val="02000000000000000000"/>
    <w:charset w:val="86"/>
    <w:family w:val="auto"/>
    <w:pitch w:val="default"/>
    <w:sig w:usb0="A00002BF" w:usb1="38CF7CFA" w:usb2="00082016" w:usb3="00000000" w:csb0="00040001" w:csb1="00000000"/>
  </w:font>
  <w:font w:name="方正楷体_GBK">
    <w:panose1 w:val="02000000000000000000"/>
    <w:charset w:val="86"/>
    <w:family w:val="auto"/>
    <w:pitch w:val="default"/>
    <w:sig w:usb0="A00002BF" w:usb1="38CF7CFA" w:usb2="00082016" w:usb3="00000000" w:csb0="00040001"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1FF43C4">
        <w:pPr>
          <w:pStyle w:val="12"/>
          <w:jc w:val="center"/>
        </w:pPr>
        <w:r>
          <w:fldChar w:fldCharType="begin"/>
        </w:r>
        <w:r>
          <w:instrText xml:space="preserve">PAGE   \* MERGEFORMAT</w:instrText>
        </w:r>
        <w:r>
          <w:fldChar w:fldCharType="separate"/>
        </w:r>
        <w:r>
          <w:rPr>
            <w:lang w:val="zh-CN"/>
          </w:rPr>
          <w:t>1</w:t>
        </w:r>
        <w:r>
          <w:fldChar w:fldCharType="end"/>
        </w:r>
      </w:p>
    </w:sdtContent>
  </w:sdt>
  <w:p w14:paraId="1ACE5360">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F31516B"/>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19</Pages>
  <Words>110</Words>
  <Characters>633</Characters>
  <Lines>5</Lines>
  <Paragraphs>1</Paragraphs>
  <TotalTime>1</TotalTime>
  <ScaleCrop>false</ScaleCrop>
  <LinksUpToDate>false</LinksUpToDate>
  <CharactersWithSpaces>742</CharactersWithSpaces>
  <Application>WPS Office_12.8.2.18606_F1E327BC-269C-435d-A152-05C5408002CA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2024-11-20T03:08:52Z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2052-12.8.2.18606</vt:lpwstr>
  </property>
  <property fmtid="{D5CDD505-2E9C-101B-9397-08002B2CF9AE}" pid="3" name="ICV">
    <vt:lpwstr>EE679FC9655C487FA454C8E9349539F2_12</vt:lpwstr>
  </property>
</Properties>
</file>