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新建食堂及公共活动室尾款项目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喀什地区体育运动学校</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喀什地区体育局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曾子平</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2024年03月12日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一、基本情况</w:t>
        <w:br/>
        <w:t>（一）项目概况</w:t>
        <w:br/>
        <w:t>1. 项目背景</w:t>
        <w:br/>
        <w:t>本项目遵循财政部《项目支出绩效评价管理办法》（财预〔2020〕10号）和自治区财政厅《自治区财政支出绩效评价管理暂行办法》（新财预〔2018〕189号）等相关政策文件与规定，旨在评价新建食堂及公共活动室尾款项目实施前期、过程及效果，评价财政预算资金使用的效率及效益。通过该项目的实施，建成后将改善我校的办学条件,加强学校职业教育，推动南疆四地州职业教育高质量计划事业发展，提高和完善学校现代职业教育提升计划改善办学条件工作机制。建立与办学规模、培养成本、办学质量等相适应的财政职业教育投入机制，优化教育支出结构，新增教育经费要向职业教育倾斜。</w:t>
        <w:br/>
        <w:t>2. 主要内容及实施情况</w:t>
        <w:br/>
        <w:t>本项目建设主要服务于我校现代职业教育质量的发展,为解决学校现代职业教育办学条件工作条件相对弱化的问题，相应国家推动南疆四地州职业教育高质量计划事业发展政策导向，加强学校职业教育，推动南疆四地州职业教育高质量计划事业发展，提高和完善学校现代职业教育提升计划改善办学条件工作机制。项目的实施对促进当地中等职业教育高质量发展，改善职业教育办学条件差和弱化等作用突出，成为提高现代职业教育高质量办学条件的重要抓手和平台。中等职业教育人才作为等喀什地区的主要后备劳动力人才输出，经过严格的教育和培训毕业后，输送到喀什地区乃至外省的不同工作岗位。</w:t>
        <w:br/>
        <w:t>3.项目实施主体</w:t>
        <w:br/>
        <w:t>喀什地区体育运动学校为全额事业单位，纳入2023年部门决算编制范围的有7办公室：行政办公室、总务办公室、教学科办公室、学生科办公室、训练科办公室、保卫科办公室、德育办办公室。</w:t>
        <w:br/>
        <w:t xml:space="preserve">    编制人数72人，其中：行政人员编制0人、工勤0人、参公0人、事业编制72人。实有在职人数58人，其中：行政在职0人、工勤0人、参公0人、事业在职58人。离退休人员37人，其中：行政退休人员0人、事业退休37人。</w:t>
        <w:br/>
        <w:t>4. 资金投入和使用情况</w:t>
        <w:br/>
        <w:t>科教和文化科签报[2023]105号、喀财专报[2023]440号《关于下达喀什地区体育运动学校新建食堂及公共活动室尾款项目》共安排下达资金249.83万元，为一般公共预算安排资金，最终确定项目资金总数为249.83万元。</w:t>
        <w:br/>
        <w:t>新建食堂及公共活动室尾款项目主要用于建设体校食堂及演艺厅尾款支付，该项目已于2023年8月31日完成竣工决算并投入使用转为固定资产，支付尾款249.83万元（其中2022年度财政用于安排了240.05万元，当年由于疫情只支付资金103.52万元，剩余136.53万元结转2023年度用于项目尾款支付，2023年度根据工程施工及决算审计最终追加9.78万元用于项目尾款支付,2023年共计需支付146.31万元)</w:t>
        <w:br/>
        <w:t>截至2023年12月31日，实际支出249.83万元，预算执行率100%。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</w:t>
        <w:br/>
        <w:t>项目绩效目标包括项目绩效总目标和阶段性目标。</w:t>
        <w:br/>
        <w:t>1.项目绩效总目标</w:t>
        <w:br/>
        <w:t>在我校新建食堂及公共活动室尾款项目建设1个，两层建设面积1400平米，其中新建食堂及公共活动室尾款项目建设 249.83万元，用于新建食堂及公共活动室尾款项目建设尾款支出249.83万元.改善办学条件。通过此项目的实施，逐步改善学校现代职业教育质量提升工作弱化，进一步加强学校职业教育，推动南疆四地州职业教育高质量计划事业发展，提高和完善学校现代职业教育提升计划改善办学条件工作机制。</w:t>
        <w:br/>
        <w:t>2.阶段性目标</w:t>
        <w:br/>
        <w:t>为确保新建食堂及公共活动室尾款项目顺利实施，我校对项目做了事前评估工作，事前评估工作遵守严格、规范的工作程序。程序包括事前评估准备、事前评估实施、事前评估总结及应用三个阶段。</w:t>
        <w:br/>
        <w:t>实施的前期准备工作：</w:t>
        <w:br/>
        <w:t>根据拟定的工作方案，进行实地调研。到地区财政局主管业务处室和项目单位进行项目预算、了解项目实施资金预算投资情况、辅导项目单位收集准备资料。收集审核资料并进行现场调研。与项目评审专家到项目现场进行调研。通过咨询专业人士、查阅资料、实地测量等方式，多渠道获取项目信息。</w:t>
        <w:br/>
        <w:t xml:space="preserve">    具体实施的工作：</w:t>
        <w:br/>
        <w:t xml:space="preserve">    本项目自2019年9月11日经新疆维吾尔自治区喀什地区发展改革委员会关于喀什地区体育运动学校新建食堂及公共活动室尾款项目立项的复函批复，同时上报地区教育局项目实施评审方案后经我校党总会议，确定了项目领导小组，明确了责任分工：项目负责人开沙尔·阿比提主管合同的签订与资金审批，项目经办人黄禄兵负责项目的前期手续办理、招投标、项目实施监督等事宜，由新疆天尚设计有限公司完成项目初步设计，编制了实施方案，项目采用公开招标方式确定施工单位为新疆凯歌建设工程有限公司，并签订了项目合同，监理方为新疆宏建建设工程监理有限公司并签订了监理合同。</w:t>
        <w:br/>
        <w:t>验收阶段的具体工作：</w:t>
        <w:br/>
        <w:t>目前项目于2023年8月31日前邀请住建局五方进行验收合格后并移交使用。项目实施过程中制定了喀什地区体育运动学校项目建设资金实施方案及项目建设资金管理办法。项目建设资金管理办法分为总则、管理机构和权限、专项资金预算管理、专项资金支出管理、采购管理、专项资金决算管理、监督检查与绩效考评、附则八个部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二级指标，效益下设项目效益及满意度1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绩效评价标准通常包括计划标准、行业标准、历史标准等，用于对绩效指标完成情况进行比较、分析、评价。本次评价主要采用了计划标准和行业标准。</w:t>
        <w:br/>
        <w:t>计划标准：指以预先制定的目标、计划、预算、定额等作为评价标准。</w:t>
        <w:br/>
        <w:t>行业标准：指参照国家公布的行业指标数据制定的评价标准。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开沙尔·阿比提任评价组组长，绩效评价工作职责为负责全盘工作。</w:t>
        <w:br/>
        <w:t>黄禄兵、艾克拜儿·买买提任评价组副组长，绩效评价工作职责为为对项目实施情况进行实地调查。</w:t>
        <w:br/>
        <w:t>阿不力米提·依明任评价组成员，绩效评价工作职责为负责资料审核等工作。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通过实施新建食堂及公共活动室尾款项目有效改善我校职业教育办学条件。项目实施主要通过项目决策、项目过程、项目产出以及项目效益等方面进行评价，其中：</w:t>
        <w:br/>
        <w:t>项目决策：该项目主要通过喀地财教（2019）72号文件立项，项目实施符合改善我校职业教育办学条件要求，项目立项依据充分，立项程序规范。 </w:t>
        <w:br/>
        <w:t>项目过程：新建食堂及公共活动室尾款项目预算安排249.83万元，实际支出249.83万元，预算执行率100%。项目资金使用合规，项目财务管理制度健全，财务监控到位，所有资金支付均按照国库集中支付制度严格执行，现有项目管理制度执行情况良好。</w:t>
        <w:br/>
        <w:t>项目产出：项目新建食堂及公共活动室1个，项目验收合格率100%。</w:t>
        <w:br/>
        <w:t>项目效益：通过实施此项目有效改善我校职业教育办学条件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新建食堂及公共活动室尾款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</w:t>
        <w:br/>
        <w:t>（1）立项依据充分性：根据喀地财教（2019）72号文件精神、科教和文化科签报[2023]105号、喀财专报[2023]440号《关于下达喀什地区体育运动学校新建食堂及公共活动室尾款项目》，结合喀什地区体育运动学校的职责，并组织实施。围绕2023年度工作重点和工作计划制定经费预算，根据评分标准，该指标不扣分，得3分。</w:t>
        <w:br/>
        <w:t>（2）立项程序规范性：根据决策依据编制工作计划和经费预算，经过与喀什地区财政局科教和文化科及新建食堂及公共活动室尾款项目审核分管领导进行沟通、筛选确定经费预算计划，上党委会研究确定最终预算方案，根据评分标准，该指标不扣分，得2分。</w:t>
        <w:br/>
        <w:t>（3）绩效目标合理性：制定了《新建食堂及公共活动室尾款项目实施方案》，明确了总体思路及目标、并对任务进行了详细分解，对目标进行了细化，根据评分标准，该指标不扣分，得3分。</w:t>
        <w:br/>
        <w:t>（4）绩效指标明确性：将项目绩效目标细化分解为具体的绩效指标，其中，一级指标四个，二级指标六个，三级指标七个，根据评分标准，该指标不扣分，得2分。</w:t>
        <w:br/>
        <w:t>（5）预算编制科学性：预算编制经过科学论证，内容与新建食堂及公共活动室尾款项目内容匹配，项目投资额与工作任务相匹配，根据评分标准，该指标不扣分，得3分。</w:t>
        <w:br/>
        <w:t>（6）资金分配合理性：新建食堂及公共活动室尾款项目预算249.83万元，到位249.83万元，实际支出249.83万元，预算执行率为100%，资金分配与实际相适应，根据评分标准，该指标不扣分，得2分。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5个三级指标构成，权重分为15分，实际得分15分，得分率为100%。</w:t>
        <w:br/>
        <w:t>（1）资金到位率：预算资金为249.83万元，实际到位资金为249.83万元，资金到位率=（实际到位资金/预算资金）×100%=100%，财政资金足额拨付到位，能够及时足额按照合同约定将专项资金拨付给施工单位，根据评分标准，该指标不扣分，得3分。   </w:t>
        <w:br/>
        <w:t>（2）预算执行率：实际到位资金为249.83万元，实际支出资金为249.83万元，预算执行率=（实际支出资金/实际到位资金）×100%=100%，预算编制较为详细，项目资金支出总体能够按照预算执行，根据评分标准，该指标不扣分，得3分。</w:t>
        <w:br/>
        <w:t>（3）资金使用合规性：根据《喀什地区体育运动学校建设项目管理制度》《喀什地区体育运动学校预算管理制度》《喀什地区体育运动学校收支管理制度》《喀什地区体育运动学校政府采购管理制度》，对经费使用进行规范管理，财务制度健全、执行严格，根据评分标准，该指标不扣分，得4分。</w:t>
        <w:br/>
        <w:t>（4）管理制度健全性：根据《喀什地区体育运动学校建设项目管理制度》《喀什地区体育运动学校预算管理制度》《喀什地区体育运动学校收支管理制度》《喀什地区体育运动学校政府采购管理制度》，对财政专项资金进行严格管理，基本做到了专款专用，根据评分标准，该指标不扣分，得2分。</w:t>
        <w:br/>
        <w:t>（5）制度执行有效性：由喀什地区体育运动学校提出经费预算支出，新建食堂及公共活动室项目尾款支付方案，经过与喀什地区体育运动学校分管领导沟通后，报校党总支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项目产出类指标包括产出数量、产出质量、产出时效、产出成本四方面的内容，由4个三级指标构成，权重分为45分，实际得分100分，得分率为100%。</w:t>
        <w:br/>
        <w:t>（1）对于“产出数量”</w:t>
        <w:br/>
        <w:t>食堂及公共活动室建设尾款项目个数指标，预期指标值为等于1个，实际完成值为1个，指标完成率为100%，与预期目标一致，根据评分标准，该指标不扣分，得10分。</w:t>
        <w:br/>
        <w:t>合计得10分。</w:t>
        <w:br/>
        <w:t>（2）对于“产出质量”：</w:t>
        <w:br/>
        <w:t>项目竣工验收合格率指标，预期指标值为等于100%，实际完成值为100%，指标完成率为100%，与预期目标一致，根据评分标准，该指标不扣分，得10分。</w:t>
        <w:br/>
        <w:t>合计得10分。</w:t>
        <w:br/>
        <w:t>（3）对于“产出时效”：</w:t>
        <w:br/>
        <w:t>项目资金拨付及时率指标，预期指标值为等于100%，实际完成值为100%，指标完成率为100%，与预期目标一致，根据评分标准，该指标不扣分，得10分。</w:t>
        <w:br/>
        <w:t>合计得10分。</w:t>
        <w:br/>
        <w:t>（4）对于“产出成本”：</w:t>
        <w:br/>
        <w:t>2022年支付尾款总成本金额指标，预期指标值为等于103.52万元，实际完成值为103.52万元，指标完成率为100%，本年支付工程余款金额103.52万元，项目经费都能控制绩效目标范围内，根据评分标准，该指标不扣分，得7.5分。</w:t>
        <w:br/>
        <w:t>2023年支付尾款总成本金额指标，预期指标值为小于等于146.31万元，实际完成值为146.31万元，指标完成率为100%，本年支付工程余款金额146.31万元，项目经费都能控制绩效目标范围内，根据评分标准，该指标不扣分，得7.5分。</w:t>
        <w:b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（1）对于“社会效益指标”：</w:t>
        <w:br/>
        <w:t>改善现代教育质量提升办学条件指标，该指标预期指标值为改善，实际完成值为改善，指标完成率为100%，与预期指标一致，根据评分标准，该指标不扣分，得10分。</w:t>
        <w:br/>
        <w:t>（2）对于“经济效益指标”：</w:t>
        <w:br/>
        <w:t>无。</w:t>
        <w:br/>
        <w:t>（3）对于“生态效益指标”：</w:t>
        <w:br/>
        <w:t>无。</w:t>
        <w:br/>
        <w:t>（4）满意度指标分析</w:t>
        <w:br/>
        <w:t>对于“满意度指标：师生满意度该指标预期指标值为95%，实际完成值为99.8%，指标完成率为105%，与预期目标存在偏差，偏差原因：项目的实施得到广大师生的一致好评，与预期目标存在偏差。改进措施：根据实际情况合理设置目标值，减少指标设置与满意度的误差。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新建食堂及公共活动室尾款项目预算249.83万元，到位249.83万元，实际支出249.83万元，预算执行率为100%，项目绩效指标总体完成率为100.7%，偏差率为0.7%,偏差原因：项目的实施得到广大师生的一致好评。改进措施：减少指标设置与满意度的误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绩效自评工作首先是要工作准备充分，一是评价小组成员应包含单位领导、项目负责人、财务负责人和行业专家，不同的岗位和职责应用和发挥自身专业和岗位作用；二是在资料收集和档案整理及分析上要全面。其次是评价小组成员要加强绩效基础理论学习，用绩效的理论和知识进行分析评价，客观、公正的分析项目实施情况、资金使用和支付情况、绩效目标的完成情况，对发现的问题要及时总结；再次是要对项目的事前、事中、事后全方位、全过程进行分析、掌握，注重评价过程的记录和档案整理，为下一年度工作提供依据。</w:t>
        <w:br/>
        <w:t>（二）存在问题及原因分析</w:t>
        <w:br/>
        <w:t>第一，项目管理不规范，在项目执行过程中，可能存在变更管理不到位、资料归档不及时等问题，导致尾款结算时缺乏必要依据。</w:t>
        <w:br/>
        <w:t>第二，合同条款不明确，对各项指标和指标值要进一步优化、完善，主要在细化、量化上改进。</w:t>
        <w:br/>
        <w:t>第三，合同管理不严谨，在合同签订阶段，对于尾款支付的具体条款和条件未进行明确约定，导致后期执行过程中存在歧义。</w:t>
        <w:br/>
        <w:t>第四，沟通协调不畅，单位项目管理人员在办理前期手续和采购手续时因不熟悉流程影响工程及采购项目的进程。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第一，加强项目管理，建立健全项目管理制度，确保项目变更管理到位、资料归档及时。</w:t>
        <w:br/>
        <w:t>第二，完善合同条款，在合同签订阶段，应明确尾款支付的具体条款和条件。</w:t>
        <w:br/>
        <w:t>第三，加强合同管理，在合同签订阶段，应明确尾款支付的具体条款和条件，避免后期执行过程中产生歧义。</w:t>
        <w:br/>
        <w:t>第四，强化沟通协调，及时交流项目进展情况，共同解决尾款支付过程中遇到的问题。对于结算争议，应主动沟通、协商解决，避免影响项目整体进度。</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