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842E49">
      <w:pPr>
        <w:spacing w:line="570" w:lineRule="exact"/>
        <w:jc w:val="center"/>
        <w:rPr>
          <w:rFonts w:ascii="华文中宋" w:hAnsi="华文中宋" w:eastAsia="华文中宋" w:cs="宋体"/>
          <w:b/>
          <w:kern w:val="0"/>
          <w:sz w:val="52"/>
          <w:szCs w:val="52"/>
        </w:rPr>
      </w:pPr>
      <w:bookmarkStart w:id="0" w:name="_GoBack"/>
      <w:bookmarkEnd w:id="0"/>
    </w:p>
    <w:p w14:paraId="791E8DEB">
      <w:pPr>
        <w:spacing w:line="570" w:lineRule="exact"/>
        <w:jc w:val="center"/>
        <w:rPr>
          <w:rFonts w:ascii="华文中宋" w:hAnsi="华文中宋" w:eastAsia="华文中宋" w:cs="宋体"/>
          <w:b/>
          <w:kern w:val="0"/>
          <w:sz w:val="52"/>
          <w:szCs w:val="52"/>
        </w:rPr>
      </w:pPr>
    </w:p>
    <w:p w14:paraId="72DCC2B3">
      <w:pPr>
        <w:spacing w:line="570" w:lineRule="exact"/>
        <w:jc w:val="center"/>
        <w:rPr>
          <w:rFonts w:ascii="华文中宋" w:hAnsi="华文中宋" w:eastAsia="华文中宋" w:cs="宋体"/>
          <w:b/>
          <w:kern w:val="0"/>
          <w:sz w:val="52"/>
          <w:szCs w:val="52"/>
        </w:rPr>
      </w:pPr>
    </w:p>
    <w:p w14:paraId="021F091F">
      <w:pPr>
        <w:spacing w:line="570" w:lineRule="exact"/>
        <w:jc w:val="center"/>
        <w:rPr>
          <w:rFonts w:ascii="华文中宋" w:hAnsi="华文中宋" w:eastAsia="华文中宋" w:cs="宋体"/>
          <w:b/>
          <w:kern w:val="0"/>
          <w:sz w:val="52"/>
          <w:szCs w:val="52"/>
        </w:rPr>
      </w:pPr>
    </w:p>
    <w:p w14:paraId="2790CF12">
      <w:pPr>
        <w:spacing w:line="570" w:lineRule="exact"/>
        <w:jc w:val="both"/>
        <w:rPr>
          <w:rFonts w:ascii="华文中宋" w:hAnsi="华文中宋" w:eastAsia="华文中宋" w:cs="宋体"/>
          <w:b/>
          <w:kern w:val="0"/>
          <w:sz w:val="52"/>
          <w:szCs w:val="52"/>
        </w:rPr>
      </w:pPr>
    </w:p>
    <w:p w14:paraId="4F529CF3">
      <w:pPr>
        <w:spacing w:line="570" w:lineRule="exact"/>
        <w:jc w:val="center"/>
        <w:rPr>
          <w:rFonts w:ascii="华文中宋" w:hAnsi="华文中宋" w:eastAsia="华文中宋" w:cs="宋体"/>
          <w:b/>
          <w:kern w:val="0"/>
          <w:sz w:val="52"/>
          <w:szCs w:val="52"/>
        </w:rPr>
      </w:pPr>
    </w:p>
    <w:p w14:paraId="4108F7D8">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03B89C1C">
      <w:pPr>
        <w:spacing w:line="570" w:lineRule="exact"/>
        <w:jc w:val="center"/>
        <w:rPr>
          <w:rFonts w:ascii="华文中宋" w:hAnsi="华文中宋" w:eastAsia="华文中宋" w:cs="宋体"/>
          <w:b/>
          <w:kern w:val="0"/>
          <w:sz w:val="52"/>
          <w:szCs w:val="52"/>
        </w:rPr>
      </w:pPr>
    </w:p>
    <w:p w14:paraId="5A6DBAF0">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15CD84A9">
      <w:pPr>
        <w:spacing w:line="570" w:lineRule="exact"/>
        <w:jc w:val="center"/>
        <w:rPr>
          <w:rFonts w:hAnsi="宋体" w:eastAsia="仿宋_GB2312" w:cs="宋体"/>
          <w:kern w:val="0"/>
          <w:sz w:val="30"/>
          <w:szCs w:val="30"/>
        </w:rPr>
      </w:pPr>
    </w:p>
    <w:p w14:paraId="6D3361F9">
      <w:pPr>
        <w:spacing w:line="570" w:lineRule="exact"/>
        <w:jc w:val="center"/>
        <w:rPr>
          <w:rFonts w:hAnsi="宋体" w:eastAsia="仿宋_GB2312" w:cs="宋体"/>
          <w:kern w:val="0"/>
          <w:sz w:val="30"/>
          <w:szCs w:val="30"/>
        </w:rPr>
      </w:pPr>
    </w:p>
    <w:p w14:paraId="7E672AF3">
      <w:pPr>
        <w:spacing w:line="570" w:lineRule="exact"/>
        <w:jc w:val="center"/>
        <w:rPr>
          <w:rFonts w:hAnsi="宋体" w:eastAsia="仿宋_GB2312" w:cs="宋体"/>
          <w:kern w:val="0"/>
          <w:sz w:val="30"/>
          <w:szCs w:val="30"/>
        </w:rPr>
      </w:pPr>
    </w:p>
    <w:p w14:paraId="072F3DD2">
      <w:pPr>
        <w:spacing w:line="570" w:lineRule="exact"/>
        <w:jc w:val="center"/>
        <w:rPr>
          <w:rFonts w:hAnsi="宋体" w:eastAsia="仿宋_GB2312" w:cs="宋体"/>
          <w:kern w:val="0"/>
          <w:sz w:val="30"/>
          <w:szCs w:val="30"/>
        </w:rPr>
      </w:pPr>
    </w:p>
    <w:p w14:paraId="167AB46A">
      <w:pPr>
        <w:spacing w:line="570" w:lineRule="exact"/>
        <w:jc w:val="center"/>
        <w:rPr>
          <w:rFonts w:hAnsi="宋体" w:eastAsia="仿宋_GB2312" w:cs="宋体"/>
          <w:kern w:val="0"/>
          <w:sz w:val="30"/>
          <w:szCs w:val="30"/>
        </w:rPr>
      </w:pPr>
    </w:p>
    <w:p w14:paraId="3B969438">
      <w:pPr>
        <w:spacing w:line="570" w:lineRule="exact"/>
        <w:jc w:val="center"/>
        <w:rPr>
          <w:rFonts w:hAnsi="宋体" w:eastAsia="仿宋_GB2312" w:cs="宋体"/>
          <w:kern w:val="0"/>
          <w:sz w:val="30"/>
          <w:szCs w:val="30"/>
        </w:rPr>
      </w:pPr>
    </w:p>
    <w:p w14:paraId="1C5943C0">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2023年中央自治区补助地方公共体育场馆向社会免费或低收费开放补助项目</w:t>
      </w:r>
    </w:p>
    <w:p w14:paraId="63F584BE">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喀什地区体育馆</w:t>
      </w:r>
    </w:p>
    <w:p w14:paraId="204AA165">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喀什地区体育馆</w:t>
      </w:r>
    </w:p>
    <w:p w14:paraId="753E0BF6">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江辉</w:t>
      </w:r>
    </w:p>
    <w:p w14:paraId="2CF68FFD">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2024年04月01日</w:t>
      </w:r>
    </w:p>
    <w:p w14:paraId="792D285C">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78F6657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267BC0E2">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5D52AD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本项目遵循财政部《项目支出绩效评价管理办法》（财预〔2020〕10号）和自治区财政厅《自治区财政支出绩效评价管理暂行办法》（新财预〔2018〕189号）等相关政策文件与规定，旨在大力开展</w:t>
      </w:r>
      <w:r>
        <w:rPr>
          <w:rStyle w:val="18"/>
          <w:rFonts w:hint="eastAsia" w:ascii="仿宋" w:hAnsi="仿宋" w:eastAsia="仿宋" w:cs="仿宋"/>
          <w:b w:val="0"/>
          <w:bCs w:val="0"/>
          <w:spacing w:val="-4"/>
          <w:sz w:val="32"/>
          <w:szCs w:val="32"/>
          <w:lang w:eastAsia="zh-CN"/>
        </w:rPr>
        <w:t>全民健身</w:t>
      </w:r>
      <w:r>
        <w:rPr>
          <w:rStyle w:val="18"/>
          <w:rFonts w:hint="eastAsia" w:ascii="仿宋" w:hAnsi="仿宋" w:eastAsia="仿宋" w:cs="仿宋"/>
          <w:b w:val="0"/>
          <w:bCs w:val="0"/>
          <w:spacing w:val="-4"/>
          <w:sz w:val="32"/>
          <w:szCs w:val="32"/>
        </w:rPr>
        <w:t>活动，增强全民身体素质，推动全民健身及全民健康的深度融合。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地区全民健身健身活动。项目实施前进行认真细致的充分调研，制定了《喀什地区体育馆免费开放》实施方案，项目实施过程中严格按照实施方案进行实施并及时进行监督管理，项目实施后进行及时验收及后期维护。该项目的实施对促进地区全民健身作用突出，成为全民健身的重要抓手和平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喀什地区体育馆为全额事业单位，纳入2021年部门决算编制范围的有4个办公室：活动策划部、场馆维护部、财务室、办公司。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编制人数14人，其中：管理岗编制5人、专业技术岗编制6人、工勤3人。实有在职人数9人，其中：管理岗在职4人、专业技术岗在职2人、工勤在职3人。离退休人员12人。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根据《关于提前下达2023年中央自治区补助地方公共体育场馆向社会免费或低收费开放补助项目》（喀地财教（2022）46号）共安排下达资金51万元，为一般公共预算资金，最终确定项目资金总数为51万元。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截至2022年12月31日，实际支出36.18万元，预算执行率70.94%。</w:t>
      </w:r>
    </w:p>
    <w:p w14:paraId="68C51C0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5274902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贯彻落实《全民健身条例》，大力开展全民健身活动，丰富群众体育活动，不断满足人民群众对美好生活的向往。  加快推进公共体育设施建设，提高体育公共服务能力和水平，不断改善群众体育健身活动场地和设施，把全民健身与全民健康有机融合，推动广大各族群众积极开展全民健身活动。增长经常参加体育锻炼人数 。加大公共体育基础设施建设，促进公共体育服务均等化，广泛开展全民健身活动，丰富各族群众精神文化生活。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项目实施前进行认真细致的充分调研，制定了《喀什地区体育馆免费开放》实施方案。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项目实施过程中严格按照实施方案进行实施，在严格规范生产的情况下，坚持免费开放，并及时进行监督管理。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项目完工后及时进行后期维护。</w:t>
      </w:r>
    </w:p>
    <w:p w14:paraId="7EAC085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F8B5D5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654AC00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3EB0EAF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26D6128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64EC33B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F6E6F5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艾尼瓦尔·阿不力孜任评价组组长，绩效评价工作职责为负责全盘工作。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江辉任评价组副组长，绩效评价工作职责为为对项目实施情况进行实地调查。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孙梦琦任评价组成员，绩效评价工作职责为负责资料审核等工作。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4AC49B7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5DA40B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中央自治区补助地方公共体育场馆向社会免费或低收费开放补助项目有效提升了群众身体素质，丰富了群众精神文化生活，激发了全民体育健身氛围。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关于提前下达2023年中央自治区补助地方公共体育场馆向社会免费或低收费开放补助项目》（喀地财教（2022）46号）文件立项，项目实施符合喀什地区体育局三定方案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项目过程：2023年中央自治区补助地方公共体育场馆向社会免费或低收费开放补助项目预算安排 51万元，实际支出36.18万元，预算执行率70.94%。项目资金使用合规，项目财务管理制度健全，财务监控到位，所有资金支付均按照国库集中支付制度严格执行，现有项目管理制度执行情况良好。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项目产出：全民参加全民健身体育锻炼人数7万人，全年免费开放天数300天。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项目效益：通过实施此项目有效提升了群众身体素质，丰富了群众精神文化生活，激发了全民体育健身氛围。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中央自治区补助地方公共体育场馆向社会免费或低收费开放补助项目进行客观评价，最终评分结果：评价总分76.5分，绩效等级为“中”。</w:t>
      </w:r>
    </w:p>
    <w:p w14:paraId="5EEF6E4C">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2B60B47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9EEE27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项目决策类指标包括项目立项、绩效目标和资金投入三方面的内容，由6个三级指标构成，权重分为15分，实际得分13分，得分率为86.67%。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关于提前下达2023年中央自治区补助地方公共体育场馆向社会免费或低收费开放补助项目》（喀地财教（2022）46号）文件，结合体育馆三定方案职责，并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关于提前下达2023年中央自治区补助地方公共体育场馆向社会免费或低收费开放补助项目》（喀地财教（2022）46号）文件，编制工作计划和经费预算，经过与体育局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（3）绩效目标合理性：制定了《喀什地区体育馆免费开放》实施方案，明确了总体思路及目标、并对任务进行了详细分解，对目标进行了细化，根据评分标准，该指标不扣分，得3分。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我单位将项目绩效目标细化分解为具体的绩效指标，其中：全民参加全民健身体育锻炼人数、全年免费开放天数、全年免费开放率、资金支付及时率等指标，根据评分标准，该指标不扣分，得2分。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根据《关于提前下达2023年中央自治区补助地方公共体育场馆向社会免费或低收费开放补助项目》（喀地财教（2022）46号）文件编制预算，预算编制经过科学论证，内容与项目内容匹配，项目投资额与工作任务不相匹配，根据评分标准，该指标扣1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根据《关于提前下达2023年中央自治区补助地方公共体育场馆向社会免费或低收费开放补助项目》（喀地财教（2022）46号）文件进行资金分配，资金分配与实际不相适应，剩余14.82万元未能执行完毕。根据评分标准，该指标扣1分，得1分。</w:t>
      </w:r>
    </w:p>
    <w:p w14:paraId="4CF5DBC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776D5BD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5个三级指标构成，权重分为15分，实际得分12.8分，得分率为85.33%。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资金到位率=（实际到位资金/预算资金）×100%，2023年中央自治区补助地方公共体育场馆向社会免费或低收费开放补助项目预算资金51万元，实际到位资金51万元，资金到位率100%，资金足额拨付到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（2）预算执行率：预算执行率=（实际支出资金/实际到位资金）×100%，2023年中央自治区补助地方公共体育场馆向社会免费或低收费开放补助项目财政预算资金51万元，实际到位资金36.18万元，资金执行率70.94%， 预算编制较为详细，项目资金支出总体能够按照预算执行，偏差原因：节约成本，采取措施：严格项目资金支出。根据评分标准，该指标扣分2.2分，得0.8分。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（3）资金使用合规性：我单位根据《喀什地区体育馆财务收支管理办法》，对经费使用进行规范管理，财务制度健全、执行严格，根据评分标准，该指标不扣分，得5分。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（4）管理制度健全性：我单位根据《喀什地区体育馆财务收支管理办法》，对财政专项资金进行严格管理，基本做到了专款专用，根据评分标准，该指标不扣分，得2分。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喀什地区体育馆提出经费预算支出《2023年喀什地区体育馆免费开放项目实施方案》，经过与体育局分管领导沟通后，报党组会议研究执行，财务对资金的使用合法合规性进行监督，年底对资金使用效果进行自评，根据评分标准，该指标不扣分，得3分。</w:t>
      </w:r>
    </w:p>
    <w:p w14:paraId="1214A26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6996420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项目产出类指标包括产出数量、产出质量、产出时效三方面的内容，由3个三级指标构成，权重分为50分，实际得分30.7分，得分率为61.4%。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参加全民健身体育锻炼人数指标，预期目标值大于等于7万人，实际完成值为7万人，指标完成率为100%，印证资料为全民参加全民健身体育锻炼人数，与预期目标一致，根据评分标准，该指标不扣分，得5分。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全年免费开放天数指标，预期目标值大于等于300天，实际完成值为300天，指标完成率为100%，印证资料为全年免费开放天数，与预期目标一致，根据评分标准，该指标不扣分，得5分。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全年免费开放率指标，预期指标值为100%，实际完成值为100%，指标完成率为100%，印证资料为2023年中央自治区补助地方公共体育场馆向社会免费或低收费开放补助项目工作总结，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指标，预期指标值为100%，实际完成值为72.36%，指标完成率为72.36%，印证资料为明细账。偏差原因：体育馆2023年房屋鉴定结果为D，仅维持必要支出，其余支出暂缓。改进措施：积极争取资金维修场馆，使场馆早日投入正常使用。根据评分标准，该指标扣7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（4）对于“经济成本”：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安服务费成本指标，预期指标值为小于等于28.8万元，实际完成值为26.18万元，指标完成率为90.9%，印证资料为明细账。偏差原因：使用上年结转资金支付保安费。改进措施：在今后项目实施中严格预算编制，做到精准预算。根据评分标准，该指标扣2.3分，得7.7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其他运行成本指标，预期指标值为小于等于22.2万元，实际完成值为10万元，指标完成率为45.05%，印证资料为明细账。偏差原因：体育馆2023年房屋鉴定结果为D，仅维持必要支出，其余支出暂缓。改进措施：仅仅争取资金维修场馆，使场馆早日投入正常使用。根据评分标准，该指标扣10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（2）对于“社会成本”：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（3）对于“生态环境成本”：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p>
    <w:p w14:paraId="376CE87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1EA0290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增强群众身体素质指标，该指标预期指标值为增强，实际完成值为增强，指标完成率为100%，印证资料为2023年中央自治区补助地方公共体育场馆向社会免费或低收费开放补助项目工作总结，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丰富群众精神文化生活指标，该指标预期指标值为丰富，实际完成值为丰富，指标完成率为100%，印证资料为2023年中央自治区补助地方公共体育场馆向社会免费或低收费开放补助项目工作总结，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对于“满意度指标：参加锻炼群众满意度95%，该指标预期指标值为98%，实际完成值为95%，指标完成率为96.94%，印证资料为满意度资料，与预期目标一致，根据评分标准，该指标不扣分,得10分。</w:t>
      </w:r>
    </w:p>
    <w:p w14:paraId="55EB31D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0F9E3133">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中央自治区补助地方公共体育场馆向社会免费或低收费开放补助项目项目预算51万元，到位51万元，实际支出36.18万元，预算执行率为70.94%，项目绩效指标总体完成率为89.5%，偏差率为18.56%,偏差原因：体育馆2023年房屋鉴定结果为D，仅维持必要支出，其余支出暂缓。改进措施：积极争取资金维修场馆，使场馆早日投入正常使用。</w:t>
      </w:r>
    </w:p>
    <w:p w14:paraId="17551873">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615A246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体育馆免费开放，参加免费开放全民健身锻炼人数7万人。免费开放天数300天，免费开放成本36.18万元 ，有效提升了群众身体素质，丰富了群众精神文化生活，激发了全民体育健身氛围。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体育馆2023年房屋鉴定结果为D，仅维持必要支出，其余支出暂缓，导致项资金支付进度较差。</w:t>
      </w:r>
    </w:p>
    <w:p w14:paraId="5FDC961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50F7FA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1.积极争取资金维修场馆，使场馆早日投入正常使用，持续发挥免费开放资金使用效益。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2.该项目为专项资金，资金预算安排为上级专项，地方无分配权限。在项目执行中突出免费开放重点，充分发挥免费开放资金使用效益。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3.严格按照《财务管理制度》使用项目资金，确保资金支付合规合法。严格执行资金拨付审批流程，确保资金支付手续合规。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4.在项目管理中合理安排人力物力资源，利用好体育馆现有场地资源以及体育馆现有干部职工，切实发挥免费开放资金使用效益。</w:t>
      </w:r>
    </w:p>
    <w:p w14:paraId="1A9860F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1EA7D578">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AB28DA5">
        <w:pPr>
          <w:pStyle w:val="12"/>
          <w:jc w:val="center"/>
        </w:pPr>
        <w:r>
          <w:fldChar w:fldCharType="begin"/>
        </w:r>
        <w:r>
          <w:instrText xml:space="preserve">PAGE   \* MERGEFORMAT</w:instrText>
        </w:r>
        <w:r>
          <w:fldChar w:fldCharType="separate"/>
        </w:r>
        <w:r>
          <w:rPr>
            <w:lang w:val="zh-CN"/>
          </w:rPr>
          <w:t>1</w:t>
        </w:r>
        <w:r>
          <w:fldChar w:fldCharType="end"/>
        </w:r>
      </w:p>
    </w:sdtContent>
  </w:sdt>
  <w:p w14:paraId="30BFBBCF">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37C1500"/>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110</Words>
  <Characters>633</Characters>
  <Lines>5</Lines>
  <Paragraphs>1</Paragraphs>
  <TotalTime>2</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2024-11-20T03:07:05Z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EF724BA45F7F4E1B904BEFA8B6690419_12</vt:lpwstr>
  </property>
</Properties>
</file>