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jc w:val="center"/>
        <w:rPr>
          <w:rFonts w:ascii="方正小标宋简体" w:eastAsia="方正小标宋简体"/>
          <w:sz w:val="44"/>
          <w:szCs w:val="44"/>
        </w:rPr>
      </w:pPr>
      <w:bookmarkStart w:id="8" w:name="_GoBack"/>
      <w:bookmarkEnd w:id="8"/>
    </w:p>
    <w:p>
      <w:pPr>
        <w:spacing w:before="120" w:beforeLines="50"/>
        <w:jc w:val="center"/>
        <w:rPr>
          <w:rFonts w:ascii="方正小标宋简体" w:eastAsia="方正小标宋简体"/>
          <w:sz w:val="44"/>
          <w:szCs w:val="44"/>
        </w:rPr>
      </w:pPr>
    </w:p>
    <w:p>
      <w:pPr>
        <w:spacing w:line="700" w:lineRule="exact"/>
        <w:ind w:left="878" w:leftChars="418" w:firstLine="0" w:firstLineChars="0"/>
        <w:jc w:val="center"/>
        <w:rPr>
          <w:rFonts w:ascii="方正小标宋简体" w:eastAsia="方正小标宋简体"/>
          <w:sz w:val="44"/>
          <w:szCs w:val="44"/>
        </w:rPr>
      </w:pPr>
      <w:r>
        <w:rPr>
          <w:rFonts w:hint="eastAsia" w:ascii="方正小标宋简体" w:eastAsia="方正小标宋简体"/>
          <w:sz w:val="44"/>
          <w:szCs w:val="44"/>
        </w:rPr>
        <w:t>喀什地区疾病预防控制中心食品风险监测相关仪器采购项目支出绩效评价报告</w:t>
      </w: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line="700" w:lineRule="exact"/>
        <w:ind w:firstLine="712" w:firstLineChars="200"/>
        <w:jc w:val="left"/>
        <w:rPr>
          <w:rFonts w:hAnsi="宋体" w:eastAsia="仿宋_GB2312" w:cs="宋体"/>
          <w:color w:val="000000" w:themeColor="text1"/>
          <w:kern w:val="0"/>
          <w:sz w:val="36"/>
          <w:szCs w:val="36"/>
          <w14:textFill>
            <w14:solidFill>
              <w14:schemeClr w14:val="tx1"/>
            </w14:solidFill>
          </w14:textFill>
        </w:rPr>
      </w:pPr>
      <w:r>
        <w:rPr>
          <w:rFonts w:hint="eastAsia" w:ascii="仿宋_GB2312" w:hAnsi="仿宋" w:eastAsia="仿宋_GB2312" w:cs="Times New Roman"/>
          <w:spacing w:val="-2"/>
          <w:sz w:val="36"/>
          <w:szCs w:val="36"/>
        </w:rPr>
        <w:t>项目名称：</w:t>
      </w:r>
      <w:r>
        <w:rPr>
          <w:rFonts w:hint="eastAsia" w:hAnsi="宋体" w:eastAsia="仿宋_GB2312" w:cs="宋体"/>
          <w:color w:val="000000" w:themeColor="text1"/>
          <w:kern w:val="0"/>
          <w:sz w:val="36"/>
          <w:szCs w:val="36"/>
          <w14:textFill>
            <w14:solidFill>
              <w14:schemeClr w14:val="tx1"/>
            </w14:solidFill>
          </w14:textFill>
        </w:rPr>
        <w:t>食品风险监测相关仪器采购项目</w:t>
      </w:r>
    </w:p>
    <w:p>
      <w:pPr>
        <w:autoSpaceDE w:val="0"/>
        <w:autoSpaceDN w:val="0"/>
        <w:spacing w:line="540" w:lineRule="exact"/>
        <w:ind w:firstLine="712" w:firstLineChars="200"/>
        <w:rPr>
          <w:rFonts w:hint="eastAsia"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实施单位：喀什地区疾病预防控制中心</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评价部门：喀什地区疾病预防控制中心</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120" w:beforeLines="50" w:line="0" w:lineRule="atLeast"/>
        <w:jc w:val="left"/>
        <w:rPr>
          <w:sz w:val="28"/>
          <w:szCs w:val="28"/>
        </w:rPr>
      </w:pPr>
    </w:p>
    <w:p>
      <w:pPr>
        <w:spacing w:before="120" w:beforeLines="50" w:after="120" w:afterLines="50" w:line="600" w:lineRule="exact"/>
        <w:jc w:val="center"/>
        <w:rPr>
          <w:rFonts w:ascii="方正小标宋简体" w:hAnsi="仿宋_GB2312" w:eastAsia="方正小标宋简体" w:cs="仿宋_GB2312"/>
          <w:color w:val="FF0000"/>
          <w:kern w:val="0"/>
          <w:sz w:val="44"/>
          <w:szCs w:val="44"/>
          <w:shd w:val="clear" w:color="auto" w:fill="FFFFFF"/>
          <w:lang w:bidi="ar"/>
        </w:rPr>
      </w:pPr>
    </w:p>
    <w:p>
      <w:pPr>
        <w:spacing w:before="120" w:beforeLines="50" w:after="120" w:afterLines="50" w:line="600" w:lineRule="exact"/>
        <w:jc w:val="center"/>
        <w:rPr>
          <w:rFonts w:ascii="方正小标宋简体" w:hAnsi="仿宋_GB2312" w:eastAsia="方正小标宋简体" w:cs="仿宋_GB2312"/>
          <w:color w:val="FF0000"/>
          <w:kern w:val="0"/>
          <w:sz w:val="44"/>
          <w:szCs w:val="44"/>
          <w:shd w:val="clear" w:color="auto" w:fill="FFFFFF"/>
          <w:lang w:bidi="ar"/>
        </w:rPr>
      </w:pPr>
    </w:p>
    <w:p>
      <w:pPr>
        <w:pStyle w:val="22"/>
        <w:numPr>
          <w:ilvl w:val="0"/>
          <w:numId w:val="2"/>
        </w:numPr>
        <w:ind w:firstLineChars="0"/>
        <w:rPr>
          <w:lang w:bidi="ar"/>
        </w:rPr>
      </w:pPr>
      <w:r>
        <w:rPr>
          <w:rFonts w:hint="eastAsia"/>
          <w:lang w:bidi="ar"/>
        </w:rPr>
        <w:t>基本情况</w:t>
      </w:r>
    </w:p>
    <w:p>
      <w:pPr>
        <w:pStyle w:val="24"/>
        <w:ind w:left="0" w:firstLine="643" w:firstLineChars="200"/>
        <w:rPr>
          <w:lang w:bidi="ar"/>
        </w:rPr>
      </w:pPr>
      <w:bookmarkStart w:id="0" w:name="_Toc26401549"/>
      <w:r>
        <w:rPr>
          <w:rFonts w:hint="eastAsia"/>
          <w:lang w:bidi="ar"/>
        </w:rPr>
        <w:t>项目概况</w:t>
      </w:r>
      <w:bookmarkEnd w:id="0"/>
    </w:p>
    <w:p>
      <w:pPr>
        <w:pStyle w:val="18"/>
        <w:numPr>
          <w:ilvl w:val="0"/>
          <w:numId w:val="3"/>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pPr>
        <w:spacing w:before="120" w:beforeLines="50" w:line="600" w:lineRule="exact"/>
        <w:ind w:firstLine="645"/>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val="en-US" w:eastAsia="zh-CN" w:bidi="ar"/>
        </w:rPr>
        <w:t>根据《关于2017年国务院食安委食品安全工作评议考核通报问题整改措施落实情况进行跟踪落实情况的通知》（新政督发【2018】93号）文件中“喀什地区尚未完成整改，食品安全监测机构的设备达标率低于75%”的问题。为完成食品安全监测机构的设备增补达标率的目的，申请立项。承担疾病预防与控制及有关公共卫生信息的报告、管理和预测、预报。</w:t>
      </w:r>
    </w:p>
    <w:p>
      <w:pPr>
        <w:pStyle w:val="18"/>
        <w:numPr>
          <w:ilvl w:val="0"/>
          <w:numId w:val="3"/>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项目主要内容及实施情况</w:t>
      </w:r>
    </w:p>
    <w:p>
      <w:pPr>
        <w:spacing w:before="120" w:beforeLines="50" w:line="600" w:lineRule="exact"/>
        <w:ind w:firstLine="645"/>
        <w:rPr>
          <w:rFonts w:ascii="仿宋_GB2312" w:hAnsi="仿宋" w:eastAsia="仿宋_GB2312" w:cs="宋体"/>
          <w:sz w:val="32"/>
          <w:szCs w:val="32"/>
          <w:lang w:bidi="ar"/>
        </w:rPr>
      </w:pPr>
      <w:r>
        <w:rPr>
          <w:rFonts w:hint="eastAsia" w:ascii="仿宋_GB2312" w:hAnsi="仿宋" w:eastAsia="仿宋_GB2312" w:cs="宋体"/>
          <w:sz w:val="32"/>
          <w:szCs w:val="32"/>
          <w:lang w:bidi="ar"/>
        </w:rPr>
        <w:t>项目实施前</w:t>
      </w:r>
      <w:r>
        <w:rPr>
          <w:rFonts w:hint="eastAsia" w:ascii="仿宋" w:hAnsi="仿宋" w:eastAsia="仿宋" w:cs="仿宋"/>
          <w:sz w:val="32"/>
          <w:szCs w:val="32"/>
        </w:rPr>
        <w:t>按照项目立项、预算管理、项目实施的分析路径，结合国家、自治区法律法规等</w:t>
      </w:r>
      <w:r>
        <w:rPr>
          <w:rFonts w:hint="eastAsia" w:ascii="仿宋_GB2312" w:hAnsi="仿宋" w:eastAsia="仿宋_GB2312" w:cs="宋体"/>
          <w:sz w:val="32"/>
          <w:szCs w:val="32"/>
          <w:lang w:bidi="ar"/>
        </w:rPr>
        <w:t>进行充分调研，制定实施方案，项目实施过程中严格按照实施方案进行实施并及时进行监督管理，项目实施后</w:t>
      </w:r>
      <w:r>
        <w:rPr>
          <w:rFonts w:hint="eastAsia" w:ascii="仿宋" w:hAnsi="仿宋" w:eastAsia="仿宋" w:cs="仿宋"/>
          <w:sz w:val="32"/>
          <w:szCs w:val="32"/>
        </w:rPr>
        <w:t>成立专门的评估小组，收集整理相关资料，了解项目的实施运行情况。</w:t>
      </w:r>
    </w:p>
    <w:p>
      <w:pPr>
        <w:pStyle w:val="24"/>
        <w:ind w:left="0" w:firstLine="643" w:firstLineChars="200"/>
        <w:rPr>
          <w:lang w:bidi="ar"/>
        </w:rPr>
      </w:pPr>
      <w:bookmarkStart w:id="1" w:name="_Toc26401550"/>
      <w:r>
        <w:rPr>
          <w:rFonts w:hint="eastAsia"/>
          <w:lang w:bidi="ar"/>
        </w:rPr>
        <w:t>资金</w:t>
      </w:r>
      <w:bookmarkEnd w:id="1"/>
      <w:r>
        <w:rPr>
          <w:rFonts w:hint="eastAsia"/>
          <w:lang w:bidi="ar"/>
        </w:rPr>
        <w:t>投入和使用情况</w:t>
      </w:r>
    </w:p>
    <w:p>
      <w:pPr>
        <w:spacing w:before="120" w:beforeLines="50" w:line="600" w:lineRule="exact"/>
        <w:ind w:firstLine="645"/>
        <w:rPr>
          <w:rFonts w:ascii="仿宋_GB2312" w:hAnsi="仿宋" w:eastAsia="仿宋_GB2312" w:cs="宋体"/>
          <w:sz w:val="32"/>
          <w:szCs w:val="32"/>
          <w:lang w:bidi="ar"/>
        </w:rPr>
      </w:pPr>
      <w:r>
        <w:rPr>
          <w:rFonts w:hint="eastAsia" w:ascii="仿宋_GB2312" w:hAnsi="仿宋" w:eastAsia="仿宋_GB2312" w:cs="宋体"/>
          <w:sz w:val="32"/>
          <w:szCs w:val="32"/>
          <w:lang w:bidi="ar"/>
        </w:rPr>
        <w:t>本项目总投资</w:t>
      </w:r>
      <w:r>
        <w:rPr>
          <w:rFonts w:hint="eastAsia" w:ascii="仿宋" w:hAnsi="仿宋" w:eastAsia="仿宋"/>
          <w:bCs/>
          <w:color w:val="000000" w:themeColor="text1"/>
          <w:spacing w:val="-4"/>
          <w:sz w:val="30"/>
          <w:szCs w:val="30"/>
          <w14:textFill>
            <w14:solidFill>
              <w14:schemeClr w14:val="tx1"/>
            </w14:solidFill>
          </w14:textFill>
        </w:rPr>
        <w:t>557.8万</w:t>
      </w:r>
      <w:r>
        <w:rPr>
          <w:rFonts w:hint="eastAsia" w:ascii="仿宋_GB2312" w:hAnsi="仿宋" w:eastAsia="仿宋_GB2312" w:cs="宋体"/>
          <w:sz w:val="32"/>
          <w:szCs w:val="32"/>
          <w:lang w:bidi="ar"/>
        </w:rPr>
        <w:t>元，资金来源为本级部门预算资金。</w:t>
      </w:r>
    </w:p>
    <w:p>
      <w:pPr>
        <w:spacing w:line="360" w:lineRule="auto"/>
        <w:ind w:firstLine="800" w:firstLineChars="250"/>
        <w:rPr>
          <w:rFonts w:hint="eastAsia" w:ascii="仿宋" w:hAnsi="仿宋" w:eastAsia="仿宋" w:cs="仿宋"/>
          <w:sz w:val="32"/>
          <w:szCs w:val="32"/>
          <w:lang w:eastAsia="zh-CN"/>
        </w:rPr>
      </w:pPr>
      <w:r>
        <w:rPr>
          <w:rFonts w:hint="eastAsia" w:ascii="仿宋_GB2312" w:hAnsi="仿宋" w:eastAsia="仿宋_GB2312" w:cs="宋体"/>
          <w:sz w:val="32"/>
          <w:szCs w:val="32"/>
          <w:lang w:bidi="ar"/>
        </w:rPr>
        <w:t>食品风险监测相关仪器采购项目资金的使用范围：</w:t>
      </w:r>
      <w:r>
        <w:rPr>
          <w:rFonts w:hint="eastAsia" w:ascii="仿宋" w:hAnsi="仿宋" w:eastAsia="仿宋" w:cs="仿宋"/>
          <w:sz w:val="32"/>
          <w:szCs w:val="32"/>
        </w:rPr>
        <w:t>采购10台食品风险检测仪器设备</w:t>
      </w:r>
      <w:r>
        <w:rPr>
          <w:rFonts w:hint="eastAsia" w:ascii="仿宋" w:hAnsi="仿宋" w:eastAsia="仿宋" w:cs="仿宋"/>
          <w:sz w:val="32"/>
          <w:szCs w:val="32"/>
          <w:lang w:eastAsia="zh-CN"/>
        </w:rPr>
        <w:t>。</w:t>
      </w:r>
    </w:p>
    <w:p>
      <w:pPr>
        <w:spacing w:line="360" w:lineRule="auto"/>
        <w:ind w:firstLine="800" w:firstLineChars="250"/>
        <w:rPr>
          <w:rFonts w:ascii="仿宋" w:hAnsi="仿宋" w:eastAsia="仿宋" w:cs="仿宋"/>
          <w:bCs/>
          <w:spacing w:val="-4"/>
          <w:sz w:val="32"/>
          <w:szCs w:val="32"/>
        </w:rPr>
      </w:pP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疾病预防控制中心</w:t>
      </w:r>
      <w:r>
        <w:rPr>
          <w:rFonts w:hint="eastAsia" w:ascii="仿宋_GB2312" w:hAnsi="仿宋" w:eastAsia="仿宋_GB2312" w:cs="宋体"/>
          <w:sz w:val="32"/>
          <w:szCs w:val="32"/>
          <w:lang w:bidi="ar"/>
        </w:rPr>
        <w:t>单位</w:t>
      </w:r>
      <w:r>
        <w:rPr>
          <w:rFonts w:hint="eastAsia" w:ascii="仿宋" w:hAnsi="仿宋" w:eastAsia="仿宋" w:cs="仿宋"/>
          <w:bCs/>
          <w:spacing w:val="-4"/>
          <w:sz w:val="32"/>
          <w:szCs w:val="32"/>
        </w:rPr>
        <w:t>严格按照内控相关制度和资金管理制度管理和支付资金。项目支付资金由项目执行人员、分管财务领导共同签字，召开财务事项集体会议讨论批准后实施，不存在截留、挤占、挪用、虚列支出等情况。</w:t>
      </w:r>
    </w:p>
    <w:p>
      <w:pPr>
        <w:pStyle w:val="24"/>
        <w:ind w:left="0" w:firstLine="643" w:firstLineChars="200"/>
        <w:rPr>
          <w:lang w:bidi="ar"/>
        </w:rPr>
      </w:pPr>
      <w:bookmarkStart w:id="2" w:name="_Toc26401551"/>
      <w:r>
        <w:rPr>
          <w:rFonts w:hint="eastAsia"/>
          <w:lang w:bidi="ar"/>
        </w:rPr>
        <w:t>绩效目标</w:t>
      </w:r>
      <w:bookmarkEnd w:id="2"/>
    </w:p>
    <w:p>
      <w:pPr>
        <w:pStyle w:val="24"/>
        <w:keepNext w:val="0"/>
        <w:keepLines w:val="0"/>
        <w:numPr>
          <w:ilvl w:val="1"/>
          <w:numId w:val="4"/>
        </w:numPr>
        <w:ind w:left="0" w:firstLine="640" w:firstLineChars="200"/>
        <w:rPr>
          <w:rFonts w:hint="eastAsia" w:hAnsi="仿宋" w:cs="宋体"/>
          <w:b w:val="0"/>
          <w:lang w:bidi="ar"/>
        </w:rPr>
      </w:pPr>
      <w:r>
        <w:rPr>
          <w:rFonts w:hint="eastAsia" w:hAnsi="仿宋" w:cs="宋体"/>
          <w:b w:val="0"/>
          <w:lang w:bidi="ar"/>
        </w:rPr>
        <w:t>总体目标为：采购食品安全风险监测相关仪器数量10件</w:t>
      </w:r>
      <w:r>
        <w:rPr>
          <w:rFonts w:hint="eastAsia" w:hAnsi="仿宋" w:cs="宋体"/>
          <w:b w:val="0"/>
          <w:lang w:eastAsia="zh-CN" w:bidi="ar"/>
        </w:rPr>
        <w:t>，</w:t>
      </w:r>
      <w:r>
        <w:rPr>
          <w:rFonts w:hint="eastAsia" w:hAnsi="仿宋" w:cs="宋体"/>
          <w:b w:val="0"/>
          <w:lang w:bidi="ar"/>
        </w:rPr>
        <w:t>根据要求规定完成试验室配备食品安全监测机构设备达标率在75%以上</w:t>
      </w:r>
      <w:r>
        <w:rPr>
          <w:rFonts w:hint="eastAsia" w:hAnsi="仿宋" w:cs="宋体"/>
          <w:b w:val="0"/>
          <w:lang w:eastAsia="zh-CN" w:bidi="ar"/>
        </w:rPr>
        <w:t>；</w:t>
      </w:r>
      <w:r>
        <w:rPr>
          <w:rFonts w:hint="eastAsia" w:hAnsi="仿宋" w:cs="宋体"/>
          <w:b w:val="0"/>
          <w:lang w:bidi="ar"/>
        </w:rPr>
        <w:t>根据食品安全风险监测工作方案的内容，完成不同的食品安全风险监测工作，包括：食品污染及食品中的有害因素监测；食源性疾病监测；食品中放射性污染监测。</w:t>
      </w:r>
    </w:p>
    <w:p>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项目性质：此项目为一次性项目</w:t>
      </w:r>
    </w:p>
    <w:p>
      <w:pPr>
        <w:spacing w:line="360" w:lineRule="auto"/>
        <w:ind w:firstLine="320" w:firstLineChars="100"/>
        <w:rPr>
          <w:rFonts w:hint="eastAsia" w:ascii="仿宋_GB2312" w:hAnsi="仿宋" w:eastAsia="仿宋" w:cs="宋体"/>
          <w:color w:val="FF0000"/>
          <w:sz w:val="32"/>
          <w:szCs w:val="32"/>
          <w:lang w:eastAsia="zh-CN" w:bidi="ar"/>
        </w:rPr>
      </w:pPr>
      <w:r>
        <w:rPr>
          <w:rFonts w:hint="eastAsia" w:ascii="仿宋" w:hAnsi="仿宋" w:eastAsia="仿宋" w:cs="仿宋"/>
          <w:sz w:val="32"/>
          <w:szCs w:val="32"/>
        </w:rPr>
        <w:t>主要内容和涉及范围：采购10台食品风险检测仪器设备，涉及喀什地区疾控中心本级</w:t>
      </w:r>
      <w:r>
        <w:rPr>
          <w:rFonts w:hint="eastAsia" w:ascii="仿宋" w:hAnsi="仿宋" w:eastAsia="仿宋" w:cs="仿宋"/>
          <w:sz w:val="32"/>
          <w:szCs w:val="32"/>
          <w:lang w:eastAsia="zh-CN"/>
        </w:rPr>
        <w:t>，</w:t>
      </w:r>
      <w:r>
        <w:rPr>
          <w:rFonts w:hint="eastAsia" w:ascii="仿宋_GB2312" w:hAnsi="仿宋" w:eastAsia="仿宋_GB2312" w:cs="宋体"/>
          <w:sz w:val="32"/>
          <w:szCs w:val="32"/>
          <w:lang w:bidi="ar"/>
        </w:rPr>
        <w:t>绩效目标申报表详见附件1。</w:t>
      </w:r>
    </w:p>
    <w:p>
      <w:pPr>
        <w:pStyle w:val="22"/>
        <w:numPr>
          <w:ilvl w:val="0"/>
          <w:numId w:val="2"/>
        </w:numPr>
        <w:ind w:firstLineChars="0"/>
        <w:rPr>
          <w:lang w:bidi="ar"/>
        </w:rPr>
      </w:pPr>
      <w:bookmarkStart w:id="3" w:name="_Toc26401552"/>
      <w:r>
        <w:rPr>
          <w:rFonts w:hint="eastAsia"/>
          <w:lang w:bidi="ar"/>
        </w:rPr>
        <w:t>评价工作简述</w:t>
      </w:r>
      <w:bookmarkEnd w:id="3"/>
    </w:p>
    <w:p>
      <w:pPr>
        <w:pStyle w:val="24"/>
        <w:numPr>
          <w:ilvl w:val="0"/>
          <w:numId w:val="5"/>
        </w:numPr>
        <w:ind w:left="0" w:firstLine="643" w:firstLineChars="200"/>
        <w:rPr>
          <w:lang w:bidi="ar"/>
        </w:rPr>
      </w:pPr>
      <w:bookmarkStart w:id="4" w:name="_Toc26401553"/>
      <w:r>
        <w:rPr>
          <w:rFonts w:hint="eastAsia"/>
          <w:lang w:bidi="ar"/>
        </w:rPr>
        <w:t>评价目的</w:t>
      </w:r>
      <w:bookmarkEnd w:id="4"/>
    </w:p>
    <w:p>
      <w:pPr>
        <w:spacing w:line="540" w:lineRule="exact"/>
        <w:ind w:firstLine="640" w:firstLineChars="200"/>
        <w:rPr>
          <w:rFonts w:hint="eastAsia" w:ascii="仿宋_GB2312" w:hAnsi="仿宋_GB2312" w:eastAsia="仿宋_GB2312" w:cs="仿宋_GB2312"/>
          <w:kern w:val="0"/>
          <w:sz w:val="32"/>
          <w:szCs w:val="32"/>
          <w:shd w:val="clear" w:color="auto" w:fill="FFFFFF"/>
          <w:lang w:bidi="ar"/>
        </w:rPr>
      </w:pPr>
      <w:r>
        <w:rPr>
          <w:rFonts w:hint="eastAsia" w:ascii="仿宋_GB2312" w:hAnsi="仿宋" w:eastAsia="仿宋_GB2312" w:cs="宋体"/>
          <w:sz w:val="32"/>
          <w:szCs w:val="32"/>
          <w:lang w:bidi="ar"/>
        </w:rPr>
        <w:t>本次绩效评价遵循财政部《项目</w:t>
      </w:r>
      <w:r>
        <w:rPr>
          <w:rFonts w:ascii="仿宋_GB2312" w:hAnsi="仿宋" w:eastAsia="仿宋_GB2312" w:cs="宋体"/>
          <w:sz w:val="32"/>
          <w:szCs w:val="32"/>
          <w:lang w:bidi="ar"/>
        </w:rPr>
        <w:t>支出绩效评价管理办法》（财预〔2020〕10号）和自治区财政厅</w:t>
      </w:r>
      <w:r>
        <w:rPr>
          <w:rFonts w:hint="eastAsia" w:ascii="仿宋_GB2312" w:hAnsi="仿宋_GB2312" w:eastAsia="仿宋_GB2312" w:cs="仿宋_GB2312"/>
          <w:kern w:val="0"/>
          <w:sz w:val="32"/>
          <w:szCs w:val="32"/>
          <w:shd w:val="clear" w:color="auto" w:fill="FFFFFF"/>
          <w:lang w:bidi="ar"/>
        </w:rPr>
        <w:t>《自治区财政支出绩效评价管理暂行办法》（新财预〔</w:t>
      </w:r>
      <w:r>
        <w:rPr>
          <w:rFonts w:ascii="仿宋_GB2312" w:hAnsi="仿宋_GB2312" w:eastAsia="仿宋_GB2312" w:cs="仿宋_GB2312"/>
          <w:kern w:val="0"/>
          <w:sz w:val="32"/>
          <w:szCs w:val="32"/>
          <w:shd w:val="clear" w:color="auto" w:fill="FFFFFF"/>
          <w:lang w:bidi="ar"/>
        </w:rPr>
        <w:t>2018〕189号</w:t>
      </w:r>
      <w:r>
        <w:rPr>
          <w:rFonts w:hint="eastAsia" w:ascii="仿宋_GB2312" w:hAnsi="仿宋_GB2312" w:eastAsia="仿宋_GB2312" w:cs="仿宋_GB2312"/>
          <w:kern w:val="0"/>
          <w:sz w:val="32"/>
          <w:szCs w:val="32"/>
          <w:shd w:val="clear" w:color="auto" w:fill="FFFFFF"/>
          <w:lang w:bidi="ar"/>
        </w:rPr>
        <w:t>）</w:t>
      </w:r>
      <w:r>
        <w:rPr>
          <w:rFonts w:ascii="仿宋_GB2312" w:hAnsi="仿宋" w:eastAsia="仿宋_GB2312" w:cs="宋体"/>
          <w:sz w:val="32"/>
          <w:szCs w:val="32"/>
          <w:lang w:bidi="ar"/>
        </w:rPr>
        <w:t>等相关政策文件与规定，</w:t>
      </w:r>
      <w:r>
        <w:rPr>
          <w:rFonts w:hint="eastAsia" w:ascii="仿宋_GB2312" w:hAnsi="仿宋" w:eastAsia="仿宋_GB2312" w:cs="宋体"/>
          <w:sz w:val="32"/>
          <w:szCs w:val="32"/>
          <w:lang w:bidi="ar"/>
        </w:rPr>
        <w:t>旨在</w:t>
      </w:r>
      <w:r>
        <w:rPr>
          <w:rFonts w:hint="eastAsia" w:ascii="仿宋_GB2312" w:hAnsi="仿宋_GB2312" w:eastAsia="仿宋_GB2312" w:cs="仿宋_GB2312"/>
          <w:kern w:val="0"/>
          <w:sz w:val="32"/>
          <w:szCs w:val="32"/>
          <w:shd w:val="clear" w:color="auto" w:fill="FFFFFF"/>
          <w:lang w:bidi="ar"/>
        </w:rPr>
        <w:t>评价本项目的主要产出和效果：一是：2019年12月已完成采购食品安全风险监测相关仪器10件（开箱验收、安装调试完毕），并且按照合同支付</w:t>
      </w:r>
      <w:r>
        <w:rPr>
          <w:rFonts w:hint="eastAsia" w:ascii="仿宋_GB2312" w:hAnsi="仿宋_GB2312" w:eastAsia="仿宋_GB2312" w:cs="仿宋_GB2312"/>
          <w:kern w:val="0"/>
          <w:sz w:val="32"/>
          <w:szCs w:val="32"/>
          <w:shd w:val="clear" w:color="auto" w:fill="FFFFFF"/>
          <w:lang w:eastAsia="zh-CN" w:bidi="ar"/>
        </w:rPr>
        <w:t>；</w:t>
      </w:r>
      <w:r>
        <w:rPr>
          <w:rFonts w:hint="eastAsia" w:ascii="仿宋_GB2312" w:hAnsi="仿宋_GB2312" w:eastAsia="仿宋_GB2312" w:cs="仿宋_GB2312"/>
          <w:kern w:val="0"/>
          <w:sz w:val="32"/>
          <w:szCs w:val="32"/>
          <w:shd w:val="clear" w:color="auto" w:fill="FFFFFF"/>
          <w:lang w:bidi="ar"/>
        </w:rPr>
        <w:t>二是：10台仪器设备有效提升了业务保障能力，实验室使用人员非常满意，满意率大于90%</w:t>
      </w:r>
      <w:r>
        <w:rPr>
          <w:rFonts w:hint="eastAsia" w:ascii="仿宋_GB2312" w:hAnsi="仿宋_GB2312" w:eastAsia="仿宋_GB2312" w:cs="仿宋_GB2312"/>
          <w:kern w:val="0"/>
          <w:sz w:val="32"/>
          <w:szCs w:val="32"/>
          <w:shd w:val="clear" w:color="auto" w:fill="FFFFFF"/>
          <w:lang w:eastAsia="zh-CN" w:bidi="ar"/>
        </w:rPr>
        <w:t>。</w:t>
      </w:r>
      <w:r>
        <w:rPr>
          <w:rFonts w:hint="eastAsia" w:ascii="仿宋_GB2312" w:hAnsi="仿宋_GB2312" w:eastAsia="仿宋_GB2312" w:cs="仿宋_GB2312"/>
          <w:kern w:val="0"/>
          <w:sz w:val="32"/>
          <w:szCs w:val="32"/>
          <w:shd w:val="clear" w:color="auto" w:fill="FFFFFF"/>
          <w:lang w:bidi="ar"/>
        </w:rPr>
        <w:t>显著提升</w:t>
      </w:r>
      <w:r>
        <w:rPr>
          <w:rFonts w:hint="eastAsia" w:ascii="仿宋_GB2312" w:hAnsi="仿宋_GB2312" w:eastAsia="仿宋_GB2312" w:cs="仿宋_GB2312"/>
          <w:kern w:val="0"/>
          <w:sz w:val="32"/>
          <w:szCs w:val="32"/>
          <w:shd w:val="clear" w:color="auto" w:fill="FFFFFF"/>
          <w:lang w:eastAsia="zh-CN" w:bidi="ar"/>
        </w:rPr>
        <w:t>我中心检测人员水平及</w:t>
      </w:r>
      <w:r>
        <w:rPr>
          <w:rFonts w:hint="eastAsia" w:ascii="仿宋_GB2312" w:hAnsi="仿宋_GB2312" w:eastAsia="仿宋_GB2312" w:cs="仿宋_GB2312"/>
          <w:kern w:val="0"/>
          <w:sz w:val="32"/>
          <w:szCs w:val="32"/>
          <w:shd w:val="clear" w:color="auto" w:fill="FFFFFF"/>
          <w:lang w:bidi="ar"/>
        </w:rPr>
        <w:t>能力；达到的效果是对项目实施结果进行综合分析，对出现的偏差制订改进措施，</w:t>
      </w:r>
      <w:r>
        <w:rPr>
          <w:rFonts w:hint="eastAsia" w:ascii="仿宋_GB2312" w:hAnsi="仿宋_GB2312" w:eastAsia="仿宋_GB2312" w:cs="仿宋_GB2312"/>
          <w:kern w:val="0"/>
          <w:sz w:val="32"/>
          <w:szCs w:val="32"/>
          <w:shd w:val="clear" w:color="auto" w:fill="FFFFFF"/>
          <w:lang w:eastAsia="zh-CN" w:bidi="ar"/>
        </w:rPr>
        <w:t>为保障食品安全保驾护航，</w:t>
      </w:r>
      <w:r>
        <w:rPr>
          <w:rFonts w:hint="eastAsia" w:ascii="仿宋_GB2312" w:hAnsi="仿宋_GB2312" w:eastAsia="仿宋_GB2312" w:cs="仿宋_GB2312"/>
          <w:kern w:val="0"/>
          <w:sz w:val="32"/>
          <w:szCs w:val="32"/>
          <w:shd w:val="clear" w:color="auto" w:fill="FFFFFF"/>
          <w:lang w:bidi="ar"/>
        </w:rPr>
        <w:t>为喀什地区</w:t>
      </w:r>
      <w:r>
        <w:rPr>
          <w:rFonts w:hint="eastAsia" w:ascii="仿宋_GB2312" w:hAnsi="仿宋_GB2312" w:eastAsia="仿宋_GB2312" w:cs="仿宋_GB2312"/>
          <w:kern w:val="0"/>
          <w:sz w:val="32"/>
          <w:szCs w:val="32"/>
          <w:shd w:val="clear" w:color="auto" w:fill="FFFFFF"/>
          <w:lang w:eastAsia="zh-CN" w:bidi="ar"/>
        </w:rPr>
        <w:t>食品检测</w:t>
      </w:r>
      <w:r>
        <w:rPr>
          <w:rFonts w:hint="eastAsia" w:ascii="仿宋_GB2312" w:hAnsi="仿宋_GB2312" w:eastAsia="仿宋_GB2312" w:cs="仿宋_GB2312"/>
          <w:kern w:val="0"/>
          <w:sz w:val="32"/>
          <w:szCs w:val="32"/>
          <w:shd w:val="clear" w:color="auto" w:fill="FFFFFF"/>
          <w:lang w:bidi="ar"/>
        </w:rPr>
        <w:t>业务项目今后的开展提供参考建议。</w:t>
      </w:r>
    </w:p>
    <w:p>
      <w:pPr>
        <w:pStyle w:val="24"/>
        <w:numPr>
          <w:ilvl w:val="0"/>
          <w:numId w:val="5"/>
        </w:numPr>
        <w:ind w:left="0" w:firstLine="643" w:firstLineChars="200"/>
        <w:rPr>
          <w:lang w:bidi="ar"/>
        </w:rPr>
      </w:pPr>
      <w:r>
        <w:rPr>
          <w:rFonts w:hint="eastAsia"/>
          <w:lang w:bidi="ar"/>
        </w:rPr>
        <w:t>本次绩效评价的对象及范围</w:t>
      </w:r>
      <w:bookmarkStart w:id="5" w:name="_Toc26401554"/>
    </w:p>
    <w:p>
      <w:pPr>
        <w:spacing w:line="360" w:lineRule="auto"/>
        <w:ind w:firstLine="800" w:firstLineChars="250"/>
        <w:rPr>
          <w:rFonts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 w:hAnsi="仿宋" w:eastAsia="仿宋" w:cs="仿宋"/>
          <w:sz w:val="32"/>
          <w:szCs w:val="32"/>
        </w:rPr>
        <w:t>采购10台食品风险检测仪器设备</w:t>
      </w:r>
      <w:r>
        <w:rPr>
          <w:rFonts w:hint="eastAsia" w:ascii="仿宋" w:hAnsi="仿宋" w:eastAsia="仿宋" w:cs="仿宋"/>
          <w:sz w:val="32"/>
          <w:szCs w:val="32"/>
          <w:lang w:eastAsia="zh-CN"/>
        </w:rPr>
        <w:t>项目资金</w:t>
      </w:r>
      <w:r>
        <w:rPr>
          <w:rFonts w:hint="eastAsia" w:ascii="仿宋" w:hAnsi="仿宋" w:eastAsia="仿宋" w:cs="仿宋"/>
          <w:sz w:val="32"/>
          <w:szCs w:val="32"/>
        </w:rPr>
        <w:t>，涉及喀什地区疾控中心本级</w:t>
      </w:r>
      <w:r>
        <w:rPr>
          <w:rFonts w:ascii="仿宋_GB2312" w:hAnsi="仿宋" w:eastAsia="仿宋_GB2312" w:cs="宋体"/>
          <w:sz w:val="32"/>
          <w:szCs w:val="32"/>
          <w:lang w:bidi="ar"/>
        </w:rPr>
        <w:t>项目资金，评价范围包括专项资</w:t>
      </w:r>
      <w:r>
        <w:rPr>
          <w:rFonts w:hint="eastAsia" w:ascii="仿宋_GB2312" w:hAnsi="仿宋" w:eastAsia="仿宋_GB2312" w:cs="宋体"/>
          <w:sz w:val="32"/>
          <w:szCs w:val="32"/>
          <w:lang w:bidi="ar"/>
        </w:rPr>
        <w:t>金的安排、组织及使用效益。</w:t>
      </w:r>
    </w:p>
    <w:p>
      <w:pPr>
        <w:pStyle w:val="24"/>
        <w:numPr>
          <w:ilvl w:val="0"/>
          <w:numId w:val="5"/>
        </w:numPr>
        <w:ind w:left="0" w:firstLine="643" w:firstLineChars="200"/>
        <w:rPr>
          <w:lang w:bidi="ar"/>
        </w:rPr>
      </w:pPr>
      <w:r>
        <w:rPr>
          <w:rFonts w:hint="eastAsia"/>
          <w:lang w:bidi="ar"/>
        </w:rPr>
        <w:t>绩效评价原则</w:t>
      </w:r>
      <w:bookmarkEnd w:id="5"/>
    </w:p>
    <w:p>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4"/>
        <w:keepNext w:val="0"/>
        <w:keepLines w:val="0"/>
        <w:numPr>
          <w:ilvl w:val="0"/>
          <w:numId w:val="0"/>
        </w:numPr>
        <w:ind w:leftChars="200" w:firstLine="320" w:firstLineChars="100"/>
        <w:rPr>
          <w:rFonts w:hAnsi="仿宋" w:cs="宋体"/>
          <w:b w:val="0"/>
          <w:lang w:bidi="ar"/>
        </w:rPr>
      </w:pPr>
      <w:r>
        <w:rPr>
          <w:rFonts w:hint="eastAsia" w:hAnsi="仿宋" w:cs="宋体"/>
          <w:b w:val="0"/>
          <w:lang w:val="en-US" w:eastAsia="zh-CN" w:bidi="ar"/>
        </w:rPr>
        <w:t>1.</w:t>
      </w:r>
      <w:r>
        <w:rPr>
          <w:rFonts w:hint="eastAsia" w:hAnsi="仿宋" w:cs="宋体"/>
          <w:b w:val="0"/>
          <w:lang w:bidi="ar"/>
        </w:rPr>
        <w:t>科学公正。绩效评价应当运用科学合理的方法，按照规范的程序，对项目绩效进行客观、公正的反映。</w:t>
      </w:r>
    </w:p>
    <w:p>
      <w:pPr>
        <w:pStyle w:val="24"/>
        <w:keepNext w:val="0"/>
        <w:keepLines w:val="0"/>
        <w:numPr>
          <w:ilvl w:val="0"/>
          <w:numId w:val="0"/>
        </w:numPr>
        <w:ind w:leftChars="200" w:firstLine="320" w:firstLineChars="100"/>
        <w:rPr>
          <w:rFonts w:hAnsi="仿宋" w:cs="宋体"/>
          <w:b w:val="0"/>
          <w:lang w:bidi="ar"/>
        </w:rPr>
      </w:pPr>
      <w:r>
        <w:rPr>
          <w:rFonts w:hint="eastAsia" w:hAnsi="仿宋" w:cs="宋体"/>
          <w:b w:val="0"/>
          <w:lang w:val="en-US" w:eastAsia="zh-CN" w:bidi="ar"/>
        </w:rPr>
        <w:t>2.</w:t>
      </w: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4"/>
        <w:keepNext w:val="0"/>
        <w:keepLines w:val="0"/>
        <w:numPr>
          <w:ilvl w:val="0"/>
          <w:numId w:val="0"/>
        </w:numPr>
        <w:ind w:leftChars="200" w:firstLine="320" w:firstLineChars="100"/>
        <w:rPr>
          <w:rFonts w:hAnsi="仿宋" w:cs="宋体"/>
          <w:b w:val="0"/>
          <w:lang w:bidi="ar"/>
        </w:rPr>
      </w:pPr>
      <w:r>
        <w:rPr>
          <w:rFonts w:hint="eastAsia" w:hAnsi="仿宋" w:cs="宋体"/>
          <w:b w:val="0"/>
          <w:lang w:val="en-US" w:eastAsia="zh-CN" w:bidi="ar"/>
        </w:rPr>
        <w:t>3.</w:t>
      </w: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4"/>
        <w:keepNext w:val="0"/>
        <w:keepLines w:val="0"/>
        <w:numPr>
          <w:ilvl w:val="0"/>
          <w:numId w:val="0"/>
        </w:numPr>
        <w:ind w:leftChars="200" w:firstLine="320" w:firstLineChars="100"/>
        <w:rPr>
          <w:b w:val="0"/>
          <w:lang w:bidi="ar"/>
        </w:rPr>
      </w:pPr>
      <w:r>
        <w:rPr>
          <w:rFonts w:hint="eastAsia" w:hAnsi="仿宋" w:cs="宋体"/>
          <w:b w:val="0"/>
          <w:lang w:val="en-US" w:eastAsia="zh-CN" w:bidi="ar"/>
        </w:rPr>
        <w:t>4.</w:t>
      </w:r>
      <w:r>
        <w:rPr>
          <w:rFonts w:hint="eastAsia" w:hAnsi="仿宋" w:cs="宋体"/>
          <w:b w:val="0"/>
          <w:lang w:bidi="ar"/>
        </w:rPr>
        <w:t>公开透明。绩效评价结果应依法依规公开，并自觉接受社会监督。</w:t>
      </w:r>
      <w:r>
        <w:rPr>
          <w:rFonts w:hint="eastAsia"/>
          <w:b w:val="0"/>
          <w:lang w:bidi="ar"/>
        </w:rPr>
        <w:t>绩效评价体系</w:t>
      </w:r>
    </w:p>
    <w:p>
      <w:pPr>
        <w:pStyle w:val="24"/>
        <w:numPr>
          <w:ilvl w:val="0"/>
          <w:numId w:val="5"/>
        </w:numPr>
        <w:ind w:left="0" w:firstLine="643" w:firstLineChars="200"/>
        <w:rPr>
          <w:lang w:bidi="ar"/>
        </w:rPr>
      </w:pPr>
      <w:r>
        <w:rPr>
          <w:rFonts w:hint="eastAsia"/>
          <w:lang w:bidi="ar"/>
        </w:rPr>
        <w:t>本项目绩效评价体系</w:t>
      </w:r>
    </w:p>
    <w:p>
      <w:pPr>
        <w:pStyle w:val="24"/>
        <w:keepNext w:val="0"/>
        <w:keepLines w:val="0"/>
        <w:numPr>
          <w:ilvl w:val="0"/>
          <w:numId w:val="0"/>
        </w:numPr>
        <w:ind w:leftChars="200" w:firstLine="320" w:firstLineChars="100"/>
        <w:rPr>
          <w:rFonts w:hint="eastAsia" w:hAnsi="仿宋" w:cs="宋体"/>
          <w:b w:val="0"/>
          <w:lang w:eastAsia="zh-CN" w:bidi="ar"/>
        </w:rPr>
      </w:pPr>
      <w:r>
        <w:rPr>
          <w:rFonts w:hint="eastAsia" w:hAnsi="仿宋" w:cs="宋体"/>
          <w:b w:val="0"/>
          <w:lang w:bidi="ar"/>
        </w:rPr>
        <w:t>本项目绩效评价体系为根据《关于2017年国务院食安委食品安全工作评议考核通报问题整改措施落实情况进行跟踪落实情况的通知》（新政督发【2018】93号）</w:t>
      </w:r>
      <w:r>
        <w:rPr>
          <w:rFonts w:hint="eastAsia" w:hAnsi="仿宋" w:cs="宋体"/>
          <w:b w:val="0"/>
          <w:lang w:eastAsia="zh-CN" w:bidi="ar"/>
        </w:rPr>
        <w:t>，</w:t>
      </w:r>
      <w:r>
        <w:rPr>
          <w:rFonts w:hint="eastAsia" w:hAnsi="仿宋" w:cs="宋体"/>
          <w:b w:val="0"/>
          <w:lang w:bidi="ar"/>
        </w:rPr>
        <w:t>财预﹝2020﹞10号共性指标及个性化指标设置</w:t>
      </w:r>
      <w:r>
        <w:rPr>
          <w:rFonts w:hint="eastAsia" w:hAnsi="仿宋" w:cs="宋体"/>
          <w:b w:val="0"/>
          <w:lang w:eastAsia="zh-CN" w:bidi="ar"/>
        </w:rPr>
        <w:t>。</w:t>
      </w:r>
      <w:r>
        <w:rPr>
          <w:rFonts w:hint="eastAsia" w:hAnsi="仿宋" w:cs="宋体"/>
          <w:b w:val="0"/>
          <w:lang w:bidi="ar"/>
        </w:rPr>
        <w:t>详见附件</w:t>
      </w:r>
      <w:r>
        <w:rPr>
          <w:rFonts w:hint="eastAsia" w:hAnsi="仿宋" w:cs="宋体"/>
          <w:b w:val="0"/>
          <w:lang w:val="en-US" w:eastAsia="zh-CN" w:bidi="ar"/>
        </w:rPr>
        <w:t>4</w:t>
      </w:r>
      <w:r>
        <w:rPr>
          <w:rFonts w:hint="eastAsia" w:hAnsi="仿宋" w:cs="宋体"/>
          <w:b w:val="0"/>
          <w:lang w:bidi="ar"/>
        </w:rPr>
        <w:t>。</w:t>
      </w:r>
    </w:p>
    <w:p>
      <w:pPr>
        <w:pStyle w:val="24"/>
        <w:keepNext w:val="0"/>
        <w:keepLines w:val="0"/>
        <w:numPr>
          <w:ilvl w:val="0"/>
          <w:numId w:val="5"/>
        </w:numPr>
        <w:ind w:left="0" w:firstLine="643" w:firstLineChars="200"/>
        <w:rPr>
          <w:lang w:bidi="ar"/>
        </w:rPr>
      </w:pPr>
      <w:bookmarkStart w:id="6" w:name="_Toc26401555"/>
      <w:r>
        <w:rPr>
          <w:rFonts w:hint="eastAsia"/>
          <w:lang w:bidi="ar"/>
        </w:rPr>
        <w:t>绩效评价方法</w:t>
      </w:r>
      <w:bookmarkEnd w:id="6"/>
    </w:p>
    <w:p>
      <w:pPr>
        <w:spacing w:before="120" w:beforeLines="50" w:line="600" w:lineRule="exact"/>
        <w:ind w:firstLine="645"/>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本次绩效评价方法的选用坚持简便有效的原则采用成本效益分析法、比较法、因素分析法、最低成本法、问卷调查法、综合分析法等方法。</w:t>
      </w:r>
    </w:p>
    <w:p>
      <w:pPr>
        <w:pStyle w:val="24"/>
        <w:keepNext w:val="0"/>
        <w:keepLines w:val="0"/>
        <w:numPr>
          <w:ilvl w:val="0"/>
          <w:numId w:val="5"/>
        </w:numPr>
        <w:ind w:left="0" w:firstLine="643" w:firstLineChars="200"/>
        <w:rPr>
          <w:lang w:bidi="ar"/>
        </w:rPr>
      </w:pPr>
      <w:r>
        <w:rPr>
          <w:rFonts w:hint="eastAsia"/>
          <w:lang w:bidi="ar"/>
        </w:rPr>
        <w:t>评价标准</w:t>
      </w:r>
    </w:p>
    <w:p>
      <w:pPr>
        <w:pStyle w:val="24"/>
        <w:keepNext w:val="0"/>
        <w:keepLines w:val="0"/>
        <w:numPr>
          <w:ilvl w:val="0"/>
          <w:numId w:val="0"/>
        </w:numPr>
        <w:rPr>
          <w:lang w:bidi="ar"/>
        </w:rPr>
      </w:pPr>
      <w:r>
        <w:rPr>
          <w:rFonts w:hint="eastAsia"/>
          <w:lang w:bidi="ar"/>
        </w:rPr>
        <w:t xml:space="preserve"> </w:t>
      </w:r>
      <w:r>
        <w:rPr>
          <w:lang w:bidi="ar"/>
        </w:rPr>
        <w:t xml:space="preserve">   </w:t>
      </w:r>
      <w:r>
        <w:rPr>
          <w:rFonts w:hint="eastAsia"/>
          <w:lang w:bidi="ar"/>
        </w:rPr>
        <w:t>项目评价标准采用</w:t>
      </w:r>
      <w:r>
        <w:rPr>
          <w:rFonts w:hint="eastAsia"/>
          <w:bCs w:val="0"/>
        </w:rPr>
        <w:t>计划标准。</w:t>
      </w:r>
    </w:p>
    <w:p>
      <w:pPr>
        <w:pStyle w:val="24"/>
        <w:keepNext w:val="0"/>
        <w:keepLines w:val="0"/>
        <w:numPr>
          <w:ilvl w:val="0"/>
          <w:numId w:val="5"/>
        </w:numPr>
        <w:ind w:left="0" w:firstLine="643" w:firstLineChars="200"/>
        <w:rPr>
          <w:lang w:bidi="ar"/>
        </w:rPr>
      </w:pPr>
      <w:r>
        <w:rPr>
          <w:rFonts w:hint="eastAsia"/>
          <w:lang w:bidi="ar"/>
        </w:rPr>
        <w:t>绩效评价工作过程</w:t>
      </w:r>
    </w:p>
    <w:p>
      <w:pPr>
        <w:pStyle w:val="24"/>
        <w:keepNext w:val="0"/>
        <w:keepLines w:val="0"/>
        <w:numPr>
          <w:ilvl w:val="0"/>
          <w:numId w:val="0"/>
        </w:numPr>
        <w:ind w:firstLine="640" w:firstLineChars="200"/>
        <w:outlineLvl w:val="9"/>
        <w:rPr>
          <w:b w:val="0"/>
          <w:bCs w:val="0"/>
          <w:lang w:bidi="ar"/>
        </w:rPr>
      </w:pPr>
      <w:r>
        <w:rPr>
          <w:rFonts w:hint="eastAsia"/>
          <w:b w:val="0"/>
          <w:bCs w:val="0"/>
          <w:lang w:bidi="ar"/>
        </w:rPr>
        <w:t>本次评价成立了评价，成员如下：</w:t>
      </w:r>
    </w:p>
    <w:tbl>
      <w:tblPr>
        <w:tblStyle w:val="1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评价人</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职责</w:t>
            </w:r>
          </w:p>
        </w:tc>
        <w:tc>
          <w:tcPr>
            <w:tcW w:w="2766"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rFonts w:hint="eastAsia"/>
                <w:b w:val="0"/>
                <w:bCs w:val="0"/>
                <w:lang w:bidi="ar"/>
              </w:rPr>
            </w:pPr>
            <w:r>
              <w:rPr>
                <w:rFonts w:hint="eastAsia"/>
                <w:b w:val="0"/>
                <w:bCs w:val="0"/>
                <w:lang w:bidi="ar"/>
              </w:rPr>
              <w:t>李新威</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评价组组长</w:t>
            </w:r>
          </w:p>
        </w:tc>
        <w:tc>
          <w:tcPr>
            <w:tcW w:w="2766" w:type="dxa"/>
            <w:vAlign w:val="center"/>
          </w:tcPr>
          <w:p>
            <w:pPr>
              <w:pStyle w:val="24"/>
              <w:keepNext w:val="0"/>
              <w:keepLines w:val="0"/>
              <w:numPr>
                <w:ilvl w:val="0"/>
                <w:numId w:val="0"/>
              </w:numPr>
              <w:spacing w:line="240" w:lineRule="atLeast"/>
              <w:jc w:val="both"/>
              <w:rPr>
                <w:rFonts w:hint="eastAsia" w:eastAsia="仿宋_GB2312"/>
                <w:b w:val="0"/>
                <w:bCs w:val="0"/>
                <w:lang w:eastAsia="zh-CN" w:bidi="ar"/>
              </w:rPr>
            </w:pPr>
            <w:r>
              <w:rPr>
                <w:rFonts w:hint="eastAsia"/>
                <w:b w:val="0"/>
                <w:bCs w:val="0"/>
                <w:lang w:eastAsia="zh-CN" w:bidi="ar"/>
              </w:rPr>
              <w:t>疾控中心副主任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rFonts w:hint="eastAsia"/>
                <w:b w:val="0"/>
                <w:bCs w:val="0"/>
                <w:lang w:bidi="ar"/>
              </w:rPr>
            </w:pPr>
            <w:r>
              <w:rPr>
                <w:rFonts w:hint="eastAsia"/>
                <w:b w:val="0"/>
                <w:bCs w:val="0"/>
                <w:lang w:bidi="ar"/>
              </w:rPr>
              <w:t>尼加提艾白都拉</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评价组成员</w:t>
            </w:r>
          </w:p>
        </w:tc>
        <w:tc>
          <w:tcPr>
            <w:tcW w:w="2766"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总务科科长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rFonts w:hint="eastAsia"/>
                <w:b w:val="0"/>
                <w:bCs w:val="0"/>
                <w:lang w:bidi="ar"/>
              </w:rPr>
            </w:pPr>
            <w:r>
              <w:rPr>
                <w:rFonts w:hint="eastAsia"/>
                <w:b w:val="0"/>
                <w:bCs w:val="0"/>
                <w:lang w:bidi="ar"/>
              </w:rPr>
              <w:t>王勇</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评价组成员</w:t>
            </w:r>
          </w:p>
        </w:tc>
        <w:tc>
          <w:tcPr>
            <w:tcW w:w="2766"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科员</w:t>
            </w:r>
          </w:p>
        </w:tc>
      </w:tr>
    </w:tbl>
    <w:p>
      <w:pPr>
        <w:pStyle w:val="24"/>
        <w:keepNext w:val="0"/>
        <w:keepLines w:val="0"/>
        <w:pageBreakBefore w:val="0"/>
        <w:widowControl/>
        <w:numPr>
          <w:ilvl w:val="0"/>
          <w:numId w:val="0"/>
        </w:numPr>
        <w:kinsoku/>
        <w:wordWrap/>
        <w:overflowPunct/>
        <w:topLinePunct w:val="0"/>
        <w:autoSpaceDE/>
        <w:autoSpaceDN/>
        <w:bidi w:val="0"/>
        <w:adjustRightInd/>
        <w:snapToGrid/>
        <w:ind w:firstLine="640" w:firstLineChars="200"/>
        <w:textAlignment w:val="auto"/>
        <w:outlineLvl w:val="9"/>
        <w:rPr>
          <w:rFonts w:hint="eastAsia"/>
          <w:b w:val="0"/>
          <w:bCs w:val="0"/>
          <w:lang w:bidi="ar"/>
        </w:rPr>
      </w:pPr>
      <w:r>
        <w:rPr>
          <w:rFonts w:hint="eastAsia"/>
          <w:b w:val="0"/>
          <w:bCs w:val="0"/>
          <w:lang w:bidi="ar"/>
        </w:rPr>
        <w:t>本次评价设计了评价方案、评价指标体系，通过资料分析、访谈满意度调查等方式形成评价结论，在与项目单位沟通后确定评价意见，并出具评价报告。　</w:t>
      </w:r>
      <w:bookmarkStart w:id="7" w:name="_Toc26401558"/>
    </w:p>
    <w:p>
      <w:pPr>
        <w:pStyle w:val="24"/>
        <w:keepNext w:val="0"/>
        <w:keepLines w:val="0"/>
        <w:pageBreakBefore w:val="0"/>
        <w:widowControl/>
        <w:numPr>
          <w:ilvl w:val="0"/>
          <w:numId w:val="0"/>
        </w:numPr>
        <w:kinsoku/>
        <w:wordWrap/>
        <w:overflowPunct/>
        <w:topLinePunct w:val="0"/>
        <w:autoSpaceDE/>
        <w:autoSpaceDN/>
        <w:bidi w:val="0"/>
        <w:adjustRightInd/>
        <w:snapToGrid/>
        <w:ind w:firstLine="643" w:firstLineChars="200"/>
        <w:textAlignment w:val="auto"/>
        <w:outlineLvl w:val="9"/>
        <w:rPr>
          <w:rFonts w:hint="eastAsia" w:ascii="黑体" w:hAnsi="黑体" w:eastAsia="黑体" w:cs="黑体"/>
        </w:rPr>
      </w:pPr>
      <w:r>
        <w:rPr>
          <w:rFonts w:hint="eastAsia" w:ascii="黑体" w:hAnsi="黑体" w:eastAsia="黑体" w:cs="黑体"/>
          <w:lang w:eastAsia="zh-CN"/>
        </w:rPr>
        <w:t>三、</w:t>
      </w:r>
      <w:r>
        <w:rPr>
          <w:rFonts w:hint="eastAsia" w:ascii="黑体" w:hAnsi="黑体" w:eastAsia="黑体" w:cs="黑体"/>
        </w:rPr>
        <w:t>综合评价情况及评价结论</w:t>
      </w:r>
    </w:p>
    <w:p>
      <w:pPr>
        <w:pStyle w:val="24"/>
        <w:keepNext w:val="0"/>
        <w:keepLines w:val="0"/>
        <w:pageBreakBefore w:val="0"/>
        <w:widowControl/>
        <w:numPr>
          <w:ilvl w:val="0"/>
          <w:numId w:val="0"/>
        </w:numPr>
        <w:kinsoku/>
        <w:wordWrap/>
        <w:overflowPunct/>
        <w:topLinePunct w:val="0"/>
        <w:autoSpaceDE/>
        <w:autoSpaceDN/>
        <w:bidi w:val="0"/>
        <w:adjustRightInd/>
        <w:snapToGrid/>
        <w:ind w:leftChars="200" w:firstLine="320" w:firstLineChars="100"/>
        <w:textAlignment w:val="auto"/>
        <w:outlineLvl w:val="9"/>
        <w:rPr>
          <w:rFonts w:hint="eastAsia" w:ascii="仿宋_GB2312" w:eastAsia="仿宋_GB2312" w:hAnsiTheme="majorHAnsi"/>
          <w:b w:val="0"/>
          <w:bCs w:val="0"/>
          <w:kern w:val="2"/>
          <w:lang w:val="en-US" w:eastAsia="zh-CN" w:bidi="ar"/>
        </w:rPr>
      </w:pPr>
      <w:r>
        <w:rPr>
          <w:rFonts w:hint="eastAsia" w:ascii="仿宋_GB2312" w:eastAsia="仿宋_GB2312" w:hAnsiTheme="majorHAnsi"/>
          <w:b w:val="0"/>
          <w:bCs w:val="0"/>
          <w:kern w:val="2"/>
          <w:lang w:bidi="ar"/>
        </w:rPr>
        <w:t>经评价组通过资料分析的方式，采用综合分析法、成本效益分析法对项目的决策、管理、绩效进行的综合评价分析，项目得分为</w:t>
      </w:r>
      <w:r>
        <w:rPr>
          <w:rFonts w:hint="eastAsia"/>
          <w:b w:val="0"/>
          <w:bCs w:val="0"/>
          <w:kern w:val="2"/>
          <w:lang w:val="en-US" w:eastAsia="zh-CN" w:bidi="ar"/>
        </w:rPr>
        <w:t>86</w:t>
      </w:r>
      <w:r>
        <w:rPr>
          <w:rFonts w:hint="eastAsia" w:ascii="仿宋_GB2312" w:eastAsia="仿宋_GB2312" w:hAnsiTheme="majorHAnsi"/>
          <w:b w:val="0"/>
          <w:bCs w:val="0"/>
          <w:kern w:val="2"/>
          <w:lang w:bidi="ar"/>
        </w:rPr>
        <w:t>分，评价结果为优</w:t>
      </w:r>
      <w:r>
        <w:rPr>
          <w:rFonts w:hint="eastAsia"/>
          <w:b w:val="0"/>
          <w:bCs w:val="0"/>
          <w:kern w:val="2"/>
          <w:lang w:eastAsia="zh-CN" w:bidi="ar"/>
        </w:rPr>
        <w:t>，详见附件</w:t>
      </w:r>
      <w:r>
        <w:rPr>
          <w:rFonts w:hint="eastAsia"/>
          <w:b w:val="0"/>
          <w:bCs w:val="0"/>
          <w:kern w:val="2"/>
          <w:lang w:val="en-US" w:eastAsia="zh-CN" w:bidi="ar"/>
        </w:rPr>
        <w:t>6。</w:t>
      </w:r>
    </w:p>
    <w:p>
      <w:pPr>
        <w:pStyle w:val="24"/>
        <w:keepNext w:val="0"/>
        <w:keepLines w:val="0"/>
        <w:pageBreakBefore w:val="0"/>
        <w:widowControl/>
        <w:numPr>
          <w:ilvl w:val="0"/>
          <w:numId w:val="0"/>
        </w:numPr>
        <w:kinsoku/>
        <w:wordWrap/>
        <w:overflowPunct/>
        <w:topLinePunct w:val="0"/>
        <w:autoSpaceDE/>
        <w:autoSpaceDN/>
        <w:bidi w:val="0"/>
        <w:adjustRightInd/>
        <w:snapToGrid/>
        <w:ind w:firstLine="643" w:firstLineChars="200"/>
        <w:textAlignment w:val="auto"/>
        <w:outlineLvl w:val="9"/>
        <w:rPr>
          <w:rFonts w:hint="eastAsia" w:ascii="黑体" w:hAnsi="黑体" w:eastAsia="黑体" w:cs="黑体"/>
          <w:lang w:eastAsia="zh-CN"/>
        </w:rPr>
      </w:pPr>
      <w:r>
        <w:rPr>
          <w:rFonts w:hint="eastAsia" w:ascii="黑体" w:hAnsi="黑体" w:eastAsia="黑体" w:cs="黑体"/>
          <w:lang w:eastAsia="zh-CN"/>
        </w:rPr>
        <w:t>四、绩效评价指标分析</w:t>
      </w:r>
      <w:bookmarkEnd w:id="7"/>
    </w:p>
    <w:p>
      <w:pPr>
        <w:pStyle w:val="18"/>
        <w:numPr>
          <w:ilvl w:val="0"/>
          <w:numId w:val="6"/>
        </w:numPr>
        <w:spacing w:before="120" w:beforeLines="50" w:line="600" w:lineRule="exact"/>
        <w:ind w:left="0" w:firstLine="643"/>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项目的决策情况</w:t>
      </w:r>
    </w:p>
    <w:p>
      <w:pPr>
        <w:pStyle w:val="27"/>
        <w:ind w:firstLine="640"/>
        <w:rPr>
          <w:rFonts w:hint="eastAsia" w:ascii="仿宋_GB2312" w:hAnsi="仿宋" w:eastAsia="仿宋_GB2312" w:cs="宋体"/>
          <w:kern w:val="2"/>
          <w:sz w:val="32"/>
          <w:szCs w:val="32"/>
          <w:lang w:val="en-US" w:eastAsia="zh-CN" w:bidi="ar"/>
        </w:rPr>
      </w:pPr>
      <w:r>
        <w:rPr>
          <w:rFonts w:hint="eastAsia" w:ascii="仿宋_GB2312" w:hAnsi="仿宋" w:eastAsia="仿宋_GB2312" w:cs="宋体"/>
          <w:kern w:val="2"/>
          <w:sz w:val="32"/>
          <w:szCs w:val="32"/>
          <w:lang w:val="en-US" w:eastAsia="zh-CN" w:bidi="ar"/>
        </w:rPr>
        <w:t>本项目的立项符合相关法规政策及部门职责，依据充分；项目按照规定的程序申请设立；审批材料符合相关要求；项目前期已经过必要的绩效评估和集体决策。</w:t>
      </w:r>
    </w:p>
    <w:p>
      <w:pPr>
        <w:spacing w:before="120" w:beforeLines="50" w:line="600" w:lineRule="exact"/>
        <w:ind w:firstLine="640" w:firstLineChars="200"/>
        <w:rPr>
          <w:rFonts w:hint="eastAsia" w:ascii="仿宋_GB2312" w:hAnsi="仿宋" w:eastAsia="仿宋_GB2312" w:cs="宋体"/>
          <w:kern w:val="2"/>
          <w:sz w:val="32"/>
          <w:szCs w:val="32"/>
          <w:lang w:val="en-US" w:eastAsia="zh-CN" w:bidi="ar"/>
        </w:rPr>
      </w:pPr>
      <w:r>
        <w:rPr>
          <w:rFonts w:hint="eastAsia" w:ascii="仿宋_GB2312" w:hAnsi="仿宋" w:eastAsia="仿宋_GB2312" w:cs="宋体"/>
          <w:kern w:val="2"/>
          <w:sz w:val="32"/>
          <w:szCs w:val="32"/>
          <w:lang w:val="en-US" w:eastAsia="zh-CN" w:bidi="ar"/>
        </w:rP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p>
    <w:p>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项目在资金投入方面，预算编制经过科学论证，资金额度与年度目标相适应，用以反映和考核项目预算编制的科学性、合理性情况。项目预算资金分配有测算依据，与地方实际相适应。</w:t>
      </w:r>
    </w:p>
    <w:p>
      <w:pPr>
        <w:pStyle w:val="18"/>
        <w:numPr>
          <w:ilvl w:val="0"/>
          <w:numId w:val="6"/>
        </w:numPr>
        <w:spacing w:before="120" w:beforeLines="50" w:line="600" w:lineRule="exact"/>
        <w:ind w:left="0" w:firstLine="643"/>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项目的过程情况</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在资金管理方面，项目资金到位足额及时，及时支付，资金使用符合国家法规和财务管理制度；资金拨付有完整的审批程序和手续，符合项目预算批复规定的用途；不存在截留、挤占、挪用、虚列支出等情况。</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在项目组织实施方面，项目单位具有相应的财务和业务管理制度，财务和业务管理制度合法、合规、完整。项目实施遵守相关法律法规和相关管理规定。</w:t>
      </w:r>
    </w:p>
    <w:p>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项目调整及支出调整手续完备，资料齐全并及时归档，项目实施的人员条件、场地设备、信息支撑等落实到位。</w:t>
      </w:r>
    </w:p>
    <w:p>
      <w:pPr>
        <w:pStyle w:val="18"/>
        <w:numPr>
          <w:ilvl w:val="0"/>
          <w:numId w:val="6"/>
        </w:numPr>
        <w:spacing w:before="120" w:beforeLines="50" w:line="600" w:lineRule="exact"/>
        <w:ind w:left="0" w:firstLine="643"/>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项目产出情况</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本项目共设置一级指标3个，二级指标7个，三级指标12个，绩效目标完成情况如下：</w:t>
      </w:r>
    </w:p>
    <w:p>
      <w:pPr>
        <w:spacing w:line="360" w:lineRule="auto"/>
        <w:ind w:firstLine="627" w:firstLineChars="200"/>
        <w:rPr>
          <w:rFonts w:ascii="楷体" w:hAnsi="楷体" w:eastAsia="楷体"/>
          <w:b/>
          <w:color w:val="000000" w:themeColor="text1"/>
          <w:spacing w:val="-4"/>
          <w:sz w:val="32"/>
          <w:szCs w:val="32"/>
          <w14:textFill>
            <w14:solidFill>
              <w14:schemeClr w14:val="tx1"/>
            </w14:solidFill>
          </w14:textFill>
        </w:rPr>
      </w:pPr>
      <w:r>
        <w:rPr>
          <w:rFonts w:ascii="楷体" w:hAnsi="楷体" w:eastAsia="楷体"/>
          <w:b/>
          <w:color w:val="000000" w:themeColor="text1"/>
          <w:spacing w:val="-4"/>
          <w:sz w:val="32"/>
          <w:szCs w:val="32"/>
          <w14:textFill>
            <w14:solidFill>
              <w14:schemeClr w14:val="tx1"/>
            </w14:solidFill>
          </w14:textFill>
        </w:rPr>
        <w:t>1.</w:t>
      </w:r>
      <w:r>
        <w:rPr>
          <w:rFonts w:hint="eastAsia" w:ascii="楷体" w:hAnsi="楷体" w:eastAsia="楷体"/>
          <w:b/>
          <w:color w:val="000000" w:themeColor="text1"/>
          <w:spacing w:val="-4"/>
          <w:sz w:val="32"/>
          <w:szCs w:val="32"/>
          <w14:textFill>
            <w14:solidFill>
              <w14:schemeClr w14:val="tx1"/>
            </w14:solidFill>
          </w14:textFill>
        </w:rPr>
        <w:t>产出指标完成情况分析</w:t>
      </w:r>
    </w:p>
    <w:p>
      <w:pPr>
        <w:spacing w:line="360" w:lineRule="auto"/>
        <w:ind w:firstLine="627" w:firstLineChars="200"/>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w:t>
      </w:r>
      <w:r>
        <w:rPr>
          <w:rFonts w:ascii="楷体" w:hAnsi="楷体" w:eastAsia="楷体"/>
          <w:b/>
          <w:color w:val="000000" w:themeColor="text1"/>
          <w:spacing w:val="-4"/>
          <w:sz w:val="32"/>
          <w:szCs w:val="32"/>
          <w14:textFill>
            <w14:solidFill>
              <w14:schemeClr w14:val="tx1"/>
            </w14:solidFill>
          </w14:textFill>
        </w:rPr>
        <w:t>1</w:t>
      </w:r>
      <w:r>
        <w:rPr>
          <w:rFonts w:hint="eastAsia" w:ascii="楷体" w:hAnsi="楷体" w:eastAsia="楷体"/>
          <w:b/>
          <w:color w:val="000000" w:themeColor="text1"/>
          <w:spacing w:val="-4"/>
          <w:sz w:val="32"/>
          <w:szCs w:val="32"/>
          <w14:textFill>
            <w14:solidFill>
              <w14:schemeClr w14:val="tx1"/>
            </w14:solidFill>
          </w14:textFill>
        </w:rPr>
        <w:t>）项目完成数量</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食品安全风险监测相关仪器设备数（件），预期指标是10件，实际完成值是10件，指标完成率是100%，达到预期目标。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数量指标共计1个，完成1个，达到预期目标，数量指标完成。</w:t>
      </w:r>
    </w:p>
    <w:p>
      <w:pPr>
        <w:spacing w:line="360" w:lineRule="auto"/>
        <w:ind w:firstLine="627" w:firstLineChars="200"/>
        <w:rPr>
          <w:rFonts w:hint="eastAsia"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（2）项目完成质量</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政府采购率（%），预期指标是100%，实际完成值是100%，指标完成率是100%，达到预期目标。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购置质量合格率（%），预期指标是100%，实际完成值是100%，指标完成率是100%，达到预期目标。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购置合同执行违规率（%），预期指标是≤0，实际完成值是≤0，指标完成率是100%，达到预期目标。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购置验收通过率（%），预期指标是100%，实际完成值是≥100%，指标完成率是100%，达到预期目标。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检测检验装备配备率（%），预期指标是≥80%，实际完成值是≥80%，指标完成率是100%，达到预期目标。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质量指标共计5个，完成5个，达到预期目标，质量指标完成。</w:t>
      </w:r>
    </w:p>
    <w:p>
      <w:pPr>
        <w:spacing w:line="360" w:lineRule="auto"/>
        <w:ind w:firstLine="627" w:firstLineChars="200"/>
        <w:rPr>
          <w:rFonts w:hint="eastAsia"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（3）项目实施进度</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年度内采购完成率（%），预期指标是≥85%，实际完成值是100%，指标完成率是100%，达到预期目标。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时效指标共计1个，完成1个，达到预期目标，时效指标完成。</w:t>
      </w:r>
    </w:p>
    <w:p>
      <w:pPr>
        <w:spacing w:line="360" w:lineRule="auto"/>
        <w:ind w:firstLine="627" w:firstLineChars="200"/>
        <w:rPr>
          <w:rFonts w:hint="eastAsia"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（4）项目成本节约情况</w:t>
      </w:r>
    </w:p>
    <w:p>
      <w:pPr>
        <w:spacing w:before="120" w:beforeLines="50" w:line="600" w:lineRule="exact"/>
        <w:ind w:firstLine="640" w:firstLineChars="200"/>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采购仪器设备成本，预期指标是557.80万元，实际完成值是516.1万元，指标完成率是100%</w:t>
      </w:r>
      <w:r>
        <w:rPr>
          <w:rFonts w:hint="eastAsia" w:ascii="仿宋_GB2312" w:hAnsi="仿宋" w:eastAsia="仿宋_GB2312" w:cs="宋体"/>
          <w:sz w:val="32"/>
          <w:szCs w:val="32"/>
          <w:lang w:eastAsia="zh-CN" w:bidi="ar"/>
        </w:rPr>
        <w:t>，因仪器设备已购买齐全，剩余资金为财政结余资金。</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采购资金节约率，预期指标是≤1%，实际完成值是1%，指标完成率是100%，达到预期目标。</w:t>
      </w:r>
    </w:p>
    <w:p>
      <w:pPr>
        <w:spacing w:before="120"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成本指标共计2个，完成2个，达到预期目标，成本指标完成。</w:t>
      </w:r>
    </w:p>
    <w:p>
      <w:pPr>
        <w:pStyle w:val="22"/>
        <w:numPr>
          <w:ilvl w:val="0"/>
          <w:numId w:val="2"/>
        </w:numPr>
        <w:ind w:firstLineChars="0"/>
        <w:rPr>
          <w:lang w:bidi="ar"/>
        </w:rPr>
      </w:pPr>
      <w:r>
        <w:rPr>
          <w:rFonts w:hint="eastAsia" w:ascii="黑体" w:hAnsi="黑体"/>
        </w:rPr>
        <w:t>主要经验及做法、存在的问题及原因分析</w:t>
      </w:r>
    </w:p>
    <w:p>
      <w:pPr>
        <w:pStyle w:val="24"/>
        <w:numPr>
          <w:ilvl w:val="0"/>
          <w:numId w:val="7"/>
        </w:numPr>
        <w:ind w:left="0" w:firstLine="643" w:firstLineChars="200"/>
        <w:rPr>
          <w:lang w:bidi="ar"/>
        </w:rPr>
      </w:pPr>
      <w:r>
        <w:rPr>
          <w:rFonts w:hint="eastAsia"/>
          <w:lang w:bidi="ar"/>
        </w:rPr>
        <w:t>主要经验及做法</w:t>
      </w:r>
    </w:p>
    <w:p>
      <w:pPr>
        <w:autoSpaceDE w:val="0"/>
        <w:autoSpaceDN w:val="0"/>
        <w:spacing w:line="540" w:lineRule="exact"/>
        <w:ind w:firstLine="640" w:firstLineChars="200"/>
        <w:rPr>
          <w:rFonts w:hint="eastAsia" w:ascii="仿宋_GB2312" w:eastAsia="仿宋_GB2312" w:cs="Times New Roman" w:hAnsiTheme="majorHAnsi"/>
          <w:b w:val="0"/>
          <w:bCs/>
          <w:kern w:val="2"/>
          <w:sz w:val="32"/>
          <w:szCs w:val="32"/>
          <w:lang w:val="en-US" w:eastAsia="zh-CN" w:bidi="ar"/>
        </w:rPr>
      </w:pPr>
      <w:r>
        <w:rPr>
          <w:rFonts w:hint="eastAsia" w:ascii="仿宋_GB2312" w:eastAsia="仿宋_GB2312" w:cs="Times New Roman" w:hAnsiTheme="majorHAnsi"/>
          <w:b w:val="0"/>
          <w:bCs/>
          <w:kern w:val="2"/>
          <w:sz w:val="32"/>
          <w:szCs w:val="32"/>
          <w:lang w:val="en-US" w:eastAsia="zh-CN" w:bidi="ar"/>
        </w:rPr>
        <w:t>本项目通过绩效目标评价管理，总结了工作中的较好的经验。项目实施过程中，喀什地区疾病预防控制中心根据相关实施方案等要求保障了项目的顺利实施。项目的实施遵守相关法律法规和业务管理规定，项目资料齐全并及时归档。不定期对项目进度情况进行督导检查，对检查过程中发现的问题及时督促整改，确保了项目按时保质完成；资金的拨付有完整的审批程序和手续，不存在截留、挤占、挪用等情况。</w:t>
      </w:r>
    </w:p>
    <w:p>
      <w:pPr>
        <w:pStyle w:val="24"/>
        <w:numPr>
          <w:ilvl w:val="0"/>
          <w:numId w:val="7"/>
        </w:numPr>
        <w:ind w:left="0" w:firstLine="643" w:firstLineChars="200"/>
        <w:rPr>
          <w:lang w:bidi="ar"/>
        </w:rPr>
      </w:pPr>
      <w:r>
        <w:rPr>
          <w:rFonts w:hint="eastAsia"/>
          <w:lang w:bidi="ar"/>
        </w:rPr>
        <w:t>存在的问题及原因分析</w:t>
      </w:r>
    </w:p>
    <w:p>
      <w:pPr>
        <w:autoSpaceDE w:val="0"/>
        <w:autoSpaceDN w:val="0"/>
        <w:spacing w:line="540" w:lineRule="exact"/>
        <w:ind w:firstLine="640" w:firstLineChars="200"/>
        <w:rPr>
          <w:rFonts w:ascii="仿宋_GB2312" w:eastAsia="仿宋_GB2312"/>
          <w:spacing w:val="-4"/>
          <w:sz w:val="32"/>
          <w:szCs w:val="32"/>
        </w:rPr>
      </w:pPr>
      <w:r>
        <w:rPr>
          <w:rFonts w:hint="eastAsia" w:ascii="仿宋_GB2312" w:eastAsia="仿宋_GB2312" w:cs="Times New Roman" w:hAnsiTheme="majorHAnsi"/>
          <w:b w:val="0"/>
          <w:bCs/>
          <w:kern w:val="2"/>
          <w:sz w:val="32"/>
          <w:szCs w:val="32"/>
          <w:lang w:val="en-US" w:eastAsia="zh-CN" w:bidi="ar"/>
        </w:rPr>
        <w:t xml:space="preserve">  通过预算绩效管理，发现了工作中存在的不足。由于10件仪器设备中7件仪器设备进口设备，采购过程中需要专家论证、招标等程序，延误采购、到货时间，导致未按计划支付，导致资金滞缓，影响了项目的进度，造成了部分资金的浪费。</w:t>
      </w:r>
    </w:p>
    <w:p>
      <w:pPr>
        <w:pStyle w:val="22"/>
        <w:numPr>
          <w:ilvl w:val="0"/>
          <w:numId w:val="2"/>
        </w:numPr>
        <w:ind w:firstLineChars="0"/>
        <w:rPr>
          <w:rFonts w:ascii="黑体" w:hAnsi="黑体"/>
        </w:rPr>
      </w:pPr>
      <w:r>
        <w:rPr>
          <w:rFonts w:hint="eastAsia" w:ascii="黑体" w:hAnsi="黑体"/>
        </w:rPr>
        <w:t>有关建议</w:t>
      </w:r>
    </w:p>
    <w:p>
      <w:pPr>
        <w:autoSpaceDE w:val="0"/>
        <w:autoSpaceDN w:val="0"/>
        <w:spacing w:line="540" w:lineRule="exact"/>
        <w:ind w:firstLine="640" w:firstLineChars="200"/>
        <w:rPr>
          <w:rFonts w:hint="eastAsia" w:ascii="仿宋_GB2312" w:eastAsia="仿宋_GB2312" w:cs="Times New Roman" w:hAnsiTheme="majorHAnsi"/>
          <w:b w:val="0"/>
          <w:bCs/>
          <w:kern w:val="2"/>
          <w:sz w:val="32"/>
          <w:szCs w:val="32"/>
          <w:lang w:val="en-US" w:eastAsia="zh-CN" w:bidi="ar"/>
        </w:rPr>
      </w:pPr>
      <w:r>
        <w:rPr>
          <w:rFonts w:hint="eastAsia" w:ascii="仿宋_GB2312" w:eastAsia="仿宋_GB2312" w:cs="Times New Roman" w:hAnsiTheme="majorHAnsi"/>
          <w:b w:val="0"/>
          <w:bCs/>
          <w:kern w:val="2"/>
          <w:sz w:val="32"/>
          <w:szCs w:val="32"/>
          <w:lang w:val="en-US" w:eastAsia="zh-CN" w:bidi="ar"/>
        </w:rPr>
        <w:t>年初做好参数制定、前期招标、专家论证、资金计划，按照项目进度及时拨付资金，使资金使用效益最大化，减少不必要的浪费，节约成本。</w:t>
      </w:r>
    </w:p>
    <w:p>
      <w:pPr>
        <w:keepNext w:val="0"/>
        <w:keepLines w:val="0"/>
        <w:pageBreakBefore w:val="0"/>
        <w:widowControl/>
        <w:kinsoku/>
        <w:wordWrap/>
        <w:overflowPunct/>
        <w:topLinePunct w:val="0"/>
        <w:autoSpaceDE w:val="0"/>
        <w:autoSpaceDN w:val="0"/>
        <w:bidi w:val="0"/>
        <w:adjustRightInd/>
        <w:snapToGrid/>
        <w:spacing w:line="540" w:lineRule="exact"/>
        <w:ind w:firstLine="643" w:firstLineChars="200"/>
        <w:textAlignment w:val="auto"/>
        <w:rPr>
          <w:rFonts w:hint="eastAsia" w:ascii="黑体" w:hAnsi="黑体" w:eastAsia="黑体" w:cs="Times New Roman"/>
          <w:b/>
          <w:bCs/>
          <w:kern w:val="44"/>
          <w:sz w:val="32"/>
          <w:szCs w:val="32"/>
          <w:lang w:val="en-US" w:eastAsia="zh-CN" w:bidi="ar-SA"/>
        </w:rPr>
      </w:pPr>
      <w:r>
        <w:rPr>
          <w:rFonts w:hint="eastAsia" w:ascii="黑体" w:hAnsi="黑体" w:eastAsia="黑体" w:cs="Times New Roman"/>
          <w:b/>
          <w:bCs/>
          <w:kern w:val="44"/>
          <w:sz w:val="32"/>
          <w:szCs w:val="32"/>
          <w:lang w:val="en-US" w:eastAsia="zh-CN" w:bidi="ar-SA"/>
        </w:rPr>
        <w:t>六、其他需要说明的问题</w:t>
      </w:r>
    </w:p>
    <w:p>
      <w:pPr>
        <w:spacing w:before="156"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无</w:t>
      </w:r>
      <w:r>
        <w:rPr>
          <w:rFonts w:hint="eastAsia" w:ascii="仿宋_GB2312" w:hAnsi="仿宋" w:eastAsia="仿宋_GB2312" w:cs="宋体"/>
          <w:sz w:val="32"/>
          <w:szCs w:val="32"/>
          <w:lang w:eastAsia="zh-CN" w:bidi="ar"/>
        </w:rPr>
        <w:t>。</w:t>
      </w:r>
    </w:p>
    <w:p>
      <w:pPr>
        <w:spacing w:before="156"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附件1：喀什地区疾病预防控制中心食品风险监测相关仪器采购项目支出绩效目标申报表</w:t>
      </w:r>
    </w:p>
    <w:p>
      <w:pPr>
        <w:spacing w:before="156"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：喀什地区疾病预防控制中心食品风险监测相关仪器采购项目支出绩效目标表</w:t>
      </w:r>
    </w:p>
    <w:p>
      <w:pPr>
        <w:spacing w:before="156"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附件3：喀什地区疾病预防控制中心食品风险监测相关仪器采购项目支出绩效自评表</w:t>
      </w:r>
    </w:p>
    <w:p>
      <w:pPr>
        <w:spacing w:before="156"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4</w:t>
      </w:r>
      <w:r>
        <w:rPr>
          <w:rFonts w:hint="eastAsia" w:ascii="仿宋_GB2312" w:hAnsi="仿宋" w:eastAsia="仿宋_GB2312" w:cs="宋体"/>
          <w:sz w:val="32"/>
          <w:szCs w:val="32"/>
          <w:lang w:bidi="ar"/>
        </w:rPr>
        <w:t>：喀什地区疾病预防控制中心食品风险监测相关仪器采购项目绩效评价指标体系</w:t>
      </w:r>
    </w:p>
    <w:p>
      <w:pPr>
        <w:spacing w:before="156"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5</w:t>
      </w:r>
      <w:r>
        <w:rPr>
          <w:rFonts w:hint="eastAsia" w:ascii="仿宋_GB2312" w:hAnsi="仿宋" w:eastAsia="仿宋_GB2312" w:cs="宋体"/>
          <w:sz w:val="32"/>
          <w:szCs w:val="32"/>
          <w:lang w:bidi="ar"/>
        </w:rPr>
        <w:t>：绩效评价依据</w:t>
      </w:r>
    </w:p>
    <w:p>
      <w:pPr>
        <w:spacing w:before="156" w:beforeLines="50" w:line="600" w:lineRule="exact"/>
        <w:ind w:firstLine="640" w:firstLineChars="200"/>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6</w:t>
      </w:r>
      <w:r>
        <w:rPr>
          <w:rFonts w:hint="eastAsia" w:ascii="仿宋_GB2312" w:hAnsi="仿宋" w:eastAsia="仿宋_GB2312" w:cs="宋体"/>
          <w:sz w:val="32"/>
          <w:szCs w:val="32"/>
          <w:lang w:bidi="ar"/>
        </w:rPr>
        <w:t>：喀什地区疾病预防控制中心食品风险监测相关仪器采购项目绩效评价评分表</w:t>
      </w:r>
    </w:p>
    <w:p>
      <w:pPr>
        <w:spacing w:before="156" w:beforeLines="50" w:line="600" w:lineRule="exact"/>
        <w:ind w:firstLine="640" w:firstLineChars="200"/>
        <w:rPr>
          <w:rFonts w:ascii="仿宋_GB2312" w:hAnsi="仿宋" w:eastAsia="仿宋_GB2312" w:cs="宋体"/>
          <w:sz w:val="32"/>
          <w:szCs w:val="32"/>
          <w:lang w:bidi="ar"/>
        </w:rPr>
      </w:pPr>
    </w:p>
    <w:p>
      <w:pPr>
        <w:spacing w:before="120" w:beforeLines="50" w:line="600" w:lineRule="exact"/>
        <w:ind w:firstLine="640" w:firstLineChars="200"/>
        <w:rPr>
          <w:rFonts w:ascii="仿宋_GB2312" w:hAnsi="仿宋" w:eastAsia="仿宋_GB2312" w:cs="宋体"/>
          <w:sz w:val="32"/>
          <w:szCs w:val="32"/>
          <w:lang w:bidi="ar"/>
        </w:rPr>
      </w:pP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5"/>
  </w:num>
  <w:num w:numId="3">
    <w:abstractNumId w:val="3"/>
  </w:num>
  <w:num w:numId="4">
    <w:abstractNumId w:val="0"/>
  </w:num>
  <w:num w:numId="5">
    <w:abstractNumId w:val="2"/>
  </w:num>
  <w:num w:numId="6">
    <w:abstractNumId w:val="4"/>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715"/>
    <w:rsid w:val="00022413"/>
    <w:rsid w:val="00037F93"/>
    <w:rsid w:val="00042126"/>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B292D"/>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7F53E5"/>
    <w:rsid w:val="00811F2D"/>
    <w:rsid w:val="00815938"/>
    <w:rsid w:val="008226BA"/>
    <w:rsid w:val="00827DA6"/>
    <w:rsid w:val="00835103"/>
    <w:rsid w:val="00854416"/>
    <w:rsid w:val="00866F54"/>
    <w:rsid w:val="00883FF2"/>
    <w:rsid w:val="0089293E"/>
    <w:rsid w:val="00893E6C"/>
    <w:rsid w:val="008D7BC7"/>
    <w:rsid w:val="0090104C"/>
    <w:rsid w:val="00982B10"/>
    <w:rsid w:val="009C0267"/>
    <w:rsid w:val="009E5354"/>
    <w:rsid w:val="00A10F1E"/>
    <w:rsid w:val="00A12A0C"/>
    <w:rsid w:val="00A25EC1"/>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125DD"/>
    <w:rsid w:val="00C2671D"/>
    <w:rsid w:val="00C563AA"/>
    <w:rsid w:val="00C71FF0"/>
    <w:rsid w:val="00C77259"/>
    <w:rsid w:val="00C97E2D"/>
    <w:rsid w:val="00CE6A5E"/>
    <w:rsid w:val="00D043D7"/>
    <w:rsid w:val="00D117FB"/>
    <w:rsid w:val="00D23C2E"/>
    <w:rsid w:val="00D61EC8"/>
    <w:rsid w:val="00D93516"/>
    <w:rsid w:val="00DA7F4C"/>
    <w:rsid w:val="00DC5F94"/>
    <w:rsid w:val="00DE152F"/>
    <w:rsid w:val="00DE293B"/>
    <w:rsid w:val="00E05626"/>
    <w:rsid w:val="00E25B2F"/>
    <w:rsid w:val="00E373A5"/>
    <w:rsid w:val="00E407F0"/>
    <w:rsid w:val="00E66A4D"/>
    <w:rsid w:val="00E72B1C"/>
    <w:rsid w:val="00E96169"/>
    <w:rsid w:val="00F0780F"/>
    <w:rsid w:val="00F16D54"/>
    <w:rsid w:val="00F6015C"/>
    <w:rsid w:val="00F75715"/>
    <w:rsid w:val="00FB2E2F"/>
    <w:rsid w:val="00FD300A"/>
    <w:rsid w:val="00FF137F"/>
    <w:rsid w:val="00FF6959"/>
    <w:rsid w:val="00FF6C14"/>
    <w:rsid w:val="011016F9"/>
    <w:rsid w:val="01BE6316"/>
    <w:rsid w:val="040F3560"/>
    <w:rsid w:val="055E359A"/>
    <w:rsid w:val="05DB669C"/>
    <w:rsid w:val="0A941973"/>
    <w:rsid w:val="0D7A0199"/>
    <w:rsid w:val="100C6DE5"/>
    <w:rsid w:val="1200584C"/>
    <w:rsid w:val="12116B31"/>
    <w:rsid w:val="1272608E"/>
    <w:rsid w:val="132B7A96"/>
    <w:rsid w:val="15842BB2"/>
    <w:rsid w:val="16720B6E"/>
    <w:rsid w:val="17CE106C"/>
    <w:rsid w:val="18064D02"/>
    <w:rsid w:val="1BF26FA6"/>
    <w:rsid w:val="1D236679"/>
    <w:rsid w:val="1DDC020C"/>
    <w:rsid w:val="1FAB1D3C"/>
    <w:rsid w:val="2215447D"/>
    <w:rsid w:val="22C7697C"/>
    <w:rsid w:val="24E73B1F"/>
    <w:rsid w:val="26F03C06"/>
    <w:rsid w:val="27FE58B5"/>
    <w:rsid w:val="28EA0991"/>
    <w:rsid w:val="2A547683"/>
    <w:rsid w:val="2EBE64A6"/>
    <w:rsid w:val="2F5F216B"/>
    <w:rsid w:val="32AF2600"/>
    <w:rsid w:val="33271632"/>
    <w:rsid w:val="36C656FD"/>
    <w:rsid w:val="376D166D"/>
    <w:rsid w:val="3FB22897"/>
    <w:rsid w:val="415A4977"/>
    <w:rsid w:val="42483740"/>
    <w:rsid w:val="44910B59"/>
    <w:rsid w:val="46A131F3"/>
    <w:rsid w:val="4C705E85"/>
    <w:rsid w:val="4DDD00E8"/>
    <w:rsid w:val="5053495E"/>
    <w:rsid w:val="515A4E44"/>
    <w:rsid w:val="5267211F"/>
    <w:rsid w:val="588E7484"/>
    <w:rsid w:val="5B9D5141"/>
    <w:rsid w:val="5DB56D87"/>
    <w:rsid w:val="5EB04994"/>
    <w:rsid w:val="5F515211"/>
    <w:rsid w:val="5F5744A1"/>
    <w:rsid w:val="64F65805"/>
    <w:rsid w:val="667765BF"/>
    <w:rsid w:val="66781CCF"/>
    <w:rsid w:val="68E3445C"/>
    <w:rsid w:val="69005C38"/>
    <w:rsid w:val="691E7FC1"/>
    <w:rsid w:val="6E0A0E0B"/>
    <w:rsid w:val="70016824"/>
    <w:rsid w:val="74AB59A9"/>
    <w:rsid w:val="7775238E"/>
    <w:rsid w:val="7A762DD7"/>
    <w:rsid w:val="7A8638D9"/>
    <w:rsid w:val="7BEC485C"/>
    <w:rsid w:val="7F5A1A7E"/>
    <w:rsid w:val="7F783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7"/>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1"/>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2"/>
    <w:qFormat/>
    <w:uiPriority w:val="9"/>
    <w:rPr>
      <w:rFonts w:ascii="Times New Roman" w:hAnsi="Times New Roman" w:eastAsia="黑体" w:cs="Arial"/>
      <w:b/>
      <w:bCs/>
      <w:kern w:val="44"/>
      <w:sz w:val="28"/>
      <w:szCs w:val="44"/>
    </w:rPr>
  </w:style>
  <w:style w:type="paragraph" w:styleId="18">
    <w:name w:val="List Paragraph"/>
    <w:basedOn w:val="1"/>
    <w:link w:val="36"/>
    <w:qFormat/>
    <w:uiPriority w:val="34"/>
    <w:pPr>
      <w:ind w:firstLine="420" w:firstLineChars="200"/>
    </w:pPr>
  </w:style>
  <w:style w:type="character" w:customStyle="1" w:styleId="19">
    <w:name w:val="页眉 字符"/>
    <w:basedOn w:val="14"/>
    <w:link w:val="8"/>
    <w:qFormat/>
    <w:uiPriority w:val="99"/>
    <w:rPr>
      <w:sz w:val="18"/>
      <w:szCs w:val="18"/>
    </w:rPr>
  </w:style>
  <w:style w:type="character" w:customStyle="1" w:styleId="20">
    <w:name w:val="页脚 字符"/>
    <w:basedOn w:val="14"/>
    <w:link w:val="7"/>
    <w:qFormat/>
    <w:uiPriority w:val="99"/>
    <w:rPr>
      <w:sz w:val="18"/>
      <w:szCs w:val="18"/>
    </w:rPr>
  </w:style>
  <w:style w:type="character" w:customStyle="1" w:styleId="21">
    <w:name w:val="批注框文本 字符"/>
    <w:basedOn w:val="14"/>
    <w:link w:val="6"/>
    <w:semiHidden/>
    <w:qFormat/>
    <w:uiPriority w:val="99"/>
    <w:rPr>
      <w:sz w:val="18"/>
      <w:szCs w:val="18"/>
    </w:rPr>
  </w:style>
  <w:style w:type="paragraph" w:customStyle="1" w:styleId="22">
    <w:name w:val="标题1"/>
    <w:basedOn w:val="2"/>
    <w:qFormat/>
    <w:uiPriority w:val="0"/>
    <w:pPr>
      <w:spacing w:before="120" w:after="120" w:line="500" w:lineRule="exact"/>
      <w:ind w:firstLine="200" w:firstLineChars="200"/>
    </w:pPr>
    <w:rPr>
      <w:rFonts w:cs="Times New Roman"/>
      <w:sz w:val="32"/>
      <w:szCs w:val="32"/>
    </w:rPr>
  </w:style>
  <w:style w:type="character" w:customStyle="1" w:styleId="23">
    <w:name w:val="标题 2 字符"/>
    <w:basedOn w:val="14"/>
    <w:link w:val="3"/>
    <w:qFormat/>
    <w:uiPriority w:val="9"/>
    <w:rPr>
      <w:rFonts w:asciiTheme="majorHAnsi" w:hAnsiTheme="majorHAnsi" w:eastAsiaTheme="majorEastAsia" w:cstheme="majorBidi"/>
      <w:b/>
      <w:bCs/>
      <w:sz w:val="32"/>
      <w:szCs w:val="32"/>
    </w:rPr>
  </w:style>
  <w:style w:type="paragraph" w:customStyle="1" w:styleId="24">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6">
    <w:name w:val="闻政正文 Char"/>
    <w:link w:val="27"/>
    <w:qFormat/>
    <w:uiPriority w:val="0"/>
    <w:rPr>
      <w:rFonts w:ascii="Times New Roman" w:hAnsi="Times New Roman" w:eastAsia="仿宋_GB2312" w:cs="Times New Roman"/>
      <w:sz w:val="28"/>
      <w:szCs w:val="28"/>
    </w:rPr>
  </w:style>
  <w:style w:type="paragraph" w:customStyle="1" w:styleId="27">
    <w:name w:val="闻政正文"/>
    <w:basedOn w:val="1"/>
    <w:link w:val="26"/>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8">
    <w:name w:val="闻政表 Char"/>
    <w:link w:val="29"/>
    <w:qFormat/>
    <w:uiPriority w:val="0"/>
    <w:rPr>
      <w:rFonts w:ascii="Times New Roman" w:hAnsi="Times New Roman" w:eastAsia="仿宋_GB2312" w:cs="Times New Roman"/>
      <w:b/>
      <w:sz w:val="24"/>
      <w:szCs w:val="28"/>
    </w:rPr>
  </w:style>
  <w:style w:type="paragraph" w:customStyle="1" w:styleId="29">
    <w:name w:val="闻政表"/>
    <w:basedOn w:val="1"/>
    <w:link w:val="28"/>
    <w:qFormat/>
    <w:uiPriority w:val="0"/>
    <w:pPr>
      <w:spacing w:before="60" w:after="60"/>
      <w:jc w:val="center"/>
    </w:pPr>
    <w:rPr>
      <w:rFonts w:ascii="Times New Roman" w:hAnsi="Times New Roman" w:eastAsia="仿宋_GB2312" w:cs="Times New Roman"/>
      <w:b/>
      <w:sz w:val="24"/>
      <w:szCs w:val="28"/>
    </w:rPr>
  </w:style>
  <w:style w:type="paragraph" w:customStyle="1" w:styleId="30">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1">
    <w:name w:val="闻政标题3 Char"/>
    <w:link w:val="32"/>
    <w:qFormat/>
    <w:uiPriority w:val="0"/>
    <w:rPr>
      <w:rFonts w:ascii="黑体" w:hAnsi="黑体" w:eastAsia="黑体" w:cs="Times New Roman"/>
      <w:bCs/>
      <w:sz w:val="32"/>
      <w:szCs w:val="32"/>
    </w:rPr>
  </w:style>
  <w:style w:type="paragraph" w:customStyle="1" w:styleId="32">
    <w:name w:val="闻政标题3"/>
    <w:basedOn w:val="4"/>
    <w:link w:val="31"/>
    <w:qFormat/>
    <w:uiPriority w:val="99"/>
    <w:pPr>
      <w:spacing w:before="120" w:after="60" w:line="500" w:lineRule="exact"/>
      <w:jc w:val="left"/>
      <w:outlineLvl w:val="0"/>
    </w:pPr>
    <w:rPr>
      <w:rFonts w:ascii="黑体" w:hAnsi="黑体" w:eastAsia="黑体" w:cs="Times New Roman"/>
      <w:b w:val="0"/>
    </w:rPr>
  </w:style>
  <w:style w:type="character" w:customStyle="1" w:styleId="33">
    <w:name w:val="标题 3 字符"/>
    <w:basedOn w:val="14"/>
    <w:link w:val="4"/>
    <w:semiHidden/>
    <w:qFormat/>
    <w:uiPriority w:val="9"/>
    <w:rPr>
      <w:b/>
      <w:bCs/>
      <w:sz w:val="32"/>
      <w:szCs w:val="32"/>
    </w:rPr>
  </w:style>
  <w:style w:type="paragraph" w:customStyle="1" w:styleId="34">
    <w:name w:val="Body text|1"/>
    <w:basedOn w:val="1"/>
    <w:link w:val="35"/>
    <w:qFormat/>
    <w:uiPriority w:val="0"/>
    <w:pPr>
      <w:spacing w:after="40" w:line="334" w:lineRule="auto"/>
    </w:pPr>
    <w:rPr>
      <w:rFonts w:ascii="MingLiU" w:hAnsi="MingLiU" w:eastAsia="MingLiU" w:cs="MingLiU"/>
      <w:sz w:val="20"/>
      <w:szCs w:val="20"/>
      <w:lang w:val="zh-TW" w:eastAsia="zh-TW" w:bidi="zh-TW"/>
    </w:rPr>
  </w:style>
  <w:style w:type="character" w:customStyle="1" w:styleId="35">
    <w:name w:val="Body text|1_"/>
    <w:basedOn w:val="14"/>
    <w:link w:val="34"/>
    <w:unhideWhenUsed/>
    <w:qFormat/>
    <w:uiPriority w:val="0"/>
    <w:rPr>
      <w:rFonts w:ascii="MingLiU" w:hAnsi="MingLiU" w:eastAsia="MingLiU" w:cs="MingLiU"/>
      <w:sz w:val="20"/>
      <w:szCs w:val="20"/>
      <w:lang w:val="zh-TW" w:eastAsia="zh-TW" w:bidi="zh-TW"/>
    </w:rPr>
  </w:style>
  <w:style w:type="character" w:customStyle="1" w:styleId="36">
    <w:name w:val="列表段落 字符"/>
    <w:basedOn w:val="14"/>
    <w:link w:val="18"/>
    <w:qFormat/>
    <w:uiPriority w:val="34"/>
    <w:rPr>
      <w:rFonts w:asciiTheme="minorHAnsi" w:hAnsiTheme="minorHAnsi" w:eastAsiaTheme="minorEastAsia" w:cstheme="minorBidi"/>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069F3-6000-428E-BA3B-6E5D123081DB}">
  <ds:schemaRefs/>
</ds:datastoreItem>
</file>

<file path=docProps/app.xml><?xml version="1.0" encoding="utf-8"?>
<Properties xmlns="http://schemas.openxmlformats.org/officeDocument/2006/extended-properties" xmlns:vt="http://schemas.openxmlformats.org/officeDocument/2006/docPropsVTypes">
  <Template>Normal</Template>
  <Pages>9</Pages>
  <Words>534</Words>
  <Characters>3045</Characters>
  <Lines>25</Lines>
  <Paragraphs>7</Paragraphs>
  <TotalTime>12</TotalTime>
  <ScaleCrop>false</ScaleCrop>
  <LinksUpToDate>false</LinksUpToDate>
  <CharactersWithSpaces>3572</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2020-09-05T10:24:19Z</dcterms:modified>
  <dc:title>新疆普天鹏华商务信息咨询有限公司</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