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50"/>
        <w:jc w:val="center"/>
        <w:rPr>
          <w:rFonts w:ascii="方正小标宋简体" w:eastAsia="方正小标宋简体"/>
          <w:sz w:val="44"/>
          <w:szCs w:val="44"/>
        </w:rPr>
      </w:pPr>
    </w:p>
    <w:p>
      <w:pPr>
        <w:spacing w:beforeLines="50"/>
        <w:jc w:val="center"/>
        <w:rPr>
          <w:rFonts w:ascii="方正小标宋简体" w:eastAsia="方正小标宋简体"/>
          <w:sz w:val="44"/>
          <w:szCs w:val="44"/>
        </w:rPr>
      </w:pPr>
    </w:p>
    <w:p>
      <w:pPr>
        <w:spacing w:beforeLines="50"/>
        <w:jc w:val="center"/>
        <w:rPr>
          <w:rFonts w:ascii="方正小标宋简体" w:eastAsia="方正小标宋简体"/>
          <w:sz w:val="44"/>
          <w:szCs w:val="44"/>
        </w:rPr>
      </w:pPr>
    </w:p>
    <w:p>
      <w:pPr>
        <w:spacing w:beforeLines="5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喀什地区残联康复中心运转经费项目支出绩效评价报告</w:t>
      </w:r>
    </w:p>
    <w:p>
      <w:pPr>
        <w:spacing w:beforeLines="50"/>
        <w:jc w:val="center"/>
        <w:rPr>
          <w:rFonts w:ascii="方正小标宋简体" w:eastAsia="方正小标宋简体"/>
          <w:sz w:val="52"/>
          <w:szCs w:val="52"/>
        </w:rPr>
      </w:pPr>
    </w:p>
    <w:p>
      <w:pPr>
        <w:spacing w:beforeLines="50"/>
        <w:jc w:val="center"/>
        <w:rPr>
          <w:rFonts w:ascii="方正小标宋简体" w:eastAsia="方正小标宋简体"/>
          <w:sz w:val="52"/>
          <w:szCs w:val="52"/>
        </w:rPr>
      </w:pPr>
    </w:p>
    <w:p>
      <w:pPr>
        <w:spacing w:beforeLines="50"/>
        <w:jc w:val="center"/>
        <w:rPr>
          <w:rFonts w:ascii="方正小标宋简体" w:eastAsia="方正小标宋简体"/>
          <w:sz w:val="52"/>
          <w:szCs w:val="52"/>
        </w:rPr>
      </w:pPr>
    </w:p>
    <w:p>
      <w:pPr>
        <w:spacing w:beforeLines="50"/>
        <w:jc w:val="center"/>
        <w:rPr>
          <w:rFonts w:ascii="方正小标宋简体" w:eastAsia="方正小标宋简体"/>
          <w:sz w:val="52"/>
          <w:szCs w:val="52"/>
        </w:rPr>
      </w:pPr>
    </w:p>
    <w:p>
      <w:pPr>
        <w:autoSpaceDE w:val="0"/>
        <w:autoSpaceDN w:val="0"/>
        <w:spacing w:line="540" w:lineRule="exact"/>
        <w:ind w:firstLine="712" w:firstLineChars="200"/>
        <w:rPr>
          <w:rFonts w:ascii="仿宋_GB2312" w:hAnsi="仿宋" w:eastAsia="仿宋_GB2312" w:cs="Times New Roman"/>
          <w:spacing w:val="-2"/>
          <w:sz w:val="36"/>
          <w:szCs w:val="36"/>
        </w:rPr>
      </w:pPr>
      <w:r>
        <w:rPr>
          <w:rFonts w:hint="eastAsia" w:ascii="仿宋_GB2312" w:hAnsi="仿宋" w:eastAsia="仿宋_GB2312" w:cs="Times New Roman"/>
          <w:spacing w:val="-2"/>
          <w:sz w:val="36"/>
          <w:szCs w:val="36"/>
        </w:rPr>
        <w:t>项目名称：康复中心运转经费项目</w:t>
      </w:r>
    </w:p>
    <w:p>
      <w:pPr>
        <w:autoSpaceDE w:val="0"/>
        <w:autoSpaceDN w:val="0"/>
        <w:spacing w:line="540" w:lineRule="exact"/>
        <w:ind w:firstLine="712" w:firstLineChars="200"/>
        <w:rPr>
          <w:rFonts w:ascii="仿宋_GB2312" w:hAnsi="仿宋" w:eastAsia="仿宋_GB2312" w:cs="Times New Roman"/>
          <w:spacing w:val="-2"/>
          <w:sz w:val="36"/>
          <w:szCs w:val="36"/>
        </w:rPr>
      </w:pPr>
      <w:r>
        <w:rPr>
          <w:rFonts w:hint="eastAsia" w:ascii="仿宋_GB2312" w:hAnsi="仿宋" w:eastAsia="仿宋_GB2312" w:cs="Times New Roman"/>
          <w:spacing w:val="-2"/>
          <w:sz w:val="36"/>
          <w:szCs w:val="36"/>
        </w:rPr>
        <w:t>实施单位：喀什地区残疾人联合会</w:t>
      </w:r>
    </w:p>
    <w:p>
      <w:pPr>
        <w:autoSpaceDE w:val="0"/>
        <w:autoSpaceDN w:val="0"/>
        <w:spacing w:line="540" w:lineRule="exact"/>
        <w:ind w:firstLine="712" w:firstLineChars="200"/>
        <w:rPr>
          <w:rFonts w:ascii="仿宋_GB2312" w:hAnsi="仿宋" w:eastAsia="仿宋_GB2312" w:cs="Times New Roman"/>
          <w:spacing w:val="-2"/>
          <w:sz w:val="36"/>
          <w:szCs w:val="36"/>
        </w:rPr>
      </w:pPr>
      <w:r>
        <w:rPr>
          <w:rFonts w:hint="eastAsia" w:ascii="仿宋_GB2312" w:hAnsi="仿宋" w:eastAsia="仿宋_GB2312" w:cs="Times New Roman"/>
          <w:spacing w:val="-2"/>
          <w:sz w:val="36"/>
          <w:szCs w:val="36"/>
        </w:rPr>
        <w:t>评价部门：XXXX</w:t>
      </w:r>
    </w:p>
    <w:p>
      <w:pPr>
        <w:autoSpaceDE w:val="0"/>
        <w:autoSpaceDN w:val="0"/>
        <w:spacing w:line="540" w:lineRule="exact"/>
        <w:ind w:firstLine="712" w:firstLineChars="200"/>
        <w:rPr>
          <w:rFonts w:ascii="仿宋_GB2312" w:hAnsi="仿宋" w:eastAsia="仿宋_GB2312" w:cs="Times New Roman"/>
          <w:spacing w:val="-2"/>
          <w:sz w:val="36"/>
          <w:szCs w:val="36"/>
        </w:rPr>
      </w:pPr>
    </w:p>
    <w:p>
      <w:pPr>
        <w:autoSpaceDE w:val="0"/>
        <w:autoSpaceDN w:val="0"/>
        <w:spacing w:line="540" w:lineRule="exact"/>
        <w:ind w:firstLine="712" w:firstLineChars="200"/>
        <w:rPr>
          <w:rFonts w:ascii="仿宋_GB2312" w:hAnsi="仿宋" w:eastAsia="仿宋_GB2312" w:cs="Times New Roman"/>
          <w:spacing w:val="-2"/>
          <w:sz w:val="36"/>
          <w:szCs w:val="36"/>
        </w:rPr>
      </w:pPr>
    </w:p>
    <w:p>
      <w:pPr>
        <w:autoSpaceDE w:val="0"/>
        <w:autoSpaceDN w:val="0"/>
        <w:spacing w:line="540" w:lineRule="exact"/>
        <w:ind w:firstLine="2136" w:firstLineChars="600"/>
        <w:rPr>
          <w:rFonts w:ascii="仿宋_GB2312" w:hAnsi="仿宋" w:eastAsia="仿宋_GB2312" w:cs="Times New Roman"/>
          <w:spacing w:val="-2"/>
          <w:sz w:val="36"/>
          <w:szCs w:val="36"/>
        </w:rPr>
      </w:pPr>
    </w:p>
    <w:p>
      <w:pPr>
        <w:autoSpaceDE w:val="0"/>
        <w:autoSpaceDN w:val="0"/>
        <w:spacing w:line="540" w:lineRule="exact"/>
        <w:ind w:firstLine="2848" w:firstLineChars="800"/>
        <w:rPr>
          <w:rFonts w:ascii="仿宋_GB2312" w:hAnsi="仿宋" w:eastAsia="仿宋_GB2312" w:cs="Times New Roman"/>
          <w:spacing w:val="-2"/>
          <w:sz w:val="36"/>
          <w:szCs w:val="36"/>
        </w:rPr>
      </w:pPr>
      <w:r>
        <w:rPr>
          <w:rFonts w:hint="eastAsia" w:ascii="仿宋_GB2312" w:hAnsi="仿宋" w:eastAsia="仿宋_GB2312" w:cs="Times New Roman"/>
          <w:spacing w:val="-2"/>
          <w:sz w:val="36"/>
          <w:szCs w:val="36"/>
        </w:rPr>
        <w:t>二零二零年四月</w:t>
      </w:r>
    </w:p>
    <w:p>
      <w:pPr>
        <w:pStyle w:val="21"/>
        <w:numPr>
          <w:ilvl w:val="0"/>
          <w:numId w:val="2"/>
        </w:numPr>
        <w:ind w:firstLineChars="0"/>
      </w:pPr>
      <w:r>
        <w:rPr>
          <w:rFonts w:hint="eastAsia"/>
        </w:rPr>
        <w:t>基本情况</w:t>
      </w:r>
    </w:p>
    <w:p>
      <w:pPr>
        <w:pStyle w:val="23"/>
        <w:ind w:left="0" w:firstLine="643" w:firstLineChars="200"/>
      </w:pPr>
      <w:bookmarkStart w:id="0" w:name="_Toc26401549"/>
      <w:r>
        <w:rPr>
          <w:rFonts w:hint="eastAsia"/>
        </w:rPr>
        <w:t>项目概况</w:t>
      </w:r>
      <w:bookmarkEnd w:id="0"/>
    </w:p>
    <w:p>
      <w:pPr>
        <w:spacing w:beforeLines="50" w:line="600" w:lineRule="exact"/>
        <w:ind w:firstLine="645"/>
        <w:rPr>
          <w:rFonts w:ascii="仿宋_GB2312" w:hAnsi="仿宋" w:eastAsia="仿宋_GB2312" w:cs="宋体"/>
          <w:color w:val="000000" w:themeColor="text1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为全面贯彻落实党的十九大关于“发展残疾人事业，加强残疾康复服务”的重要部署，改善残疾儿童康复状况、促进残疾儿童全面发展、减轻残疾儿童家庭负担，完善社会保障体系，根据《残疾预防和残疾人康复条例》，国务院决定建立残疾儿童康复救助制度。</w:t>
      </w:r>
    </w:p>
    <w:p>
      <w:pPr>
        <w:pStyle w:val="17"/>
        <w:numPr>
          <w:ilvl w:val="0"/>
          <w:numId w:val="3"/>
        </w:numPr>
        <w:spacing w:beforeLines="50" w:line="600" w:lineRule="exact"/>
        <w:ind w:firstLineChars="0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项目背景及立项依据</w:t>
      </w:r>
    </w:p>
    <w:p>
      <w:pPr>
        <w:spacing w:beforeLines="50" w:line="600" w:lineRule="exact"/>
        <w:ind w:firstLine="645"/>
        <w:rPr>
          <w:rFonts w:hint="eastAsia"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本项目根据《残疾人儿童康复救助制度》，为全面贯彻落实党的十九大关于“发展残疾人事业，加强残疾康复服务”的重要部署，改善残疾儿童康复状况、促进残疾儿童全面发展、减轻残疾儿童家庭负担，完善社会保障体系，根据《残疾预防和残疾人康复条例》，国务院决定建立残疾儿童康复救助制度。</w:t>
      </w:r>
    </w:p>
    <w:p>
      <w:pPr>
        <w:spacing w:beforeLines="50" w:line="600" w:lineRule="exact"/>
        <w:ind w:firstLine="645"/>
        <w:rPr>
          <w:rFonts w:ascii="仿宋_GB2312" w:hAnsi="仿宋" w:eastAsia="仿宋_GB2312" w:cs="宋体"/>
          <w:color w:val="000000" w:themeColor="text1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保障我会服务中心康复中心正常运转，因此开展此项目。</w:t>
      </w:r>
    </w:p>
    <w:p>
      <w:pPr>
        <w:spacing w:beforeLines="50" w:line="600" w:lineRule="exact"/>
        <w:ind w:firstLine="645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项目实施前进行充分调研，制定实施方案，项目实施过程中严格按照实施方案进行实施并及时进行监督管理，项目实施后是否进行及时验收及后期维护。</w:t>
      </w:r>
    </w:p>
    <w:p>
      <w:pPr>
        <w:tabs>
          <w:tab w:val="left" w:pos="7770"/>
        </w:tabs>
        <w:spacing w:beforeLines="50" w:line="600" w:lineRule="exact"/>
        <w:ind w:firstLine="645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3.项目负责人为宋清白，主要职责为康复中心运转。</w:t>
      </w:r>
    </w:p>
    <w:p>
      <w:pPr>
        <w:pStyle w:val="23"/>
        <w:ind w:left="0" w:firstLine="643" w:firstLineChars="200"/>
      </w:pPr>
      <w:bookmarkStart w:id="1" w:name="_Toc26401550"/>
      <w:r>
        <w:rPr>
          <w:rFonts w:hint="eastAsia"/>
        </w:rPr>
        <w:t>资金</w:t>
      </w:r>
      <w:bookmarkEnd w:id="1"/>
      <w:r>
        <w:rPr>
          <w:rFonts w:hint="eastAsia"/>
        </w:rPr>
        <w:t>投入和使用情况</w:t>
      </w:r>
    </w:p>
    <w:p>
      <w:pPr>
        <w:spacing w:beforeLines="50" w:line="600" w:lineRule="exact"/>
        <w:ind w:firstLine="645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本项目总投资20万元，本级部门预算。</w:t>
      </w:r>
    </w:p>
    <w:p>
      <w:pPr>
        <w:spacing w:beforeLines="50" w:line="600" w:lineRule="exact"/>
        <w:ind w:firstLine="645"/>
        <w:rPr>
          <w:rFonts w:hint="eastAsia"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康复中心运转经费项目项资金的使用范围：保障康复中心的日常运转。</w:t>
      </w:r>
    </w:p>
    <w:p>
      <w:pPr>
        <w:spacing w:beforeLines="50" w:line="600" w:lineRule="exact"/>
        <w:ind w:firstLine="645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喀什地区</w:t>
      </w:r>
      <w:r>
        <w:rPr>
          <w:rFonts w:ascii="仿宋_GB2312" w:hAnsi="仿宋" w:eastAsia="仿宋_GB2312" w:cs="宋体"/>
          <w:sz w:val="32"/>
          <w:szCs w:val="32"/>
        </w:rPr>
        <w:t>残联</w:t>
      </w:r>
      <w:r>
        <w:rPr>
          <w:rFonts w:hint="eastAsia" w:ascii="仿宋_GB2312" w:hAnsi="仿宋" w:eastAsia="仿宋_GB2312" w:cs="宋体"/>
          <w:sz w:val="32"/>
          <w:szCs w:val="32"/>
        </w:rPr>
        <w:t>制定了《财务管理内控制度》资金管理办法，按照《财务管理内控制度》管理规定进行使用。</w:t>
      </w:r>
    </w:p>
    <w:p>
      <w:pPr>
        <w:pStyle w:val="23"/>
        <w:ind w:left="0" w:firstLine="643" w:firstLineChars="200"/>
      </w:pPr>
      <w:bookmarkStart w:id="2" w:name="_Toc26401551"/>
      <w:r>
        <w:rPr>
          <w:rFonts w:hint="eastAsia"/>
        </w:rPr>
        <w:t>绩效目标</w:t>
      </w:r>
      <w:bookmarkEnd w:id="2"/>
    </w:p>
    <w:p>
      <w:pPr>
        <w:spacing w:beforeLines="50" w:line="600" w:lineRule="exact"/>
        <w:ind w:firstLine="640" w:firstLineChars="200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总体目标为：残疾儿童数量</w:t>
      </w:r>
      <w:r>
        <w:rPr>
          <w:rFonts w:ascii="仿宋_GB2312" w:hAnsi="仿宋" w:eastAsia="仿宋_GB2312" w:cs="宋体"/>
          <w:sz w:val="32"/>
          <w:szCs w:val="32"/>
        </w:rPr>
        <w:t>67人、托养人员数量30人、产品质量合格率≥90%、按时购买产品并及时使用≥90%、改善残疾孩子生活条件，提高残疾人生活质量、受益群众满意度≥90%</w:t>
      </w:r>
    </w:p>
    <w:p>
      <w:pPr>
        <w:spacing w:beforeLines="50" w:line="600" w:lineRule="exact"/>
        <w:rPr>
          <w:rFonts w:ascii="仿宋_GB2312" w:hAnsi="仿宋" w:eastAsia="仿宋_GB2312" w:cs="宋体"/>
          <w:color w:val="FF0000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 xml:space="preserve"> </w:t>
      </w:r>
      <w:r>
        <w:rPr>
          <w:rFonts w:ascii="仿宋_GB2312" w:hAnsi="仿宋" w:eastAsia="仿宋_GB2312" w:cs="宋体"/>
          <w:sz w:val="32"/>
          <w:szCs w:val="32"/>
        </w:rPr>
        <w:t xml:space="preserve">   </w:t>
      </w:r>
      <w:r>
        <w:rPr>
          <w:rFonts w:hint="eastAsia" w:ascii="仿宋_GB2312" w:hAnsi="仿宋" w:eastAsia="仿宋_GB2312" w:cs="宋体"/>
          <w:sz w:val="32"/>
          <w:szCs w:val="32"/>
        </w:rPr>
        <w:t>项目共设置一级指标3个，二级指标7个，三级指标14个，绩效目标申报表详见附件1。</w:t>
      </w:r>
    </w:p>
    <w:p>
      <w:pPr>
        <w:pStyle w:val="21"/>
        <w:numPr>
          <w:ilvl w:val="0"/>
          <w:numId w:val="2"/>
        </w:numPr>
        <w:ind w:firstLineChars="0"/>
      </w:pPr>
      <w:bookmarkStart w:id="3" w:name="_Toc26401552"/>
      <w:r>
        <w:rPr>
          <w:rFonts w:hint="eastAsia"/>
        </w:rPr>
        <w:t>评价工作简述</w:t>
      </w:r>
      <w:bookmarkEnd w:id="3"/>
    </w:p>
    <w:p>
      <w:pPr>
        <w:pStyle w:val="23"/>
        <w:numPr>
          <w:ilvl w:val="0"/>
          <w:numId w:val="4"/>
        </w:numPr>
        <w:ind w:left="0" w:firstLine="643" w:firstLineChars="200"/>
      </w:pPr>
      <w:bookmarkStart w:id="4" w:name="_Toc26401553"/>
      <w:r>
        <w:rPr>
          <w:rFonts w:hint="eastAsia"/>
        </w:rPr>
        <w:t>评价目的</w:t>
      </w:r>
      <w:bookmarkEnd w:id="4"/>
    </w:p>
    <w:p>
      <w:pPr>
        <w:spacing w:beforeLines="50" w:line="600" w:lineRule="exact"/>
        <w:ind w:firstLine="640" w:firstLineChars="200"/>
        <w:rPr>
          <w:rFonts w:ascii="仿宋_GB2312" w:hAnsi="仿宋" w:eastAsia="仿宋_GB2312" w:cs="宋体"/>
          <w:color w:val="FF0000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本次绩效评价遵循财政部《项目</w:t>
      </w:r>
      <w:r>
        <w:rPr>
          <w:rFonts w:ascii="仿宋_GB2312" w:hAnsi="仿宋" w:eastAsia="仿宋_GB2312" w:cs="宋体"/>
          <w:sz w:val="32"/>
          <w:szCs w:val="32"/>
        </w:rPr>
        <w:t>支出绩效评价管理办法》（财预〔2020〕10号）和自治区财政厅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shd w:val="clear" w:color="auto" w:fill="FFFFFF"/>
        </w:rPr>
        <w:t>《自治区财政支出绩效评价管理暂行办法》（新财预〔</w:t>
      </w:r>
      <w:r>
        <w:rPr>
          <w:rFonts w:ascii="仿宋_GB2312" w:hAnsi="仿宋_GB2312" w:eastAsia="仿宋_GB2312" w:cs="仿宋_GB2312"/>
          <w:kern w:val="0"/>
          <w:sz w:val="32"/>
          <w:szCs w:val="32"/>
          <w:shd w:val="clear" w:color="auto" w:fill="FFFFFF"/>
        </w:rPr>
        <w:t>2018〕189号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shd w:val="clear" w:color="auto" w:fill="FFFFFF"/>
        </w:rPr>
        <w:t>）</w:t>
      </w:r>
      <w:r>
        <w:rPr>
          <w:rFonts w:ascii="仿宋_GB2312" w:hAnsi="仿宋" w:eastAsia="仿宋_GB2312" w:cs="宋体"/>
          <w:sz w:val="32"/>
          <w:szCs w:val="32"/>
        </w:rPr>
        <w:t>等相关政策文件与规定，</w:t>
      </w:r>
      <w:r>
        <w:rPr>
          <w:rFonts w:hint="eastAsia" w:ascii="仿宋_GB2312" w:hAnsi="仿宋" w:eastAsia="仿宋_GB2312" w:cs="宋体"/>
          <w:sz w:val="32"/>
          <w:szCs w:val="32"/>
        </w:rPr>
        <w:t>旨在评价康复中心运转经费项目实施前期、过程及效果，评价财政预算资金使用的效率及效益。</w:t>
      </w:r>
    </w:p>
    <w:p>
      <w:pPr>
        <w:pStyle w:val="23"/>
        <w:numPr>
          <w:ilvl w:val="0"/>
          <w:numId w:val="4"/>
        </w:numPr>
        <w:ind w:left="0" w:firstLine="643" w:firstLineChars="200"/>
      </w:pPr>
      <w:r>
        <w:rPr>
          <w:rFonts w:hint="eastAsia"/>
        </w:rPr>
        <w:t>本次绩效评价的对象及范围</w:t>
      </w:r>
      <w:bookmarkStart w:id="5" w:name="_Toc26401554"/>
    </w:p>
    <w:p>
      <w:pPr>
        <w:spacing w:beforeLines="50" w:line="600" w:lineRule="exact"/>
        <w:ind w:firstLine="640" w:firstLineChars="200"/>
        <w:rPr>
          <w:rFonts w:ascii="仿宋_GB2312" w:hAnsi="仿宋" w:eastAsia="仿宋_GB2312" w:cs="宋体"/>
          <w:sz w:val="32"/>
          <w:szCs w:val="32"/>
        </w:rPr>
      </w:pPr>
      <w:r>
        <w:rPr>
          <w:rFonts w:ascii="仿宋_GB2312" w:hAnsi="仿宋" w:eastAsia="仿宋_GB2312" w:cs="宋体"/>
          <w:sz w:val="32"/>
          <w:szCs w:val="32"/>
        </w:rPr>
        <w:t>本次评价对象为康复中心运转经费项目资金，评价范围包括专项资</w:t>
      </w:r>
      <w:r>
        <w:rPr>
          <w:rFonts w:hint="eastAsia" w:ascii="仿宋_GB2312" w:hAnsi="仿宋" w:eastAsia="仿宋_GB2312" w:cs="宋体"/>
          <w:sz w:val="32"/>
          <w:szCs w:val="32"/>
        </w:rPr>
        <w:t>金的安排、组织及使用效益。</w:t>
      </w:r>
    </w:p>
    <w:p>
      <w:pPr>
        <w:pStyle w:val="23"/>
        <w:numPr>
          <w:ilvl w:val="0"/>
          <w:numId w:val="4"/>
        </w:numPr>
        <w:ind w:left="0" w:firstLine="643" w:firstLineChars="200"/>
      </w:pPr>
      <w:r>
        <w:rPr>
          <w:rFonts w:hint="eastAsia"/>
        </w:rPr>
        <w:t>绩效评价原则</w:t>
      </w:r>
      <w:bookmarkEnd w:id="5"/>
    </w:p>
    <w:p>
      <w:pPr>
        <w:spacing w:beforeLines="50" w:line="600" w:lineRule="exact"/>
        <w:ind w:firstLine="640" w:firstLineChars="200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本次绩效评价遵循的原则包括：</w:t>
      </w:r>
    </w:p>
    <w:p>
      <w:pPr>
        <w:pStyle w:val="23"/>
        <w:keepNext w:val="0"/>
        <w:keepLines w:val="0"/>
        <w:numPr>
          <w:ilvl w:val="1"/>
          <w:numId w:val="5"/>
        </w:numPr>
        <w:ind w:left="0" w:firstLine="640" w:firstLineChars="200"/>
        <w:rPr>
          <w:rFonts w:hAnsi="仿宋" w:cs="宋体"/>
          <w:b w:val="0"/>
        </w:rPr>
      </w:pPr>
      <w:r>
        <w:rPr>
          <w:rFonts w:hint="eastAsia" w:hAnsi="仿宋" w:cs="宋体"/>
          <w:b w:val="0"/>
        </w:rPr>
        <w:t>科学公正。绩效评价应当运用科学合理的方法，按照规范的程序，对项目绩效进行客观、公正的反映。</w:t>
      </w:r>
    </w:p>
    <w:p>
      <w:pPr>
        <w:pStyle w:val="23"/>
        <w:keepNext w:val="0"/>
        <w:keepLines w:val="0"/>
        <w:numPr>
          <w:ilvl w:val="1"/>
          <w:numId w:val="5"/>
        </w:numPr>
        <w:ind w:left="0" w:firstLine="640" w:firstLineChars="200"/>
        <w:rPr>
          <w:rFonts w:hAnsi="仿宋" w:cs="宋体"/>
          <w:b w:val="0"/>
        </w:rPr>
      </w:pPr>
      <w:r>
        <w:rPr>
          <w:rFonts w:hint="eastAsia" w:hAnsi="仿宋" w:cs="宋体"/>
          <w:b w:val="0"/>
        </w:rPr>
        <w:t>统筹兼顾。单位自评、部门评价和财政评价应职责明确，各有侧重，相互衔接。单位自评应由项目单位自主实施，即“谁支出、谁自评”。部门评价和财政评价应在单位自评的基础上开展，必要时可委托第三方机构实施。</w:t>
      </w:r>
    </w:p>
    <w:p>
      <w:pPr>
        <w:pStyle w:val="23"/>
        <w:keepNext w:val="0"/>
        <w:keepLines w:val="0"/>
        <w:numPr>
          <w:ilvl w:val="1"/>
          <w:numId w:val="5"/>
        </w:numPr>
        <w:ind w:left="0" w:firstLine="640" w:firstLineChars="200"/>
        <w:rPr>
          <w:rFonts w:hAnsi="仿宋" w:cs="宋体"/>
          <w:b w:val="0"/>
        </w:rPr>
      </w:pPr>
      <w:r>
        <w:rPr>
          <w:rFonts w:hint="eastAsia" w:hAnsi="仿宋" w:cs="宋体"/>
          <w:b w:val="0"/>
        </w:rPr>
        <w:t>激励约束。绩效评价结果应与预算安排、政策调整、改进管理实质性挂钩，体现奖优罚劣和激励相容导向，有效要安排、低效要压减、无效要问责。</w:t>
      </w:r>
    </w:p>
    <w:p>
      <w:pPr>
        <w:pStyle w:val="23"/>
        <w:keepNext w:val="0"/>
        <w:keepLines w:val="0"/>
        <w:numPr>
          <w:ilvl w:val="1"/>
          <w:numId w:val="5"/>
        </w:numPr>
        <w:ind w:left="0" w:firstLine="640" w:firstLineChars="200"/>
        <w:rPr>
          <w:b w:val="0"/>
        </w:rPr>
      </w:pPr>
      <w:r>
        <w:rPr>
          <w:rFonts w:hint="eastAsia" w:hAnsi="仿宋" w:cs="宋体"/>
          <w:b w:val="0"/>
        </w:rPr>
        <w:t>公开透明。绩效评价结果应依法依规公开，并自觉接受社会监督。</w:t>
      </w:r>
      <w:r>
        <w:rPr>
          <w:rFonts w:hint="eastAsia"/>
          <w:b w:val="0"/>
        </w:rPr>
        <w:t>绩效评价体系</w:t>
      </w:r>
    </w:p>
    <w:p>
      <w:pPr>
        <w:pStyle w:val="23"/>
        <w:numPr>
          <w:ilvl w:val="0"/>
          <w:numId w:val="4"/>
        </w:numPr>
        <w:ind w:left="0" w:firstLine="643" w:firstLineChars="200"/>
      </w:pPr>
      <w:r>
        <w:rPr>
          <w:rFonts w:hint="eastAsia"/>
        </w:rPr>
        <w:t>本项目绩效评价体系</w:t>
      </w:r>
    </w:p>
    <w:p>
      <w:pPr>
        <w:pStyle w:val="23"/>
        <w:numPr>
          <w:ilvl w:val="0"/>
          <w:numId w:val="0"/>
        </w:numPr>
        <w:ind w:firstLine="640" w:firstLineChars="200"/>
        <w:rPr>
          <w:b w:val="0"/>
        </w:rPr>
      </w:pPr>
      <w:r>
        <w:rPr>
          <w:rFonts w:hint="eastAsia"/>
          <w:b w:val="0"/>
        </w:rPr>
        <w:t>本项目绩效评价体系为根据财预</w:t>
      </w:r>
      <w:r>
        <w:rPr>
          <w:rFonts w:hint="eastAsia" w:ascii="仿宋" w:hAnsi="仿宋" w:eastAsia="仿宋"/>
          <w:b w:val="0"/>
        </w:rPr>
        <w:t>﹝</w:t>
      </w:r>
      <w:r>
        <w:rPr>
          <w:rFonts w:hint="eastAsia"/>
          <w:b w:val="0"/>
        </w:rPr>
        <w:t>2</w:t>
      </w:r>
      <w:r>
        <w:rPr>
          <w:b w:val="0"/>
        </w:rPr>
        <w:t>020</w:t>
      </w:r>
      <w:r>
        <w:rPr>
          <w:rFonts w:hint="eastAsia" w:ascii="仿宋" w:hAnsi="仿宋" w:eastAsia="仿宋"/>
          <w:b w:val="0"/>
        </w:rPr>
        <w:t>﹞</w:t>
      </w:r>
      <w:r>
        <w:rPr>
          <w:rFonts w:hint="eastAsia"/>
          <w:b w:val="0"/>
        </w:rPr>
        <w:t>1</w:t>
      </w:r>
      <w:r>
        <w:rPr>
          <w:b w:val="0"/>
        </w:rPr>
        <w:t>0</w:t>
      </w:r>
      <w:r>
        <w:rPr>
          <w:rFonts w:hint="eastAsia"/>
          <w:b w:val="0"/>
        </w:rPr>
        <w:t>号共性指标及个性化指标设置，详见附件2。</w:t>
      </w:r>
    </w:p>
    <w:p>
      <w:pPr>
        <w:pStyle w:val="23"/>
        <w:keepNext w:val="0"/>
        <w:keepLines w:val="0"/>
        <w:numPr>
          <w:ilvl w:val="0"/>
          <w:numId w:val="4"/>
        </w:numPr>
        <w:ind w:left="0" w:firstLine="643" w:firstLineChars="200"/>
      </w:pPr>
      <w:bookmarkStart w:id="6" w:name="_Toc26401555"/>
      <w:r>
        <w:rPr>
          <w:rFonts w:hint="eastAsia"/>
        </w:rPr>
        <w:t>绩效评价方法</w:t>
      </w:r>
      <w:bookmarkEnd w:id="6"/>
    </w:p>
    <w:p>
      <w:pPr>
        <w:spacing w:beforeLines="50" w:line="600" w:lineRule="exact"/>
        <w:ind w:firstLine="645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本次绩效评价方法的选用因素分析法。</w:t>
      </w:r>
    </w:p>
    <w:p>
      <w:pPr>
        <w:pStyle w:val="23"/>
        <w:keepNext w:val="0"/>
        <w:keepLines w:val="0"/>
        <w:numPr>
          <w:ilvl w:val="0"/>
          <w:numId w:val="4"/>
        </w:numPr>
        <w:ind w:left="0" w:firstLine="643" w:firstLineChars="200"/>
      </w:pPr>
      <w:r>
        <w:rPr>
          <w:rFonts w:hint="eastAsia"/>
        </w:rPr>
        <w:t>评价标准</w:t>
      </w:r>
    </w:p>
    <w:p>
      <w:pPr>
        <w:pStyle w:val="23"/>
        <w:keepNext w:val="0"/>
        <w:keepLines w:val="0"/>
        <w:numPr>
          <w:ilvl w:val="0"/>
          <w:numId w:val="0"/>
        </w:numPr>
        <w:ind w:firstLine="645"/>
        <w:rPr>
          <w:rFonts w:hint="eastAsia"/>
          <w:bCs w:val="0"/>
        </w:rPr>
      </w:pPr>
      <w:r>
        <w:rPr>
          <w:rFonts w:hint="eastAsia"/>
        </w:rPr>
        <w:t>项目评价标准采用</w:t>
      </w:r>
      <w:r>
        <w:rPr>
          <w:rFonts w:hint="eastAsia"/>
          <w:bCs w:val="0"/>
        </w:rPr>
        <w:t>计划标准。</w:t>
      </w:r>
    </w:p>
    <w:p>
      <w:pPr>
        <w:pStyle w:val="23"/>
        <w:keepNext w:val="0"/>
        <w:keepLines w:val="0"/>
        <w:numPr>
          <w:ilvl w:val="0"/>
          <w:numId w:val="0"/>
        </w:numPr>
        <w:ind w:firstLine="645"/>
        <w:rPr>
          <w:rFonts w:hint="eastAsia"/>
          <w:bCs w:val="0"/>
        </w:rPr>
      </w:pPr>
    </w:p>
    <w:p>
      <w:pPr>
        <w:pStyle w:val="23"/>
        <w:keepNext w:val="0"/>
        <w:keepLines w:val="0"/>
        <w:numPr>
          <w:ilvl w:val="0"/>
          <w:numId w:val="0"/>
        </w:numPr>
        <w:ind w:firstLine="645"/>
        <w:rPr>
          <w:rFonts w:hint="eastAsia"/>
          <w:bCs w:val="0"/>
        </w:rPr>
      </w:pPr>
    </w:p>
    <w:p>
      <w:pPr>
        <w:pStyle w:val="23"/>
        <w:keepNext w:val="0"/>
        <w:keepLines w:val="0"/>
        <w:numPr>
          <w:ilvl w:val="0"/>
          <w:numId w:val="0"/>
        </w:numPr>
        <w:ind w:firstLine="645"/>
      </w:pPr>
    </w:p>
    <w:p>
      <w:pPr>
        <w:pStyle w:val="23"/>
        <w:keepNext w:val="0"/>
        <w:keepLines w:val="0"/>
        <w:numPr>
          <w:ilvl w:val="0"/>
          <w:numId w:val="4"/>
        </w:numPr>
        <w:ind w:left="0" w:firstLine="643" w:firstLineChars="200"/>
      </w:pPr>
      <w:r>
        <w:rPr>
          <w:rFonts w:hint="eastAsia"/>
        </w:rPr>
        <w:t>绩效评价工作过程</w:t>
      </w:r>
    </w:p>
    <w:p>
      <w:pPr>
        <w:pStyle w:val="23"/>
        <w:keepNext w:val="0"/>
        <w:keepLines w:val="0"/>
        <w:numPr>
          <w:ilvl w:val="0"/>
          <w:numId w:val="0"/>
        </w:numPr>
        <w:ind w:firstLine="640" w:firstLineChars="200"/>
        <w:outlineLvl w:val="9"/>
        <w:rPr>
          <w:b w:val="0"/>
          <w:bCs w:val="0"/>
        </w:rPr>
      </w:pPr>
      <w:r>
        <w:rPr>
          <w:rFonts w:hint="eastAsia"/>
          <w:b w:val="0"/>
          <w:bCs w:val="0"/>
        </w:rPr>
        <w:t>本次评价成立了评价，成员如下：</w:t>
      </w:r>
    </w:p>
    <w:tbl>
      <w:tblPr>
        <w:tblStyle w:val="13"/>
        <w:tblW w:w="82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5"/>
        <w:gridCol w:w="2765"/>
        <w:gridCol w:w="27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65" w:type="dxa"/>
            <w:vAlign w:val="center"/>
          </w:tcPr>
          <w:p>
            <w:pPr>
              <w:pStyle w:val="23"/>
              <w:keepNext w:val="0"/>
              <w:keepLines w:val="0"/>
              <w:numPr>
                <w:ilvl w:val="0"/>
                <w:numId w:val="0"/>
              </w:numPr>
              <w:spacing w:line="240" w:lineRule="atLeast"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评价人</w:t>
            </w:r>
          </w:p>
        </w:tc>
        <w:tc>
          <w:tcPr>
            <w:tcW w:w="2765" w:type="dxa"/>
            <w:vAlign w:val="center"/>
          </w:tcPr>
          <w:p>
            <w:pPr>
              <w:pStyle w:val="23"/>
              <w:keepNext w:val="0"/>
              <w:keepLines w:val="0"/>
              <w:numPr>
                <w:ilvl w:val="0"/>
                <w:numId w:val="0"/>
              </w:numPr>
              <w:spacing w:line="240" w:lineRule="atLeast"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职责</w:t>
            </w:r>
          </w:p>
        </w:tc>
        <w:tc>
          <w:tcPr>
            <w:tcW w:w="2766" w:type="dxa"/>
            <w:vAlign w:val="center"/>
          </w:tcPr>
          <w:p>
            <w:pPr>
              <w:pStyle w:val="23"/>
              <w:keepNext w:val="0"/>
              <w:keepLines w:val="0"/>
              <w:numPr>
                <w:ilvl w:val="0"/>
                <w:numId w:val="0"/>
              </w:numPr>
              <w:spacing w:line="240" w:lineRule="atLeast"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职称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65" w:type="dxa"/>
            <w:vAlign w:val="center"/>
          </w:tcPr>
          <w:p>
            <w:pPr>
              <w:pStyle w:val="23"/>
              <w:keepNext w:val="0"/>
              <w:keepLines w:val="0"/>
              <w:numPr>
                <w:ilvl w:val="0"/>
                <w:numId w:val="0"/>
              </w:numPr>
              <w:spacing w:line="240" w:lineRule="atLeast"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周世成</w:t>
            </w:r>
          </w:p>
        </w:tc>
        <w:tc>
          <w:tcPr>
            <w:tcW w:w="2765" w:type="dxa"/>
            <w:vAlign w:val="center"/>
          </w:tcPr>
          <w:p>
            <w:pPr>
              <w:pStyle w:val="23"/>
              <w:keepNext w:val="0"/>
              <w:keepLines w:val="0"/>
              <w:numPr>
                <w:ilvl w:val="0"/>
                <w:numId w:val="0"/>
              </w:numPr>
              <w:spacing w:line="240" w:lineRule="atLeast"/>
              <w:ind w:firstLine="320" w:firstLineChars="100"/>
              <w:jc w:val="both"/>
              <w:rPr>
                <w:rFonts w:hint="eastAsia" w:eastAsia="仿宋_GB2312"/>
                <w:b w:val="0"/>
                <w:bCs w:val="0"/>
                <w:lang w:eastAsia="zh-CN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负责项目监管</w:t>
            </w:r>
          </w:p>
        </w:tc>
        <w:tc>
          <w:tcPr>
            <w:tcW w:w="2766" w:type="dxa"/>
            <w:vAlign w:val="center"/>
          </w:tcPr>
          <w:p>
            <w:pPr>
              <w:pStyle w:val="23"/>
              <w:keepNext w:val="0"/>
              <w:keepLines w:val="0"/>
              <w:numPr>
                <w:ilvl w:val="0"/>
                <w:numId w:val="0"/>
              </w:numPr>
              <w:spacing w:line="240" w:lineRule="atLeast"/>
              <w:ind w:left="0" w:leftChars="0" w:firstLine="0" w:firstLineChars="0"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党组书记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65" w:type="dxa"/>
            <w:vAlign w:val="center"/>
          </w:tcPr>
          <w:p>
            <w:pPr>
              <w:pStyle w:val="23"/>
              <w:keepNext w:val="0"/>
              <w:keepLines w:val="0"/>
              <w:numPr>
                <w:ilvl w:val="0"/>
                <w:numId w:val="0"/>
              </w:numPr>
              <w:spacing w:line="240" w:lineRule="atLeast"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呼甫尔江</w:t>
            </w:r>
          </w:p>
        </w:tc>
        <w:tc>
          <w:tcPr>
            <w:tcW w:w="2765" w:type="dxa"/>
            <w:vAlign w:val="center"/>
          </w:tcPr>
          <w:p>
            <w:pPr>
              <w:pStyle w:val="23"/>
              <w:keepNext w:val="0"/>
              <w:keepLines w:val="0"/>
              <w:numPr>
                <w:ilvl w:val="0"/>
                <w:numId w:val="0"/>
              </w:numPr>
              <w:spacing w:line="240" w:lineRule="atLeast"/>
              <w:jc w:val="center"/>
              <w:rPr>
                <w:rFonts w:hint="eastAsia" w:eastAsia="仿宋_GB2312"/>
                <w:b w:val="0"/>
                <w:bCs w:val="0"/>
                <w:lang w:eastAsia="zh-CN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负责项目实施</w:t>
            </w:r>
          </w:p>
        </w:tc>
        <w:tc>
          <w:tcPr>
            <w:tcW w:w="2766" w:type="dxa"/>
            <w:vAlign w:val="center"/>
          </w:tcPr>
          <w:p>
            <w:pPr>
              <w:pStyle w:val="23"/>
              <w:keepNext w:val="0"/>
              <w:keepLines w:val="0"/>
              <w:numPr>
                <w:ilvl w:val="0"/>
                <w:numId w:val="0"/>
              </w:numPr>
              <w:spacing w:line="240" w:lineRule="atLeast"/>
              <w:ind w:left="0" w:leftChars="0" w:firstLine="0" w:firstLineChars="0"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办公室副主任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65" w:type="dxa"/>
            <w:vAlign w:val="center"/>
          </w:tcPr>
          <w:p>
            <w:pPr>
              <w:pStyle w:val="23"/>
              <w:keepNext w:val="0"/>
              <w:keepLines w:val="0"/>
              <w:numPr>
                <w:ilvl w:val="0"/>
                <w:numId w:val="0"/>
              </w:numPr>
              <w:spacing w:line="240" w:lineRule="atLeast"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宋清白</w:t>
            </w:r>
          </w:p>
        </w:tc>
        <w:tc>
          <w:tcPr>
            <w:tcW w:w="2765" w:type="dxa"/>
            <w:vAlign w:val="center"/>
          </w:tcPr>
          <w:p>
            <w:pPr>
              <w:pStyle w:val="23"/>
              <w:keepNext w:val="0"/>
              <w:keepLines w:val="0"/>
              <w:numPr>
                <w:ilvl w:val="0"/>
                <w:numId w:val="0"/>
              </w:numPr>
              <w:spacing w:line="240" w:lineRule="atLeast"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负责项目实施</w:t>
            </w:r>
          </w:p>
        </w:tc>
        <w:tc>
          <w:tcPr>
            <w:tcW w:w="2766" w:type="dxa"/>
            <w:vAlign w:val="center"/>
          </w:tcPr>
          <w:p>
            <w:pPr>
              <w:pStyle w:val="23"/>
              <w:keepNext w:val="0"/>
              <w:keepLines w:val="0"/>
              <w:numPr>
                <w:ilvl w:val="0"/>
                <w:numId w:val="0"/>
              </w:numPr>
              <w:spacing w:line="240" w:lineRule="atLeast"/>
              <w:ind w:left="0" w:leftChars="0" w:firstLine="0" w:firstLineChars="0"/>
              <w:jc w:val="center"/>
              <w:rPr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服务中心主任</w:t>
            </w:r>
          </w:p>
        </w:tc>
      </w:tr>
    </w:tbl>
    <w:p>
      <w:pPr>
        <w:pStyle w:val="23"/>
        <w:keepNext w:val="0"/>
        <w:keepLines w:val="0"/>
        <w:numPr>
          <w:ilvl w:val="0"/>
          <w:numId w:val="0"/>
        </w:numPr>
        <w:ind w:firstLine="640" w:firstLineChars="200"/>
        <w:outlineLvl w:val="9"/>
        <w:rPr>
          <w:b w:val="0"/>
          <w:bCs w:val="0"/>
        </w:rPr>
      </w:pPr>
      <w:r>
        <w:rPr>
          <w:rFonts w:hint="eastAsia"/>
          <w:b w:val="0"/>
          <w:bCs w:val="0"/>
        </w:rPr>
        <w:t>本次评价设计了评价方案、评价指标体系，通过资料分析、调研、访谈满意度调查等方式形成评价结论，在与项目单位沟通后确定评价意见，并出具评价报告。　</w:t>
      </w:r>
    </w:p>
    <w:p>
      <w:pPr>
        <w:pStyle w:val="21"/>
        <w:numPr>
          <w:ilvl w:val="0"/>
          <w:numId w:val="2"/>
        </w:numPr>
        <w:ind w:firstLineChars="0"/>
      </w:pPr>
      <w:bookmarkStart w:id="7" w:name="_Toc26401558"/>
      <w:r>
        <w:rPr>
          <w:rFonts w:hint="eastAsia" w:ascii="黑体" w:hAnsi="黑体"/>
        </w:rPr>
        <w:t>综合评价情况及评价结论</w:t>
      </w:r>
      <w:r>
        <w:rPr>
          <w:rFonts w:hint="eastAsia" w:ascii="仿宋_GB2312"/>
        </w:rPr>
        <w:t>（附相关评分表）</w:t>
      </w:r>
    </w:p>
    <w:p>
      <w:pPr>
        <w:pStyle w:val="21"/>
        <w:ind w:firstLine="640"/>
        <w:rPr>
          <w:rFonts w:ascii="仿宋_GB2312" w:eastAsia="仿宋_GB2312" w:hAnsiTheme="majorHAnsi"/>
          <w:b w:val="0"/>
          <w:bCs w:val="0"/>
          <w:kern w:val="2"/>
        </w:rPr>
      </w:pPr>
      <w:r>
        <w:rPr>
          <w:rFonts w:hint="eastAsia" w:ascii="仿宋_GB2312" w:eastAsia="仿宋_GB2312" w:hAnsiTheme="majorHAnsi"/>
          <w:b w:val="0"/>
          <w:bCs w:val="0"/>
          <w:kern w:val="2"/>
        </w:rPr>
        <w:t>经评价组通过实地调研、资料分析等方式，采用综合分析法的决策、管理、绩效进行的综合评价分析，项目得分为95分，评价结果为优，详见附件6。</w:t>
      </w:r>
    </w:p>
    <w:p>
      <w:pPr>
        <w:pStyle w:val="21"/>
        <w:numPr>
          <w:ilvl w:val="0"/>
          <w:numId w:val="2"/>
        </w:numPr>
        <w:ind w:firstLineChars="0"/>
      </w:pPr>
      <w:r>
        <w:rPr>
          <w:rFonts w:hint="eastAsia"/>
        </w:rPr>
        <w:t>绩效评价指标分析</w:t>
      </w:r>
      <w:bookmarkEnd w:id="7"/>
    </w:p>
    <w:p>
      <w:pPr>
        <w:pStyle w:val="17"/>
        <w:numPr>
          <w:ilvl w:val="0"/>
          <w:numId w:val="6"/>
        </w:numPr>
        <w:spacing w:beforeLines="50" w:line="600" w:lineRule="exact"/>
        <w:ind w:left="0" w:firstLine="643"/>
        <w:rPr>
          <w:rFonts w:ascii="仿宋_GB2312" w:hAnsi="仿宋" w:eastAsia="仿宋_GB2312" w:cs="宋体"/>
          <w:b/>
          <w:bCs/>
          <w:sz w:val="32"/>
          <w:szCs w:val="32"/>
        </w:rPr>
      </w:pPr>
      <w:r>
        <w:rPr>
          <w:rFonts w:hint="eastAsia" w:ascii="仿宋_GB2312" w:hAnsi="仿宋" w:eastAsia="仿宋_GB2312" w:cs="宋体"/>
          <w:b/>
          <w:bCs/>
          <w:sz w:val="32"/>
          <w:szCs w:val="32"/>
        </w:rPr>
        <w:t>项目的决策情况</w:t>
      </w:r>
    </w:p>
    <w:p>
      <w:pPr>
        <w:pStyle w:val="26"/>
        <w:ind w:firstLine="640"/>
        <w:rPr>
          <w:rFonts w:ascii="仿宋_GB2312" w:hAnsi="仿宋" w:cs="宋体"/>
          <w:sz w:val="32"/>
          <w:szCs w:val="32"/>
        </w:rPr>
      </w:pPr>
      <w:r>
        <w:rPr>
          <w:rFonts w:hint="eastAsia" w:ascii="仿宋_GB2312" w:hAnsi="仿宋" w:cs="宋体"/>
          <w:sz w:val="32"/>
          <w:szCs w:val="32"/>
        </w:rPr>
        <w:t>本项目的立项符合相关法规政策及部门职责，依据充分；项目按照规定的程序申请设立；审批文件、材料符合相关要求。</w:t>
      </w:r>
    </w:p>
    <w:p>
      <w:pPr>
        <w:spacing w:beforeLines="50" w:line="600" w:lineRule="exact"/>
        <w:ind w:firstLine="640" w:firstLineChars="200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项目根据相关文件要求设置了绩效目标，项目绩效目标基本合理，与实际工作内容相关；项目预期产出效益和效果符合正常的业绩水平；与预算确定资金量相匹配。将项目绩效目标细化分解为具体的绩效指标；通过清晰、可衡量的指标值予以体现；是与项目目标任务数或计划数相对应。</w:t>
      </w:r>
    </w:p>
    <w:p>
      <w:pPr>
        <w:spacing w:beforeLines="50" w:line="600" w:lineRule="exact"/>
        <w:ind w:firstLine="640" w:firstLineChars="200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项目在资金投入方面，预算编制是否经过科学论证、有明确标准，资金额度与年度目标是否相适应，用以反映和考核项目预算编制的科学性、合理性情况。项目预算资金分配是否有测算依据，与补助单位或地方实际是否相适应。</w:t>
      </w:r>
    </w:p>
    <w:p>
      <w:pPr>
        <w:pStyle w:val="17"/>
        <w:numPr>
          <w:ilvl w:val="0"/>
          <w:numId w:val="6"/>
        </w:numPr>
        <w:spacing w:beforeLines="50" w:line="600" w:lineRule="exact"/>
        <w:ind w:left="0" w:firstLine="643"/>
        <w:rPr>
          <w:rFonts w:ascii="仿宋_GB2312" w:hAnsi="仿宋" w:eastAsia="仿宋_GB2312" w:cs="宋体"/>
          <w:b/>
          <w:bCs/>
          <w:sz w:val="32"/>
          <w:szCs w:val="32"/>
        </w:rPr>
      </w:pPr>
      <w:r>
        <w:rPr>
          <w:rFonts w:hint="eastAsia" w:ascii="仿宋_GB2312" w:hAnsi="仿宋" w:eastAsia="仿宋_GB2312" w:cs="宋体"/>
          <w:b/>
          <w:bCs/>
          <w:sz w:val="32"/>
          <w:szCs w:val="32"/>
        </w:rPr>
        <w:t>项目的过程情况</w:t>
      </w:r>
    </w:p>
    <w:p>
      <w:pPr>
        <w:spacing w:line="500" w:lineRule="exact"/>
        <w:ind w:firstLine="645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在资金管理方面，项目资金到位足额及时，及时支付，资金使用是符合国家法规和财务管理制度；资金拨付是否有完整的审批程序和手续，符合项目预算批复或合同规定的用途；是否存在截留、挤占、挪用、虚列支出等情况。</w:t>
      </w:r>
    </w:p>
    <w:p>
      <w:pPr>
        <w:spacing w:line="500" w:lineRule="exact"/>
        <w:ind w:firstLine="645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在项目组织实施方面，项目单位是否已制定或具有相应的财务和业务管理制度，财务和业务管理制度是否合法、合规、完整。项目实施是否遵守相关法律法规和相关管理规定。</w:t>
      </w:r>
    </w:p>
    <w:p>
      <w:pPr>
        <w:pStyle w:val="17"/>
        <w:numPr>
          <w:ilvl w:val="0"/>
          <w:numId w:val="6"/>
        </w:numPr>
        <w:spacing w:beforeLines="50" w:line="600" w:lineRule="exact"/>
        <w:ind w:left="0" w:firstLine="643"/>
        <w:rPr>
          <w:rFonts w:ascii="仿宋_GB2312" w:hAnsi="仿宋" w:eastAsia="仿宋_GB2312" w:cs="宋体"/>
          <w:b/>
          <w:bCs/>
          <w:sz w:val="32"/>
          <w:szCs w:val="32"/>
        </w:rPr>
      </w:pPr>
      <w:r>
        <w:rPr>
          <w:rFonts w:hint="eastAsia" w:ascii="仿宋_GB2312" w:hAnsi="仿宋" w:eastAsia="仿宋_GB2312" w:cs="宋体"/>
          <w:b/>
          <w:bCs/>
          <w:sz w:val="32"/>
          <w:szCs w:val="32"/>
        </w:rPr>
        <w:t>项目产出情况</w:t>
      </w:r>
    </w:p>
    <w:p>
      <w:pPr>
        <w:spacing w:beforeLines="50" w:line="600" w:lineRule="exact"/>
        <w:ind w:firstLine="66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项目产出数量为2，预期指标值为2个，实际完成值为2个，指标达到预期目标值。</w:t>
      </w:r>
    </w:p>
    <w:p>
      <w:pPr>
        <w:spacing w:beforeLines="50" w:line="600" w:lineRule="exact"/>
        <w:ind w:firstLine="66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残疾儿童数量</w:t>
      </w:r>
      <w:r>
        <w:rPr>
          <w:rFonts w:ascii="仿宋_GB2312" w:eastAsia="仿宋_GB2312"/>
          <w:sz w:val="32"/>
          <w:szCs w:val="32"/>
        </w:rPr>
        <w:t>(人)</w:t>
      </w:r>
      <w:r>
        <w:rPr>
          <w:rFonts w:hint="eastAsia" w:ascii="仿宋_GB2312" w:eastAsia="仿宋_GB2312"/>
          <w:sz w:val="32"/>
          <w:szCs w:val="32"/>
        </w:rPr>
        <w:t>，预期指标值67人，</w:t>
      </w:r>
      <w:r>
        <w:rPr>
          <w:rFonts w:ascii="仿宋_GB2312" w:eastAsia="仿宋_GB2312"/>
          <w:sz w:val="32"/>
          <w:szCs w:val="32"/>
        </w:rPr>
        <w:t>实际完成值</w:t>
      </w:r>
      <w:r>
        <w:rPr>
          <w:rFonts w:hint="eastAsia" w:ascii="仿宋_GB2312" w:eastAsia="仿宋_GB2312"/>
          <w:sz w:val="32"/>
          <w:szCs w:val="32"/>
        </w:rPr>
        <w:t>67人，指标完成率100%，达到预期目标指标值。</w:t>
      </w:r>
    </w:p>
    <w:p>
      <w:pPr>
        <w:spacing w:beforeLines="50" w:line="600" w:lineRule="exact"/>
        <w:ind w:firstLine="66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托养人员数量（人），预期指标值30人，</w:t>
      </w:r>
      <w:r>
        <w:rPr>
          <w:rFonts w:ascii="仿宋_GB2312" w:eastAsia="仿宋_GB2312"/>
          <w:sz w:val="32"/>
          <w:szCs w:val="32"/>
        </w:rPr>
        <w:t>实际完成值</w:t>
      </w:r>
      <w:r>
        <w:rPr>
          <w:rFonts w:hint="eastAsia" w:ascii="仿宋_GB2312" w:eastAsia="仿宋_GB2312"/>
          <w:sz w:val="32"/>
          <w:szCs w:val="32"/>
        </w:rPr>
        <w:t>30人，指标完成率100%，达到预期目标指标值。</w:t>
      </w:r>
    </w:p>
    <w:p>
      <w:pPr>
        <w:spacing w:beforeLines="50" w:line="600" w:lineRule="exact"/>
        <w:ind w:firstLine="66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项目产出质量为1个，预期指标值为1个，实际完成值为1个，指标达到预期目标。</w:t>
      </w:r>
    </w:p>
    <w:p>
      <w:pPr>
        <w:spacing w:beforeLines="50" w:line="600" w:lineRule="exact"/>
        <w:ind w:firstLine="66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产品质量合格率（≥</w:t>
      </w:r>
      <w:r>
        <w:rPr>
          <w:rFonts w:ascii="仿宋_GB2312" w:eastAsia="仿宋_GB2312"/>
          <w:sz w:val="32"/>
          <w:szCs w:val="32"/>
        </w:rPr>
        <w:t>%）</w:t>
      </w:r>
      <w:r>
        <w:rPr>
          <w:rFonts w:hint="eastAsia" w:ascii="仿宋_GB2312" w:eastAsia="仿宋_GB2312"/>
          <w:sz w:val="32"/>
          <w:szCs w:val="32"/>
        </w:rPr>
        <w:t>，预期指标值90%，</w:t>
      </w:r>
      <w:r>
        <w:rPr>
          <w:rFonts w:ascii="仿宋_GB2312" w:eastAsia="仿宋_GB2312"/>
          <w:sz w:val="32"/>
          <w:szCs w:val="32"/>
        </w:rPr>
        <w:t>实际完成值</w:t>
      </w:r>
      <w:r>
        <w:rPr>
          <w:rFonts w:hint="eastAsia" w:ascii="仿宋_GB2312" w:eastAsia="仿宋_GB2312"/>
          <w:sz w:val="32"/>
          <w:szCs w:val="32"/>
        </w:rPr>
        <w:t>95%，指标完成率100%，达到预期目标指标值。</w:t>
      </w:r>
    </w:p>
    <w:p>
      <w:pPr>
        <w:spacing w:beforeLines="50" w:line="600" w:lineRule="exact"/>
        <w:ind w:firstLine="66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项目产出时效为1个，预期指标值为1个，实际完成值为1个，指标完成率100%，达到预期目标值。</w:t>
      </w:r>
    </w:p>
    <w:p>
      <w:pPr>
        <w:spacing w:beforeLines="50" w:line="600" w:lineRule="exact"/>
        <w:ind w:firstLine="66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按时购买产品并及时率（≥</w:t>
      </w:r>
      <w:r>
        <w:rPr>
          <w:rFonts w:ascii="仿宋_GB2312" w:eastAsia="仿宋_GB2312"/>
          <w:sz w:val="32"/>
          <w:szCs w:val="32"/>
        </w:rPr>
        <w:t>%）</w:t>
      </w:r>
      <w:r>
        <w:rPr>
          <w:rFonts w:hint="eastAsia" w:ascii="仿宋_GB2312" w:eastAsia="仿宋_GB2312"/>
          <w:sz w:val="32"/>
          <w:szCs w:val="32"/>
        </w:rPr>
        <w:t>，预期指标值为1个，实际完成值为1个，达到预期目标值。</w:t>
      </w:r>
    </w:p>
    <w:p>
      <w:pPr>
        <w:spacing w:beforeLines="50" w:line="600" w:lineRule="exact"/>
        <w:ind w:firstLine="66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项目产出成本指标为7个，预期指标值为7个，实际完成值为7个，达到预期目标值。</w:t>
      </w:r>
    </w:p>
    <w:p>
      <w:pPr>
        <w:spacing w:beforeLines="50"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水费及绿化费成本（元），预期指标值为30000元，实际完成值为30000元，指标完成率100%，达到预期目标值。</w:t>
      </w:r>
    </w:p>
    <w:p>
      <w:pPr>
        <w:spacing w:beforeLines="50"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垃圾处理费及环境卫生费（元），预期指标值为15000元，实际完成值为15000元，指标完成率100%，达到预期目标值。</w:t>
      </w:r>
    </w:p>
    <w:p>
      <w:pPr>
        <w:spacing w:beforeLines="50"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购买日用品、低值易耗品成本（元），预期指标值为10000元，实际完成值为10000元，指标完成率100%，达到预期目标值。</w:t>
      </w:r>
    </w:p>
    <w:p>
      <w:pPr>
        <w:spacing w:beforeLines="50"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使用燃气费成本（元），预期指标值为15000元，实际完成值为15000元，指标完成率100%，达到预期目标值。</w:t>
      </w:r>
    </w:p>
    <w:p>
      <w:pPr>
        <w:spacing w:beforeLines="50"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维修费人工费（元），预期指标值为60000元，实际完成值为60000元，指标完成率100%，达到预期目标值。</w:t>
      </w:r>
    </w:p>
    <w:p>
      <w:pPr>
        <w:spacing w:beforeLines="50"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购买电费成本（元），预期指标值为50000元，实际完成值为50000元，指标完成率100%，达到预期目标值。</w:t>
      </w:r>
    </w:p>
    <w:p>
      <w:pPr>
        <w:spacing w:beforeLines="50"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办公用品购置费（元），预期指标值为20000元，实际完成值为20000元，指标完成率100%，达到预期目标值。</w:t>
      </w:r>
    </w:p>
    <w:p>
      <w:pPr>
        <w:pStyle w:val="17"/>
        <w:numPr>
          <w:ilvl w:val="0"/>
          <w:numId w:val="6"/>
        </w:numPr>
        <w:spacing w:beforeLines="50" w:line="600" w:lineRule="exact"/>
        <w:ind w:left="0" w:firstLine="643"/>
        <w:rPr>
          <w:rFonts w:ascii="仿宋_GB2312" w:hAnsi="仿宋" w:eastAsia="仿宋_GB2312" w:cs="宋体"/>
          <w:b/>
          <w:bCs/>
          <w:sz w:val="32"/>
          <w:szCs w:val="32"/>
        </w:rPr>
      </w:pPr>
      <w:r>
        <w:rPr>
          <w:rFonts w:hint="eastAsia" w:ascii="仿宋_GB2312" w:hAnsi="仿宋" w:eastAsia="仿宋_GB2312" w:cs="宋体"/>
          <w:b/>
          <w:bCs/>
          <w:sz w:val="32"/>
          <w:szCs w:val="32"/>
        </w:rPr>
        <w:t>项目效益情况</w:t>
      </w:r>
    </w:p>
    <w:p>
      <w:pPr>
        <w:spacing w:beforeLines="50" w:line="600" w:lineRule="exact"/>
        <w:ind w:firstLine="640" w:firstLineChars="200"/>
        <w:rPr>
          <w:rFonts w:ascii="仿宋_GB2312" w:hAnsi="仿宋" w:eastAsia="仿宋_GB2312" w:cs="宋体"/>
          <w:bCs/>
          <w:sz w:val="32"/>
          <w:szCs w:val="32"/>
        </w:rPr>
      </w:pPr>
      <w:r>
        <w:rPr>
          <w:rFonts w:hint="eastAsia" w:ascii="仿宋_GB2312" w:hAnsi="仿宋" w:eastAsia="仿宋_GB2312" w:cs="宋体"/>
          <w:bCs/>
          <w:sz w:val="32"/>
          <w:szCs w:val="32"/>
        </w:rPr>
        <w:t>项目实施产生的社会效益</w:t>
      </w:r>
      <w:r>
        <w:rPr>
          <w:rFonts w:hint="eastAsia" w:ascii="仿宋_GB2312" w:eastAsia="仿宋_GB2312"/>
          <w:sz w:val="32"/>
          <w:szCs w:val="32"/>
        </w:rPr>
        <w:t>指标为1个，预期指标值为1个，实际完成值为1个</w:t>
      </w:r>
      <w:r>
        <w:rPr>
          <w:rFonts w:hint="eastAsia" w:ascii="仿宋_GB2312" w:hAnsi="仿宋" w:eastAsia="仿宋_GB2312" w:cs="宋体"/>
          <w:bCs/>
          <w:sz w:val="32"/>
          <w:szCs w:val="32"/>
        </w:rPr>
        <w:t>，达到了预期目标值。</w:t>
      </w:r>
      <w:r>
        <w:rPr>
          <w:rFonts w:ascii="仿宋_GB2312" w:hAnsi="仿宋" w:eastAsia="仿宋_GB2312" w:cs="宋体"/>
          <w:bCs/>
          <w:sz w:val="32"/>
          <w:szCs w:val="32"/>
        </w:rPr>
        <w:t xml:space="preserve"> </w:t>
      </w:r>
    </w:p>
    <w:p>
      <w:pPr>
        <w:spacing w:beforeLines="50"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改善残疾孩子生活条件、提高残疾人生活质量，预期指标值为有所改善，实际完成值为95%，指标完成率100%，达到预期目标值。</w:t>
      </w:r>
    </w:p>
    <w:p>
      <w:pPr>
        <w:spacing w:beforeLines="50" w:line="600" w:lineRule="exact"/>
        <w:ind w:firstLine="640" w:firstLineChars="200"/>
        <w:rPr>
          <w:rFonts w:hint="eastAsia" w:ascii="仿宋_GB2312" w:hAnsi="仿宋" w:eastAsia="仿宋_GB2312" w:cs="宋体"/>
          <w:bCs/>
          <w:sz w:val="32"/>
          <w:szCs w:val="32"/>
        </w:rPr>
      </w:pPr>
      <w:r>
        <w:rPr>
          <w:rFonts w:hint="eastAsia" w:ascii="仿宋_GB2312" w:hAnsi="仿宋" w:eastAsia="仿宋_GB2312" w:cs="宋体"/>
          <w:bCs/>
          <w:sz w:val="32"/>
          <w:szCs w:val="32"/>
        </w:rPr>
        <w:t>项目的可持续效益效益</w:t>
      </w:r>
      <w:r>
        <w:rPr>
          <w:rFonts w:hint="eastAsia" w:ascii="仿宋_GB2312" w:eastAsia="仿宋_GB2312"/>
          <w:sz w:val="32"/>
          <w:szCs w:val="32"/>
        </w:rPr>
        <w:t>指标为1个，预期指标值为1个，实际完成值为1个</w:t>
      </w:r>
      <w:r>
        <w:rPr>
          <w:rFonts w:hint="eastAsia" w:ascii="仿宋_GB2312" w:hAnsi="仿宋" w:eastAsia="仿宋_GB2312" w:cs="宋体"/>
          <w:bCs/>
          <w:sz w:val="32"/>
          <w:szCs w:val="32"/>
        </w:rPr>
        <w:t>，达到了预期目标值。</w:t>
      </w:r>
    </w:p>
    <w:p>
      <w:pPr>
        <w:spacing w:beforeLines="50" w:line="600" w:lineRule="exact"/>
        <w:ind w:firstLine="800" w:firstLineChars="25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可持续影响年限（年），预期指标值为1年，实际完成值为1年，指标完成率100%，达到预期目标值。</w:t>
      </w:r>
    </w:p>
    <w:p>
      <w:pPr>
        <w:spacing w:beforeLines="50" w:line="600" w:lineRule="exact"/>
        <w:ind w:firstLine="640" w:firstLineChars="200"/>
        <w:rPr>
          <w:rFonts w:ascii="仿宋_GB2312" w:hAnsi="仿宋" w:eastAsia="仿宋_GB2312" w:cs="宋体"/>
          <w:bCs/>
          <w:sz w:val="32"/>
          <w:szCs w:val="32"/>
        </w:rPr>
      </w:pPr>
      <w:r>
        <w:rPr>
          <w:rFonts w:hint="eastAsia" w:ascii="仿宋_GB2312" w:hAnsi="仿宋" w:eastAsia="仿宋_GB2312" w:cs="宋体"/>
          <w:bCs/>
          <w:sz w:val="32"/>
          <w:szCs w:val="32"/>
        </w:rPr>
        <w:t>经问卷调查项目收益群众满意度为：达到了预期目标值。</w:t>
      </w:r>
    </w:p>
    <w:p>
      <w:pPr>
        <w:spacing w:beforeLines="50"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受益群众满意度（≥</w:t>
      </w:r>
      <w:r>
        <w:rPr>
          <w:rFonts w:ascii="仿宋_GB2312" w:eastAsia="仿宋_GB2312"/>
          <w:sz w:val="32"/>
          <w:szCs w:val="32"/>
        </w:rPr>
        <w:t>%）</w:t>
      </w:r>
      <w:r>
        <w:rPr>
          <w:rFonts w:hint="eastAsia" w:ascii="仿宋_GB2312" w:eastAsia="仿宋_GB2312"/>
          <w:sz w:val="32"/>
          <w:szCs w:val="32"/>
        </w:rPr>
        <w:t>，预期指标值为90%，实际完成值为95%，指标完成率100%，达到预期目标值。</w:t>
      </w:r>
    </w:p>
    <w:p>
      <w:pPr>
        <w:spacing w:beforeLines="50" w:line="600" w:lineRule="exact"/>
        <w:ind w:firstLine="640" w:firstLineChars="200"/>
        <w:rPr>
          <w:rFonts w:ascii="仿宋_GB2312" w:hAnsi="仿宋" w:eastAsia="仿宋_GB2312" w:cs="宋体"/>
          <w:bCs/>
          <w:sz w:val="32"/>
          <w:szCs w:val="32"/>
        </w:rPr>
      </w:pPr>
    </w:p>
    <w:p>
      <w:pPr>
        <w:pStyle w:val="21"/>
        <w:numPr>
          <w:ilvl w:val="0"/>
          <w:numId w:val="2"/>
        </w:numPr>
        <w:ind w:firstLineChars="0"/>
      </w:pPr>
      <w:r>
        <w:rPr>
          <w:rFonts w:hint="eastAsia" w:ascii="黑体" w:hAnsi="黑体"/>
        </w:rPr>
        <w:t>主要经验及做法、存在的问题及原因分析</w:t>
      </w:r>
    </w:p>
    <w:p>
      <w:pPr>
        <w:pStyle w:val="23"/>
        <w:numPr>
          <w:ilvl w:val="0"/>
          <w:numId w:val="7"/>
        </w:numPr>
        <w:ind w:left="0" w:firstLine="643" w:firstLineChars="200"/>
      </w:pPr>
      <w:r>
        <w:rPr>
          <w:rFonts w:hint="eastAsia"/>
        </w:rPr>
        <w:t>主要经验及做法</w:t>
      </w:r>
    </w:p>
    <w:p>
      <w:pPr>
        <w:pStyle w:val="23"/>
        <w:numPr>
          <w:ilvl w:val="0"/>
          <w:numId w:val="0"/>
        </w:numPr>
        <w:ind w:firstLine="640" w:firstLineChars="200"/>
        <w:rPr>
          <w:b w:val="0"/>
        </w:rPr>
      </w:pPr>
      <w:r>
        <w:rPr>
          <w:rFonts w:hint="eastAsia"/>
          <w:b w:val="0"/>
        </w:rPr>
        <w:t>本项目实施效果较好的原因主要是管理制度完善、责任落实到位，跟踪考核机制完善且运行有效。</w:t>
      </w:r>
    </w:p>
    <w:p>
      <w:pPr>
        <w:pStyle w:val="23"/>
        <w:numPr>
          <w:ilvl w:val="0"/>
          <w:numId w:val="7"/>
        </w:numPr>
        <w:ind w:left="0" w:firstLine="643" w:firstLineChars="200"/>
      </w:pPr>
      <w:r>
        <w:rPr>
          <w:rFonts w:hint="eastAsia"/>
        </w:rPr>
        <w:t>存在的问题及原因分析</w:t>
      </w:r>
    </w:p>
    <w:p>
      <w:pPr>
        <w:pStyle w:val="23"/>
        <w:numPr>
          <w:ilvl w:val="0"/>
          <w:numId w:val="0"/>
        </w:numPr>
        <w:rPr>
          <w:b w:val="0"/>
        </w:rPr>
      </w:pPr>
      <w:r>
        <w:rPr>
          <w:rFonts w:hint="eastAsia"/>
          <w:b w:val="0"/>
        </w:rPr>
        <w:t xml:space="preserve"> </w:t>
      </w:r>
      <w:r>
        <w:rPr>
          <w:b w:val="0"/>
        </w:rPr>
        <w:t xml:space="preserve">   </w:t>
      </w:r>
      <w:r>
        <w:rPr>
          <w:rFonts w:hint="eastAsia"/>
          <w:b w:val="0"/>
        </w:rPr>
        <w:t>项目设立初期考虑不健全，有些指标没有纳入，有些指标过高。</w:t>
      </w:r>
    </w:p>
    <w:p>
      <w:pPr>
        <w:pStyle w:val="21"/>
        <w:numPr>
          <w:ilvl w:val="0"/>
          <w:numId w:val="2"/>
        </w:numPr>
        <w:ind w:firstLineChars="0"/>
        <w:rPr>
          <w:rFonts w:ascii="黑体" w:hAnsi="黑体"/>
        </w:rPr>
      </w:pPr>
      <w:r>
        <w:rPr>
          <w:rFonts w:hint="eastAsia" w:ascii="黑体" w:hAnsi="黑体"/>
        </w:rPr>
        <w:t>有关建议</w:t>
      </w:r>
    </w:p>
    <w:p>
      <w:pPr>
        <w:pStyle w:val="21"/>
        <w:ind w:firstLine="0" w:firstLineChars="0"/>
        <w:rPr>
          <w:rFonts w:ascii="黑体" w:hAnsi="黑体"/>
          <w:b w:val="0"/>
        </w:rPr>
      </w:pPr>
      <w:r>
        <w:rPr>
          <w:rFonts w:ascii="黑体" w:hAnsi="黑体"/>
          <w:b w:val="0"/>
        </w:rPr>
        <w:t xml:space="preserve"> </w:t>
      </w:r>
      <w:r>
        <w:rPr>
          <w:rFonts w:ascii="仿宋_GB2312" w:hAnsi="仿宋" w:eastAsia="仿宋_GB2312" w:cs="宋体"/>
          <w:b w:val="0"/>
          <w:kern w:val="2"/>
        </w:rPr>
        <w:t xml:space="preserve">   认真学习绩效管理办法</w:t>
      </w:r>
      <w:r>
        <w:rPr>
          <w:rFonts w:hint="eastAsia" w:ascii="仿宋_GB2312" w:hAnsi="仿宋" w:eastAsia="仿宋_GB2312" w:cs="宋体"/>
          <w:b w:val="0"/>
          <w:kern w:val="2"/>
        </w:rPr>
        <w:t>，</w:t>
      </w:r>
      <w:r>
        <w:rPr>
          <w:rFonts w:ascii="仿宋_GB2312" w:hAnsi="仿宋" w:eastAsia="仿宋_GB2312" w:cs="宋体"/>
          <w:b w:val="0"/>
          <w:kern w:val="2"/>
        </w:rPr>
        <w:t>合理制定目标值</w:t>
      </w:r>
      <w:r>
        <w:rPr>
          <w:rFonts w:hint="eastAsia" w:ascii="仿宋_GB2312" w:hAnsi="仿宋" w:eastAsia="仿宋_GB2312" w:cs="宋体"/>
          <w:b w:val="0"/>
          <w:kern w:val="2"/>
        </w:rPr>
        <w:t>。</w:t>
      </w:r>
    </w:p>
    <w:p>
      <w:pPr>
        <w:pStyle w:val="21"/>
        <w:numPr>
          <w:ilvl w:val="0"/>
          <w:numId w:val="2"/>
        </w:numPr>
        <w:ind w:firstLineChars="0"/>
        <w:rPr>
          <w:rFonts w:ascii="黑体" w:hAnsi="黑体"/>
        </w:rPr>
      </w:pPr>
      <w:r>
        <w:rPr>
          <w:rFonts w:hint="eastAsia" w:ascii="黑体" w:hAnsi="黑体"/>
        </w:rPr>
        <w:t>其他需要说明的问题</w:t>
      </w:r>
    </w:p>
    <w:p>
      <w:pPr>
        <w:pStyle w:val="21"/>
        <w:ind w:firstLine="1280" w:firstLineChars="400"/>
        <w:rPr>
          <w:rFonts w:ascii="仿宋_GB2312" w:hAnsi="仿宋" w:eastAsia="仿宋_GB2312" w:cs="宋体"/>
        </w:rPr>
      </w:pPr>
      <w:r>
        <w:rPr>
          <w:rFonts w:hint="eastAsia" w:ascii="仿宋_GB2312" w:hAnsi="仿宋" w:eastAsia="仿宋_GB2312" w:cs="宋体"/>
          <w:b w:val="0"/>
          <w:kern w:val="2"/>
        </w:rPr>
        <w:t>无。</w:t>
      </w:r>
    </w:p>
    <w:p>
      <w:pPr>
        <w:spacing w:beforeLines="50" w:line="600" w:lineRule="exact"/>
        <w:ind w:firstLine="640" w:firstLineChars="200"/>
        <w:rPr>
          <w:rFonts w:ascii="仿宋_GB2312" w:hAnsi="仿宋" w:eastAsia="仿宋_GB2312" w:cs="宋体"/>
          <w:sz w:val="32"/>
          <w:szCs w:val="32"/>
        </w:rPr>
      </w:pPr>
    </w:p>
    <w:p>
      <w:pPr>
        <w:spacing w:beforeLines="50" w:line="600" w:lineRule="exact"/>
        <w:ind w:firstLine="640" w:firstLineChars="200"/>
        <w:rPr>
          <w:rFonts w:ascii="仿宋_GB2312" w:hAnsi="仿宋" w:eastAsia="仿宋_GB2312" w:cs="宋体"/>
          <w:sz w:val="32"/>
          <w:szCs w:val="32"/>
        </w:rPr>
      </w:pPr>
    </w:p>
    <w:p>
      <w:pPr>
        <w:spacing w:beforeLines="50" w:line="600" w:lineRule="exact"/>
        <w:ind w:firstLine="640" w:firstLineChars="200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附件1：喀什地区残联康复中心运转经费项目支出绩效目标申报表</w:t>
      </w:r>
    </w:p>
    <w:p>
      <w:pPr>
        <w:spacing w:beforeLines="50" w:line="600" w:lineRule="exact"/>
        <w:ind w:firstLine="640" w:firstLineChars="200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附件2：喀什地区残联康复中心运转经费项目支出绩效目标</w:t>
      </w:r>
      <w:bookmarkStart w:id="8" w:name="_GoBack"/>
      <w:bookmarkEnd w:id="8"/>
      <w:r>
        <w:rPr>
          <w:rFonts w:hint="eastAsia" w:ascii="仿宋_GB2312" w:hAnsi="仿宋" w:eastAsia="仿宋_GB2312" w:cs="宋体"/>
          <w:sz w:val="32"/>
          <w:szCs w:val="32"/>
        </w:rPr>
        <w:t>表</w:t>
      </w:r>
    </w:p>
    <w:p>
      <w:pPr>
        <w:spacing w:beforeLines="50" w:line="600" w:lineRule="exact"/>
        <w:ind w:firstLine="640" w:firstLineChars="200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附件3：喀什地区残联康复中心运转经费项目支出绩效自评表</w:t>
      </w:r>
    </w:p>
    <w:p>
      <w:pPr>
        <w:spacing w:beforeLines="50" w:line="600" w:lineRule="exact"/>
        <w:ind w:firstLine="640" w:firstLineChars="200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附件4：喀什地区残联康复中心运转经费项目支出绩效评价指标体系</w:t>
      </w:r>
    </w:p>
    <w:p>
      <w:pPr>
        <w:spacing w:beforeLines="50" w:line="600" w:lineRule="exact"/>
        <w:ind w:firstLine="640" w:firstLineChars="200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附件5：绩效评价依据</w:t>
      </w:r>
    </w:p>
    <w:p>
      <w:pPr>
        <w:spacing w:beforeLines="50" w:line="600" w:lineRule="exact"/>
        <w:ind w:firstLine="640" w:firstLineChars="200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附件6：喀什地区残联康复中心运转经费项目支出绩效评价评分表</w:t>
      </w:r>
    </w:p>
    <w:p>
      <w:pPr>
        <w:spacing w:beforeLines="50" w:line="600" w:lineRule="exact"/>
        <w:ind w:firstLine="640" w:firstLineChars="200"/>
        <w:rPr>
          <w:rFonts w:ascii="仿宋_GB2312" w:hAnsi="仿宋" w:eastAsia="仿宋_GB2312" w:cs="宋体"/>
          <w:sz w:val="32"/>
          <w:szCs w:val="32"/>
        </w:rPr>
      </w:pPr>
    </w:p>
    <w:sectPr>
      <w:footerReference r:id="rId3" w:type="default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center"/>
    </w:pPr>
  </w:p>
  <w:p>
    <w:pPr>
      <w:pStyle w:val="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6D4D14"/>
    <w:multiLevelType w:val="multilevel"/>
    <w:tmpl w:val="316D4D14"/>
    <w:lvl w:ilvl="0" w:tentative="0">
      <w:start w:val="1"/>
      <w:numFmt w:val="decimal"/>
      <w:lvlText w:val="%1."/>
      <w:lvlJc w:val="left"/>
      <w:pPr>
        <w:ind w:left="988" w:hanging="420"/>
      </w:pPr>
    </w:lvl>
    <w:lvl w:ilvl="1" w:tentative="0">
      <w:start w:val="1"/>
      <w:numFmt w:val="decimal"/>
      <w:lvlText w:val="%2."/>
      <w:lvlJc w:val="left"/>
      <w:pPr>
        <w:ind w:left="1408" w:hanging="420"/>
      </w:pPr>
    </w:lvl>
    <w:lvl w:ilvl="2" w:tentative="0">
      <w:start w:val="1"/>
      <w:numFmt w:val="lowerRoman"/>
      <w:lvlText w:val="%3."/>
      <w:lvlJc w:val="right"/>
      <w:pPr>
        <w:ind w:left="1828" w:hanging="420"/>
      </w:pPr>
    </w:lvl>
    <w:lvl w:ilvl="3" w:tentative="0">
      <w:start w:val="1"/>
      <w:numFmt w:val="decimal"/>
      <w:lvlText w:val="%4."/>
      <w:lvlJc w:val="left"/>
      <w:pPr>
        <w:ind w:left="2248" w:hanging="420"/>
      </w:pPr>
    </w:lvl>
    <w:lvl w:ilvl="4" w:tentative="0">
      <w:start w:val="1"/>
      <w:numFmt w:val="lowerLetter"/>
      <w:lvlText w:val="%5)"/>
      <w:lvlJc w:val="left"/>
      <w:pPr>
        <w:ind w:left="2668" w:hanging="420"/>
      </w:pPr>
    </w:lvl>
    <w:lvl w:ilvl="5" w:tentative="0">
      <w:start w:val="1"/>
      <w:numFmt w:val="lowerRoman"/>
      <w:lvlText w:val="%6."/>
      <w:lvlJc w:val="right"/>
      <w:pPr>
        <w:ind w:left="3088" w:hanging="420"/>
      </w:pPr>
    </w:lvl>
    <w:lvl w:ilvl="6" w:tentative="0">
      <w:start w:val="1"/>
      <w:numFmt w:val="decimal"/>
      <w:lvlText w:val="%7."/>
      <w:lvlJc w:val="left"/>
      <w:pPr>
        <w:ind w:left="3508" w:hanging="420"/>
      </w:pPr>
    </w:lvl>
    <w:lvl w:ilvl="7" w:tentative="0">
      <w:start w:val="1"/>
      <w:numFmt w:val="lowerLetter"/>
      <w:lvlText w:val="%8)"/>
      <w:lvlJc w:val="left"/>
      <w:pPr>
        <w:ind w:left="3928" w:hanging="420"/>
      </w:pPr>
    </w:lvl>
    <w:lvl w:ilvl="8" w:tentative="0">
      <w:start w:val="1"/>
      <w:numFmt w:val="lowerRoman"/>
      <w:lvlText w:val="%9."/>
      <w:lvlJc w:val="right"/>
      <w:pPr>
        <w:ind w:left="4348" w:hanging="420"/>
      </w:pPr>
    </w:lvl>
  </w:abstractNum>
  <w:abstractNum w:abstractNumId="1">
    <w:nsid w:val="3A7260C0"/>
    <w:multiLevelType w:val="multilevel"/>
    <w:tmpl w:val="3A7260C0"/>
    <w:lvl w:ilvl="0" w:tentative="0">
      <w:start w:val="1"/>
      <w:numFmt w:val="chineseCountingThousand"/>
      <w:pStyle w:val="23"/>
      <w:lvlText w:val="(%1)"/>
      <w:lvlJc w:val="left"/>
      <w:pPr>
        <w:ind w:left="988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F37299F"/>
    <w:multiLevelType w:val="multilevel"/>
    <w:tmpl w:val="4F37299F"/>
    <w:lvl w:ilvl="0" w:tentative="0">
      <w:start w:val="1"/>
      <w:numFmt w:val="chineseCountingThousand"/>
      <w:lvlText w:val="(%1)"/>
      <w:lvlJc w:val="left"/>
      <w:pPr>
        <w:ind w:left="420" w:hanging="420"/>
      </w:pPr>
      <w:rPr>
        <w:rFonts w:hint="eastAsia"/>
      </w:rPr>
    </w:lvl>
    <w:lvl w:ilvl="1" w:tentative="0">
      <w:start w:val="1"/>
      <w:numFmt w:val="japaneseCounting"/>
      <w:lvlText w:val="（%2）"/>
      <w:lvlJc w:val="left"/>
      <w:pPr>
        <w:ind w:left="1500" w:hanging="108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4451D54"/>
    <w:multiLevelType w:val="multilevel"/>
    <w:tmpl w:val="54451D54"/>
    <w:lvl w:ilvl="0" w:tentative="0">
      <w:start w:val="1"/>
      <w:numFmt w:val="decimal"/>
      <w:lvlText w:val="%1．"/>
      <w:lvlJc w:val="left"/>
      <w:pPr>
        <w:ind w:left="1065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485" w:hanging="420"/>
      </w:pPr>
    </w:lvl>
    <w:lvl w:ilvl="2" w:tentative="0">
      <w:start w:val="1"/>
      <w:numFmt w:val="lowerRoman"/>
      <w:lvlText w:val="%3."/>
      <w:lvlJc w:val="right"/>
      <w:pPr>
        <w:ind w:left="1905" w:hanging="420"/>
      </w:pPr>
    </w:lvl>
    <w:lvl w:ilvl="3" w:tentative="0">
      <w:start w:val="1"/>
      <w:numFmt w:val="decimal"/>
      <w:lvlText w:val="%4."/>
      <w:lvlJc w:val="left"/>
      <w:pPr>
        <w:ind w:left="2325" w:hanging="420"/>
      </w:pPr>
    </w:lvl>
    <w:lvl w:ilvl="4" w:tentative="0">
      <w:start w:val="1"/>
      <w:numFmt w:val="lowerLetter"/>
      <w:lvlText w:val="%5)"/>
      <w:lvlJc w:val="left"/>
      <w:pPr>
        <w:ind w:left="2745" w:hanging="420"/>
      </w:pPr>
    </w:lvl>
    <w:lvl w:ilvl="5" w:tentative="0">
      <w:start w:val="1"/>
      <w:numFmt w:val="lowerRoman"/>
      <w:lvlText w:val="%6."/>
      <w:lvlJc w:val="right"/>
      <w:pPr>
        <w:ind w:left="3165" w:hanging="420"/>
      </w:pPr>
    </w:lvl>
    <w:lvl w:ilvl="6" w:tentative="0">
      <w:start w:val="1"/>
      <w:numFmt w:val="decimal"/>
      <w:lvlText w:val="%7."/>
      <w:lvlJc w:val="left"/>
      <w:pPr>
        <w:ind w:left="3585" w:hanging="420"/>
      </w:pPr>
    </w:lvl>
    <w:lvl w:ilvl="7" w:tentative="0">
      <w:start w:val="1"/>
      <w:numFmt w:val="lowerLetter"/>
      <w:lvlText w:val="%8)"/>
      <w:lvlJc w:val="left"/>
      <w:pPr>
        <w:ind w:left="4005" w:hanging="420"/>
      </w:pPr>
    </w:lvl>
    <w:lvl w:ilvl="8" w:tentative="0">
      <w:start w:val="1"/>
      <w:numFmt w:val="lowerRoman"/>
      <w:lvlText w:val="%9."/>
      <w:lvlJc w:val="right"/>
      <w:pPr>
        <w:ind w:left="4425" w:hanging="420"/>
      </w:pPr>
    </w:lvl>
  </w:abstractNum>
  <w:abstractNum w:abstractNumId="4">
    <w:nsid w:val="5B493FDA"/>
    <w:multiLevelType w:val="multilevel"/>
    <w:tmpl w:val="5B493FDA"/>
    <w:lvl w:ilvl="0" w:tentative="0">
      <w:start w:val="1"/>
      <w:numFmt w:val="chineseCountingThousand"/>
      <w:lvlText w:val="(%1)"/>
      <w:lvlJc w:val="left"/>
      <w:pPr>
        <w:ind w:left="106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abstractNum w:abstractNumId="5">
    <w:nsid w:val="6757463D"/>
    <w:multiLevelType w:val="multilevel"/>
    <w:tmpl w:val="6757463D"/>
    <w:lvl w:ilvl="0" w:tentative="0">
      <w:start w:val="1"/>
      <w:numFmt w:val="chineseCountingThousand"/>
      <w:lvlText w:val="%1、"/>
      <w:lvlJc w:val="left"/>
      <w:pPr>
        <w:ind w:left="1063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483" w:hanging="420"/>
      </w:pPr>
    </w:lvl>
    <w:lvl w:ilvl="2" w:tentative="0">
      <w:start w:val="1"/>
      <w:numFmt w:val="lowerRoman"/>
      <w:lvlText w:val="%3."/>
      <w:lvlJc w:val="right"/>
      <w:pPr>
        <w:ind w:left="1903" w:hanging="420"/>
      </w:pPr>
    </w:lvl>
    <w:lvl w:ilvl="3" w:tentative="0">
      <w:start w:val="1"/>
      <w:numFmt w:val="decimal"/>
      <w:lvlText w:val="%4."/>
      <w:lvlJc w:val="left"/>
      <w:pPr>
        <w:ind w:left="2323" w:hanging="420"/>
      </w:pPr>
    </w:lvl>
    <w:lvl w:ilvl="4" w:tentative="0">
      <w:start w:val="1"/>
      <w:numFmt w:val="lowerLetter"/>
      <w:lvlText w:val="%5)"/>
      <w:lvlJc w:val="left"/>
      <w:pPr>
        <w:ind w:left="2743" w:hanging="420"/>
      </w:pPr>
    </w:lvl>
    <w:lvl w:ilvl="5" w:tentative="0">
      <w:start w:val="1"/>
      <w:numFmt w:val="lowerRoman"/>
      <w:lvlText w:val="%6."/>
      <w:lvlJc w:val="right"/>
      <w:pPr>
        <w:ind w:left="3163" w:hanging="420"/>
      </w:pPr>
    </w:lvl>
    <w:lvl w:ilvl="6" w:tentative="0">
      <w:start w:val="1"/>
      <w:numFmt w:val="decimal"/>
      <w:lvlText w:val="%7."/>
      <w:lvlJc w:val="left"/>
      <w:pPr>
        <w:ind w:left="3583" w:hanging="420"/>
      </w:pPr>
    </w:lvl>
    <w:lvl w:ilvl="7" w:tentative="0">
      <w:start w:val="1"/>
      <w:numFmt w:val="lowerLetter"/>
      <w:lvlText w:val="%8)"/>
      <w:lvlJc w:val="left"/>
      <w:pPr>
        <w:ind w:left="4003" w:hanging="420"/>
      </w:pPr>
    </w:lvl>
    <w:lvl w:ilvl="8" w:tentative="0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0"/>
  <w:drawingGridHorizontalSpacing w:val="210"/>
  <w:drawingGridVerticalSpacing w:val="158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75715"/>
    <w:rsid w:val="00022413"/>
    <w:rsid w:val="00037F93"/>
    <w:rsid w:val="00042126"/>
    <w:rsid w:val="0005085E"/>
    <w:rsid w:val="000B2F34"/>
    <w:rsid w:val="000C7EF1"/>
    <w:rsid w:val="000E0C7B"/>
    <w:rsid w:val="000F2007"/>
    <w:rsid w:val="00100A64"/>
    <w:rsid w:val="00100AA9"/>
    <w:rsid w:val="001143D6"/>
    <w:rsid w:val="0012798F"/>
    <w:rsid w:val="00132553"/>
    <w:rsid w:val="00151AF1"/>
    <w:rsid w:val="00174F3A"/>
    <w:rsid w:val="0018169D"/>
    <w:rsid w:val="00190272"/>
    <w:rsid w:val="00193649"/>
    <w:rsid w:val="0019720C"/>
    <w:rsid w:val="001A1902"/>
    <w:rsid w:val="001A4FFA"/>
    <w:rsid w:val="001B5B44"/>
    <w:rsid w:val="001D018D"/>
    <w:rsid w:val="001D3D30"/>
    <w:rsid w:val="001D5FF2"/>
    <w:rsid w:val="001D6F2E"/>
    <w:rsid w:val="00203FB6"/>
    <w:rsid w:val="00233ECE"/>
    <w:rsid w:val="00235BB5"/>
    <w:rsid w:val="00297A4D"/>
    <w:rsid w:val="002A1BF4"/>
    <w:rsid w:val="002A6FAF"/>
    <w:rsid w:val="002B3A72"/>
    <w:rsid w:val="002C6231"/>
    <w:rsid w:val="002E2380"/>
    <w:rsid w:val="002F223B"/>
    <w:rsid w:val="002F7CDC"/>
    <w:rsid w:val="00324E56"/>
    <w:rsid w:val="00331AF1"/>
    <w:rsid w:val="003468D7"/>
    <w:rsid w:val="00363E52"/>
    <w:rsid w:val="00382736"/>
    <w:rsid w:val="003A04D1"/>
    <w:rsid w:val="003C327E"/>
    <w:rsid w:val="003C4B3D"/>
    <w:rsid w:val="003C6E7F"/>
    <w:rsid w:val="003E0E95"/>
    <w:rsid w:val="003E5837"/>
    <w:rsid w:val="003F1C70"/>
    <w:rsid w:val="003F2E47"/>
    <w:rsid w:val="00403544"/>
    <w:rsid w:val="004115AA"/>
    <w:rsid w:val="00434C92"/>
    <w:rsid w:val="00441F5D"/>
    <w:rsid w:val="00443C47"/>
    <w:rsid w:val="00452560"/>
    <w:rsid w:val="00467DBB"/>
    <w:rsid w:val="004A0587"/>
    <w:rsid w:val="004C56AB"/>
    <w:rsid w:val="004D088E"/>
    <w:rsid w:val="004D4F06"/>
    <w:rsid w:val="005225F1"/>
    <w:rsid w:val="00531253"/>
    <w:rsid w:val="00540B36"/>
    <w:rsid w:val="0055550F"/>
    <w:rsid w:val="00563E06"/>
    <w:rsid w:val="005662EC"/>
    <w:rsid w:val="0058554B"/>
    <w:rsid w:val="00596DDF"/>
    <w:rsid w:val="0059754B"/>
    <w:rsid w:val="005B6EAB"/>
    <w:rsid w:val="005D7AC7"/>
    <w:rsid w:val="00622EFD"/>
    <w:rsid w:val="00630E69"/>
    <w:rsid w:val="006362B2"/>
    <w:rsid w:val="0065420A"/>
    <w:rsid w:val="00672EB2"/>
    <w:rsid w:val="006869EC"/>
    <w:rsid w:val="00686EE1"/>
    <w:rsid w:val="00694A44"/>
    <w:rsid w:val="00696DCA"/>
    <w:rsid w:val="006D0AA4"/>
    <w:rsid w:val="006F2513"/>
    <w:rsid w:val="006F64CB"/>
    <w:rsid w:val="007161B2"/>
    <w:rsid w:val="0071759F"/>
    <w:rsid w:val="007217DE"/>
    <w:rsid w:val="007253B3"/>
    <w:rsid w:val="00731D46"/>
    <w:rsid w:val="00734BAD"/>
    <w:rsid w:val="00752C57"/>
    <w:rsid w:val="00781733"/>
    <w:rsid w:val="007C5CF9"/>
    <w:rsid w:val="007D340B"/>
    <w:rsid w:val="007E51F8"/>
    <w:rsid w:val="007E6392"/>
    <w:rsid w:val="007F3C25"/>
    <w:rsid w:val="00804723"/>
    <w:rsid w:val="00811F2D"/>
    <w:rsid w:val="00815938"/>
    <w:rsid w:val="008226BA"/>
    <w:rsid w:val="00827DA6"/>
    <w:rsid w:val="00835103"/>
    <w:rsid w:val="00842055"/>
    <w:rsid w:val="00854416"/>
    <w:rsid w:val="00866F54"/>
    <w:rsid w:val="00883FF2"/>
    <w:rsid w:val="0089293E"/>
    <w:rsid w:val="00893E6C"/>
    <w:rsid w:val="0089676F"/>
    <w:rsid w:val="008A5A35"/>
    <w:rsid w:val="008D7BC7"/>
    <w:rsid w:val="0090104C"/>
    <w:rsid w:val="009049CD"/>
    <w:rsid w:val="00935B5E"/>
    <w:rsid w:val="009431A5"/>
    <w:rsid w:val="00982B10"/>
    <w:rsid w:val="009B0FC9"/>
    <w:rsid w:val="009B58C8"/>
    <w:rsid w:val="009C0267"/>
    <w:rsid w:val="009E5354"/>
    <w:rsid w:val="00A10F1E"/>
    <w:rsid w:val="00A12A0C"/>
    <w:rsid w:val="00A365D5"/>
    <w:rsid w:val="00A41DB8"/>
    <w:rsid w:val="00A43094"/>
    <w:rsid w:val="00A53361"/>
    <w:rsid w:val="00A5786D"/>
    <w:rsid w:val="00A60191"/>
    <w:rsid w:val="00A81609"/>
    <w:rsid w:val="00A85237"/>
    <w:rsid w:val="00AB07C5"/>
    <w:rsid w:val="00AE1FDF"/>
    <w:rsid w:val="00AE3042"/>
    <w:rsid w:val="00B03B29"/>
    <w:rsid w:val="00B16C8F"/>
    <w:rsid w:val="00B32FA4"/>
    <w:rsid w:val="00B36F46"/>
    <w:rsid w:val="00B47B13"/>
    <w:rsid w:val="00B50B1E"/>
    <w:rsid w:val="00B53BE4"/>
    <w:rsid w:val="00B6063F"/>
    <w:rsid w:val="00B9042A"/>
    <w:rsid w:val="00BA0855"/>
    <w:rsid w:val="00BA65AD"/>
    <w:rsid w:val="00BC7696"/>
    <w:rsid w:val="00C2671D"/>
    <w:rsid w:val="00C50063"/>
    <w:rsid w:val="00C563AA"/>
    <w:rsid w:val="00C71FF0"/>
    <w:rsid w:val="00C77259"/>
    <w:rsid w:val="00C97E2D"/>
    <w:rsid w:val="00D043D7"/>
    <w:rsid w:val="00D117FB"/>
    <w:rsid w:val="00D2064F"/>
    <w:rsid w:val="00D23C2E"/>
    <w:rsid w:val="00D25048"/>
    <w:rsid w:val="00D5392D"/>
    <w:rsid w:val="00D61EC8"/>
    <w:rsid w:val="00D93516"/>
    <w:rsid w:val="00DA7F4C"/>
    <w:rsid w:val="00DC5F94"/>
    <w:rsid w:val="00DE152F"/>
    <w:rsid w:val="00DE293B"/>
    <w:rsid w:val="00DE510C"/>
    <w:rsid w:val="00E05626"/>
    <w:rsid w:val="00E23250"/>
    <w:rsid w:val="00E25B2F"/>
    <w:rsid w:val="00E373A5"/>
    <w:rsid w:val="00E479A9"/>
    <w:rsid w:val="00E66A4D"/>
    <w:rsid w:val="00E72B1C"/>
    <w:rsid w:val="00E96169"/>
    <w:rsid w:val="00EA3B55"/>
    <w:rsid w:val="00EF7B48"/>
    <w:rsid w:val="00F0780F"/>
    <w:rsid w:val="00F16D54"/>
    <w:rsid w:val="00F6015C"/>
    <w:rsid w:val="00F75715"/>
    <w:rsid w:val="00FB2E2F"/>
    <w:rsid w:val="00FC1AA4"/>
    <w:rsid w:val="00FD300A"/>
    <w:rsid w:val="00FF137F"/>
    <w:rsid w:val="00FF6959"/>
    <w:rsid w:val="00FF6C14"/>
    <w:rsid w:val="01BE6316"/>
    <w:rsid w:val="0E5F756F"/>
    <w:rsid w:val="189258E8"/>
    <w:rsid w:val="1E451C91"/>
    <w:rsid w:val="217F35A7"/>
    <w:rsid w:val="23A95CBD"/>
    <w:rsid w:val="24E73B1F"/>
    <w:rsid w:val="26F03C06"/>
    <w:rsid w:val="2A547683"/>
    <w:rsid w:val="577C231C"/>
    <w:rsid w:val="57964064"/>
    <w:rsid w:val="667765BF"/>
    <w:rsid w:val="7775238E"/>
    <w:rsid w:val="7A8638D9"/>
    <w:rsid w:val="7AD0028B"/>
    <w:rsid w:val="7D373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spacing w:before="340" w:after="330" w:line="578" w:lineRule="auto"/>
      <w:outlineLvl w:val="0"/>
    </w:pPr>
    <w:rPr>
      <w:rFonts w:ascii="Times New Roman" w:hAnsi="Times New Roman" w:eastAsia="黑体" w:cs="Arial"/>
      <w:b/>
      <w:bCs/>
      <w:kern w:val="44"/>
      <w:sz w:val="28"/>
      <w:szCs w:val="44"/>
    </w:rPr>
  </w:style>
  <w:style w:type="paragraph" w:styleId="3">
    <w:name w:val="heading 2"/>
    <w:basedOn w:val="1"/>
    <w:next w:val="1"/>
    <w:link w:val="22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32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toc 3"/>
    <w:basedOn w:val="1"/>
    <w:next w:val="1"/>
    <w:semiHidden/>
    <w:unhideWhenUsed/>
    <w:qFormat/>
    <w:uiPriority w:val="39"/>
    <w:rPr>
      <w:rFonts w:eastAsia="仿宋_GB2312"/>
      <w:sz w:val="28"/>
    </w:rPr>
  </w:style>
  <w:style w:type="paragraph" w:styleId="6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unhideWhenUsed/>
    <w:qFormat/>
    <w:uiPriority w:val="39"/>
    <w:rPr>
      <w:rFonts w:eastAsia="仿宋_GB2312"/>
      <w:sz w:val="28"/>
    </w:rPr>
  </w:style>
  <w:style w:type="paragraph" w:styleId="10">
    <w:name w:val="toc 2"/>
    <w:basedOn w:val="1"/>
    <w:next w:val="1"/>
    <w:unhideWhenUsed/>
    <w:qFormat/>
    <w:uiPriority w:val="39"/>
    <w:rPr>
      <w:rFonts w:eastAsia="仿宋_GB2312"/>
      <w:sz w:val="2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13">
    <w:name w:val="Table Grid"/>
    <w:basedOn w:val="1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5">
    <w:name w:val="Hyperlink"/>
    <w:basedOn w:val="14"/>
    <w:unhideWhenUsed/>
    <w:qFormat/>
    <w:uiPriority w:val="99"/>
    <w:rPr>
      <w:color w:val="0563C1" w:themeColor="hyperlink"/>
      <w:u w:val="single"/>
    </w:rPr>
  </w:style>
  <w:style w:type="character" w:customStyle="1" w:styleId="16">
    <w:name w:val="标题 1 Char"/>
    <w:basedOn w:val="14"/>
    <w:link w:val="2"/>
    <w:qFormat/>
    <w:uiPriority w:val="9"/>
    <w:rPr>
      <w:rFonts w:ascii="Times New Roman" w:hAnsi="Times New Roman" w:eastAsia="黑体" w:cs="Arial"/>
      <w:b/>
      <w:bCs/>
      <w:kern w:val="44"/>
      <w:sz w:val="28"/>
      <w:szCs w:val="44"/>
    </w:rPr>
  </w:style>
  <w:style w:type="paragraph" w:styleId="17">
    <w:name w:val="List Paragraph"/>
    <w:basedOn w:val="1"/>
    <w:qFormat/>
    <w:uiPriority w:val="34"/>
    <w:pPr>
      <w:ind w:firstLine="420" w:firstLineChars="200"/>
    </w:pPr>
  </w:style>
  <w:style w:type="character" w:customStyle="1" w:styleId="18">
    <w:name w:val="页眉 Char"/>
    <w:basedOn w:val="14"/>
    <w:link w:val="8"/>
    <w:qFormat/>
    <w:uiPriority w:val="99"/>
    <w:rPr>
      <w:sz w:val="18"/>
      <w:szCs w:val="18"/>
    </w:rPr>
  </w:style>
  <w:style w:type="character" w:customStyle="1" w:styleId="19">
    <w:name w:val="页脚 Char"/>
    <w:basedOn w:val="14"/>
    <w:link w:val="7"/>
    <w:qFormat/>
    <w:uiPriority w:val="99"/>
    <w:rPr>
      <w:sz w:val="18"/>
      <w:szCs w:val="18"/>
    </w:rPr>
  </w:style>
  <w:style w:type="character" w:customStyle="1" w:styleId="20">
    <w:name w:val="批注框文本 Char"/>
    <w:basedOn w:val="14"/>
    <w:link w:val="6"/>
    <w:semiHidden/>
    <w:qFormat/>
    <w:uiPriority w:val="99"/>
    <w:rPr>
      <w:sz w:val="18"/>
      <w:szCs w:val="18"/>
    </w:rPr>
  </w:style>
  <w:style w:type="paragraph" w:customStyle="1" w:styleId="21">
    <w:name w:val="标题1"/>
    <w:basedOn w:val="2"/>
    <w:qFormat/>
    <w:uiPriority w:val="0"/>
    <w:pPr>
      <w:spacing w:before="120" w:after="120" w:line="500" w:lineRule="exact"/>
      <w:ind w:firstLine="200" w:firstLineChars="200"/>
    </w:pPr>
    <w:rPr>
      <w:rFonts w:cs="Times New Roman"/>
      <w:sz w:val="32"/>
      <w:szCs w:val="32"/>
    </w:rPr>
  </w:style>
  <w:style w:type="character" w:customStyle="1" w:styleId="22">
    <w:name w:val="标题 2 Char"/>
    <w:basedOn w:val="14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paragraph" w:customStyle="1" w:styleId="23">
    <w:name w:val="标题2"/>
    <w:basedOn w:val="3"/>
    <w:qFormat/>
    <w:uiPriority w:val="0"/>
    <w:pPr>
      <w:numPr>
        <w:ilvl w:val="0"/>
        <w:numId w:val="1"/>
      </w:numPr>
      <w:spacing w:before="120" w:after="120" w:line="500" w:lineRule="exact"/>
    </w:pPr>
    <w:rPr>
      <w:rFonts w:ascii="仿宋_GB2312" w:eastAsia="仿宋_GB2312" w:cs="Times New Roman"/>
    </w:rPr>
  </w:style>
  <w:style w:type="paragraph" w:customStyle="1" w:styleId="24">
    <w:name w:val="TOC 标题1"/>
    <w:basedOn w:val="2"/>
    <w:next w:val="1"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F5496" w:themeColor="accent1" w:themeShade="BF"/>
      <w:kern w:val="0"/>
      <w:sz w:val="32"/>
      <w:szCs w:val="32"/>
    </w:rPr>
  </w:style>
  <w:style w:type="character" w:customStyle="1" w:styleId="25">
    <w:name w:val="闻政正文 Char"/>
    <w:link w:val="26"/>
    <w:qFormat/>
    <w:uiPriority w:val="0"/>
    <w:rPr>
      <w:rFonts w:ascii="Times New Roman" w:hAnsi="Times New Roman" w:eastAsia="仿宋_GB2312" w:cs="Times New Roman"/>
      <w:sz w:val="28"/>
      <w:szCs w:val="28"/>
    </w:rPr>
  </w:style>
  <w:style w:type="paragraph" w:customStyle="1" w:styleId="26">
    <w:name w:val="闻政正文"/>
    <w:basedOn w:val="1"/>
    <w:link w:val="25"/>
    <w:qFormat/>
    <w:uiPriority w:val="0"/>
    <w:pPr>
      <w:spacing w:line="500" w:lineRule="exact"/>
      <w:ind w:firstLine="560" w:firstLineChars="200"/>
    </w:pPr>
    <w:rPr>
      <w:rFonts w:ascii="Times New Roman" w:hAnsi="Times New Roman" w:eastAsia="仿宋_GB2312" w:cs="Times New Roman"/>
      <w:sz w:val="28"/>
      <w:szCs w:val="28"/>
    </w:rPr>
  </w:style>
  <w:style w:type="character" w:customStyle="1" w:styleId="27">
    <w:name w:val="闻政表 Char"/>
    <w:link w:val="28"/>
    <w:qFormat/>
    <w:uiPriority w:val="0"/>
    <w:rPr>
      <w:rFonts w:ascii="Times New Roman" w:hAnsi="Times New Roman" w:eastAsia="仿宋_GB2312" w:cs="Times New Roman"/>
      <w:b/>
      <w:sz w:val="24"/>
      <w:szCs w:val="28"/>
    </w:rPr>
  </w:style>
  <w:style w:type="paragraph" w:customStyle="1" w:styleId="28">
    <w:name w:val="闻政表"/>
    <w:basedOn w:val="1"/>
    <w:link w:val="27"/>
    <w:qFormat/>
    <w:uiPriority w:val="0"/>
    <w:pPr>
      <w:spacing w:before="60" w:after="60"/>
      <w:jc w:val="center"/>
    </w:pPr>
    <w:rPr>
      <w:rFonts w:ascii="Times New Roman" w:hAnsi="Times New Roman" w:eastAsia="仿宋_GB2312" w:cs="Times New Roman"/>
      <w:b/>
      <w:sz w:val="24"/>
      <w:szCs w:val="28"/>
    </w:rPr>
  </w:style>
  <w:style w:type="paragraph" w:customStyle="1" w:styleId="29">
    <w:name w:val="Char"/>
    <w:basedOn w:val="1"/>
    <w:qFormat/>
    <w:uiPriority w:val="0"/>
    <w:pPr>
      <w:widowControl/>
      <w:spacing w:after="160" w:line="240" w:lineRule="exact"/>
      <w:jc w:val="left"/>
    </w:pPr>
    <w:rPr>
      <w:rFonts w:ascii="Times New Roman" w:hAnsi="Times New Roman" w:eastAsia="宋体" w:cs="Times New Roman"/>
      <w:szCs w:val="22"/>
    </w:rPr>
  </w:style>
  <w:style w:type="character" w:customStyle="1" w:styleId="30">
    <w:name w:val="闻政标题3 Char"/>
    <w:link w:val="31"/>
    <w:qFormat/>
    <w:uiPriority w:val="0"/>
    <w:rPr>
      <w:rFonts w:ascii="黑体" w:hAnsi="黑体" w:eastAsia="黑体" w:cs="Times New Roman"/>
      <w:bCs/>
      <w:sz w:val="32"/>
      <w:szCs w:val="32"/>
    </w:rPr>
  </w:style>
  <w:style w:type="paragraph" w:customStyle="1" w:styleId="31">
    <w:name w:val="闻政标题3"/>
    <w:basedOn w:val="4"/>
    <w:link w:val="30"/>
    <w:qFormat/>
    <w:uiPriority w:val="99"/>
    <w:pPr>
      <w:spacing w:before="120" w:after="60" w:line="500" w:lineRule="exact"/>
      <w:jc w:val="left"/>
      <w:outlineLvl w:val="0"/>
    </w:pPr>
    <w:rPr>
      <w:rFonts w:ascii="黑体" w:hAnsi="黑体" w:eastAsia="黑体" w:cs="Times New Roman"/>
      <w:b w:val="0"/>
    </w:rPr>
  </w:style>
  <w:style w:type="character" w:customStyle="1" w:styleId="32">
    <w:name w:val="标题 3 Char"/>
    <w:basedOn w:val="14"/>
    <w:link w:val="4"/>
    <w:semiHidden/>
    <w:qFormat/>
    <w:uiPriority w:val="9"/>
    <w:rPr>
      <w:b/>
      <w:bCs/>
      <w:sz w:val="32"/>
      <w:szCs w:val="32"/>
    </w:rPr>
  </w:style>
  <w:style w:type="paragraph" w:customStyle="1" w:styleId="33">
    <w:name w:val="Body text|1"/>
    <w:basedOn w:val="1"/>
    <w:link w:val="34"/>
    <w:qFormat/>
    <w:uiPriority w:val="0"/>
    <w:pPr>
      <w:spacing w:after="40" w:line="334" w:lineRule="auto"/>
    </w:pPr>
    <w:rPr>
      <w:rFonts w:ascii="MingLiU" w:hAnsi="MingLiU" w:eastAsia="MingLiU" w:cs="MingLiU"/>
      <w:sz w:val="20"/>
      <w:szCs w:val="20"/>
      <w:lang w:val="zh-TW" w:eastAsia="zh-TW" w:bidi="zh-TW"/>
    </w:rPr>
  </w:style>
  <w:style w:type="character" w:customStyle="1" w:styleId="34">
    <w:name w:val="Body text|1_"/>
    <w:basedOn w:val="14"/>
    <w:link w:val="33"/>
    <w:unhideWhenUsed/>
    <w:qFormat/>
    <w:uiPriority w:val="0"/>
    <w:rPr>
      <w:rFonts w:ascii="MingLiU" w:hAnsi="MingLiU" w:eastAsia="MingLiU" w:cs="MingLiU"/>
      <w:sz w:val="20"/>
      <w:szCs w:val="2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A439FA4-B745-48ED-83D8-5B15833D04B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503</Words>
  <Characters>2872</Characters>
  <Lines>23</Lines>
  <Paragraphs>6</Paragraphs>
  <TotalTime>0</TotalTime>
  <ScaleCrop>false</ScaleCrop>
  <LinksUpToDate>false</LinksUpToDate>
  <CharactersWithSpaces>3369</CharactersWithSpaces>
  <Application>WPS Office_11.1.0.9564_F1E327BC-269C-435d-A152-05C5408002CA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2019-11-22T05:12:00Z</dcterms:created>
  <dc:creator>ThinkPad</dc:creator>
  <cp:lastModifiedBy>Administrator</cp:lastModifiedBy>
  <dcterms:modified xsi:type="dcterms:W3CDTF">2020-09-05T10:36:06Z</dcterms:modified>
  <dc:title>新疆普天鹏华商务信息咨询有限公司</dc:title>
  <cp:revision>129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