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财政对城乡居民基本医疗保险基金补助项目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新疆维吾尔自治区喀什地区医疗保障局（本级）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朱玉芳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bCs/>
          <w:spacing w:val="-4"/>
          <w:sz w:val="32"/>
          <w:szCs w:val="32"/>
        </w:rPr>
        <w:t>1. 项目背景</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本项目</w:t>
      </w:r>
      <w:r>
        <w:rPr>
          <w:rStyle w:val="18"/>
          <w:rFonts w:hint="eastAsia" w:ascii="仿宋" w:hAnsi="仿宋" w:eastAsia="仿宋" w:cs="仿宋"/>
          <w:b w:val="0"/>
          <w:bCs w:val="0"/>
          <w:spacing w:val="-4"/>
          <w:sz w:val="32"/>
          <w:szCs w:val="32"/>
        </w:rPr>
        <w:t xml:space="preserve">遵循财政部《项目支出绩效评价管理办法》（财预〔2020〕10号）和自治区财政厅《自治区财政支出绩效评价管理暂行办法》（新财预〔2018〕189号）等相关政策文件与规定，旨在全面建立统一的城乡居民医保制度，积极推进全民参保计划，建立起覆盖全民、统筹城乡的多层次医疗保障体系，城乡居民基本医疗保险参保率稳定在95%以上，按照经审核认定的参保人数和补助标准全额补助，确保城乡居民基本医疗保险参保人员的医疗待遇落实。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bCs/>
          <w:spacing w:val="-4"/>
          <w:sz w:val="32"/>
          <w:szCs w:val="32"/>
        </w:rPr>
        <w:t>2. 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2022年城乡居民医保补助资金项目主要内容为：（1）积极推进全民参保计划，城乡居民基本医疗保险参保率稳定在95%以上；（2）按时足额安排财政补助资金，确保城乡居民基本医疗保险参保人员的医疗待遇落实；全面实施大病保险制度，减轻参保人员的经济负担，缓解社会矛盾。</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实施情况：2022年度，财政分批下达喀什地区2022年城乡居民医疗补助项目，资金共计256974万元，用于对城乡参保人员的补助，详细如下：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2021年12月，根据自治区财政厅、自治区医保局《关于提前下达2022年自治区财政城乡居民基本医疗保险补助资金预算的通知》（新财社（2021）261号），下拨了城乡居民医保补助资金省级补助资金61804万元，专项用于对参保人员的补助；         </w:t>
      </w:r>
      <w:r>
        <w:rPr>
          <w:rStyle w:val="18"/>
          <w:rFonts w:hint="eastAsia" w:ascii="仿宋" w:hAnsi="仿宋" w:eastAsia="仿宋" w:cs="仿宋"/>
          <w:b w:val="0"/>
          <w:bCs w:val="0"/>
          <w:spacing w:val="-4"/>
          <w:sz w:val="32"/>
          <w:szCs w:val="32"/>
          <w:lang w:val="en-US" w:eastAsia="zh-CN"/>
        </w:rPr>
        <w:t xml:space="preserve">   </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2021年12月，根据自治区财政厅、自治区医保局《关于提前下达2022年居民医保中央财政补助资金预算的通知》（新财社（2021）267号），下拨了城乡居民医保补助资金中央补助资金170997万元，专项用于对参保人员的补助。</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2022年7月， 根据自治区财政厅、自治区医保局《关于拨付2022年中央城乡居民基本医疗保险补助资金（第二批）预算的通知》（财社（2022）98号），下拨了城乡居民医保补助资金中央补助资金24173万元，专项用于对参保人员的补助。</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2022年12月，根据自治区财政厅、自治区医保局《关于拨付自治区财政2021年度城乡居民基本医疗保险结算补助资金的通知》（新财社（2022）217号）清算城乡居民医保补助资金省级补助资金-352万元，用于结算2021年补助资金。</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2022年12月，根据自治区财政厅、自治区医保局《关于拨付2022年中央城乡居民基本医疗保险补助资金（第三批）预算的通知》（新财社（2022）218号）抵减城乡居民医保补助资金中央补助资金-717万元。2022年共安排下达资金256974万元，最终确定项目资金总数为256974万元。2021年9月喀什地区医保局、财政厅、税务局等部门联合发布了《关于做好2022年城乡居民基本医疗保险集中参保缴费工作的通知》（喀地医保发[2021]44号），指导城乡居民基本医疗保障工作。2022年自治区城乡居民医疗保险人均财政补助标准新增30元，达到每人每年不低于610元，原则上个人缴费标准同步提高30元，达到每人每年不低于360元；自治区医保局同财政部门共同制定省、市、县三级财政分担办法，并在规定时间内将预算下达至地区财政部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bCs/>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该项目的实施主体为地区医保局，于2019年1月31日正式挂牌成立，是喀什地区行署直属机构，正县级。地区医疗保障局编制19名，行政编制11名，事业编制8名，其中：县级领导职数4名，科级领导职数10名。</w:t>
      </w:r>
    </w:p>
    <w:p>
      <w:pPr>
        <w:spacing w:line="540" w:lineRule="exact"/>
        <w:ind w:firstLine="624" w:firstLineChars="200"/>
        <w:rPr>
          <w:rFonts w:hint="eastAsia" w:ascii="方正仿宋_GBK" w:hAnsi="方正仿宋_GBK" w:eastAsia="方正仿宋_GBK" w:cs="方正仿宋_GBK"/>
          <w:b/>
          <w:bCs/>
          <w:color w:val="auto"/>
          <w:kern w:val="0"/>
          <w:sz w:val="32"/>
          <w:szCs w:val="32"/>
          <w:lang w:val="en-US" w:eastAsia="zh-CN" w:bidi="en-US"/>
        </w:rPr>
      </w:pPr>
      <w:r>
        <w:rPr>
          <w:rStyle w:val="18"/>
          <w:rFonts w:hint="eastAsia" w:ascii="仿宋" w:hAnsi="仿宋" w:eastAsia="仿宋" w:cs="仿宋"/>
          <w:b w:val="0"/>
          <w:bCs w:val="0"/>
          <w:spacing w:val="-4"/>
          <w:sz w:val="32"/>
          <w:szCs w:val="32"/>
        </w:rPr>
        <w:t xml:space="preserve">其主要职能为：（1）贯彻落实国家和自治区医疗保险、人身意外伤害保险、医疗救助等医疗保障制度；提出地区医疗保障制度的政策、规划和标准并组织实施；拟订地区医疗保险、大病保险、大额医疗补助、公务员医疗补助、企事业单位补充医疗保险、长期护理保险、医疗救助、离休人员和优抚对象医疗保障等政策、管理办法并组织实施。（2）拟订并实施医疗保障基金监督管理办法，建立健全医疗保障基金安全防控机制，承担推进医疗保障基金支付方式改革工作，编制地区医疗保障基金预决算草案。（3）组织拟订地区医疗保障筹资和待遇政策，完善动态调整和区域调剂平衡机制，统筹城乡医疗保障待遇标准，建立健全与筹资水平相适应的待遇调整机制。拟订并组织实施长期护理保险制度改革方案。（4）贯彻落实国家和自治区药品、医用耗材价格和医疗服务项目、医疗服务设施收费等政策并监督实施，执行自治区制定的药品、医用耗材的招标采购政策并监督实施，建立健全医保支付医药服务价格合理确定和动态调整机制，建立市场主导的社会医药服务价格形成机制，建立医药服务价格信息监测和信息发布制度。（5）贯彻落实国家、自治区药品、医用耗材、医疗服务项目、医疗服务设施等医保目录和支付标准，建立动态调整机制。（6）制定定点医药机构协议和支付管理办法并组织实施，建立健全医疗保障信用评价体系和信息披露制度，监督管理纳入医保范围内的医疗服务行为和医疗费用，依法查处医疗保障领域违法违规行为。（7）负责地区医疗保障经办管理、公共服务体系和信息化建设。贯彻落实国家和自治区跨省异地就医管理和费用结算政策，组织制定地区异地就医和费用结算政策。建立健全医疗保障关系转移接续制度。监督指导医疗保障经办机构开展业务工作。（8）完成地委、行署交办的其他任务。（9）职能转变。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4. </w:t>
      </w:r>
      <w:r>
        <w:rPr>
          <w:rFonts w:hint="eastAsia" w:ascii="方正仿宋_GBK" w:hAnsi="方正仿宋_GBK" w:eastAsia="方正仿宋_GBK" w:cs="方正仿宋_GBK"/>
          <w:b/>
          <w:bCs/>
          <w:color w:val="auto"/>
          <w:kern w:val="0"/>
          <w:sz w:val="32"/>
          <w:szCs w:val="32"/>
          <w:lang w:val="en-US" w:eastAsia="zh-CN" w:bidi="en-US"/>
        </w:rPr>
        <w:t>城乡居民医疗保险基金收支余总体情况</w:t>
      </w:r>
    </w:p>
    <w:p>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自治区财政厅、自治区医保局《关于提前下达2022年自治区财政城乡居民基本医疗保险补助资金预算的通知》（新财社（2021）261号）、自治区财政厅、自治区医保局《关于提前下达2022年居民医保中央财政补助资金预算的通知》（新财社（2021）267号）、自治区财政厅、自治区医保局《关于拨付2022年中央城乡居民基本医疗保险补助资金（第二批）预算的通知》（财社（2022）98号），2022年度，财政分三批下达喀什地区2022年城乡居民医疗补助项目，资金共计256974万元，用于对城乡参保人员的补助，2022年共安排下达资金256974万元，最终确定项目资金总数为256974万元。截止到2022年12月31日，2022年度用于对城乡参保人员的补助资金总计256974万元，共计执行255905万元，总体执行率100%， 实际支出255905万元，预算执行率99.58%。</w:t>
      </w:r>
    </w:p>
    <w:p>
      <w:pPr>
        <w:spacing w:line="570" w:lineRule="exact"/>
        <w:ind w:firstLine="313" w:firstLineChars="1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1.</w:t>
      </w:r>
      <w:r>
        <w:rPr>
          <w:rStyle w:val="18"/>
          <w:rFonts w:hint="eastAsia" w:ascii="仿宋" w:hAnsi="仿宋" w:eastAsia="仿宋" w:cs="仿宋"/>
          <w:b w:val="0"/>
          <w:bCs w:val="0"/>
          <w:spacing w:val="-4"/>
          <w:sz w:val="32"/>
          <w:szCs w:val="32"/>
        </w:rPr>
        <w:t>项目绩效总目标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2022年度，财政分三批下达喀什地区2022年城乡居民医疗补助项目，资金共计256974万元，专项用于城乡居民基本医疗保险参保人员待遇支出补助。中央财政每人每年给与488元补助，自治区每人每年给与152元补助，分批下达资金。通过项目实施，稳步提高财政补贴资金，确保城乡居民基本医疗保险参保人员医疗待遇落实。全面实施大病保险制度，减轻参保人员的经济负担，缓解社会矛盾。</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第一阶段、按照《中央财政城乡居民基本医疗保险补助资金管理办法》有关要求，由自治区财政局、医保局根据地区上年6月城乡居民参保人数和中央、自治区补助标准核定测算下达指标。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第二阶段、2022年城乡居民医疗补助资金共分三批下达， 地区财政部门在规定的时间内将地区居民医疗保险转移支付项目资金均于12月底前全部到位。并做到了专款专用、及时拨付、规范支付，保障城乡居民医疗保险补助资金支付需求，确保城乡居民医疗保险补助资金项目顺利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三阶段、2022年度喀什地区参保城乡居民409万人，中央财政每人每年给与488元补助，自治区每人每年给与152元补助，分批下达资金。通过项目实施，稳步提高财政补贴资金，确保城乡居民基本医疗保险参保人员医疗待遇落实。全面实施大病保险制度，减轻参保人员的经济负担，缓解社会矛盾。</w:t>
      </w:r>
    </w:p>
    <w:p>
      <w:pPr>
        <w:numPr>
          <w:ilvl w:val="0"/>
          <w:numId w:val="1"/>
        </w:numPr>
        <w:spacing w:line="570" w:lineRule="exact"/>
        <w:ind w:firstLine="624" w:firstLineChars="20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绩效评价工作开展情况</w:t>
      </w:r>
    </w:p>
    <w:p>
      <w:pPr>
        <w:numPr>
          <w:ilvl w:val="0"/>
          <w:numId w:val="0"/>
        </w:numPr>
        <w:spacing w:line="570" w:lineRule="exact"/>
        <w:ind w:firstLine="313" w:firstLineChars="1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left="319" w:leftChars="152" w:firstLine="530" w:firstLineChars="17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p>
    <w:p>
      <w:pPr>
        <w:spacing w:line="540" w:lineRule="exact"/>
        <w:ind w:left="319" w:leftChars="152" w:firstLine="530" w:firstLineChars="17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 xml:space="preserve"> 一</w:t>
      </w:r>
      <w:r>
        <w:rPr>
          <w:rStyle w:val="18"/>
          <w:rFonts w:hint="eastAsia" w:ascii="仿宋" w:hAnsi="仿宋" w:eastAsia="仿宋" w:cs="仿宋"/>
          <w:b w:val="0"/>
          <w:bCs w:val="0"/>
          <w:spacing w:val="-4"/>
          <w:sz w:val="32"/>
          <w:szCs w:val="32"/>
        </w:rPr>
        <w:t>是加强预算绩效管理，强化支出责任，提高财政资金使用效益；二是进一步总结和分析财政资金的支出效果，了解、分析、检验资金使用是否达到预期目标，资金管理是否规范，资金使用是否有效，考核财政支出效率和综合效果；三是通过绩效评价，促进项目单位总结经验、发现问题、改进工作，进一步加强项目管理，提高财政资金使用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本</w:t>
      </w:r>
      <w:r>
        <w:rPr>
          <w:rStyle w:val="18"/>
          <w:rFonts w:hint="eastAsia" w:ascii="仿宋" w:hAnsi="仿宋" w:eastAsia="仿宋" w:cs="仿宋"/>
          <w:b w:val="0"/>
          <w:bCs w:val="0"/>
          <w:spacing w:val="-4"/>
          <w:sz w:val="32"/>
          <w:szCs w:val="32"/>
        </w:rPr>
        <w:t>次绩效评价遵循的原则包括：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（1）科学公正。绩效评价运用科学合理的方法，按照规范的程序，对项目绩效进行客观、公正的反映。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（2）统筹兼顾。单位自评由项目单位自主实施，即“谁支出、谁自评”。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绩效评价体系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1个二级指标。项目绩效评价体系详见附件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自治区财政支出绩效评价管理暂行办法》的通知（新财预〔2018〕189号）和《项目支出绩效评价管理办法》（财预〔2020〕10号），财政和部门评价的方法主要包括成本效益分析法、比较法、因素分析法、最低成本法、综合指数评价法、综合指数评价法、公众评判法、回溯分析法、标杆管理法等其他方法。根据对评价对象的具体情况分析，本次绩效评价采用成本效益分析法、比较法、因素分析法、综合指数评价法、公众评判法相结合的形式进行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比较法：是指通过对绩效目标与实施效果、历史与当期情况、不同部门和地区同类支出的比较，综合分析绩效目标实现程度。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综合指数评价法：是指把各项绩效指标的实际水平，对照评价标准值，分别计算各项指标评价得分，再按照设定的各项指标权数计算出综合评价得分，分析评价绩效目标实现情况的评价方法。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公众评判法：是指通过公众问卷及抽样调查等对财政支出效果进行评判，评价绩效目标实现程度。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 绩效评价标准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经采用综合分析法对项目的决策、实施、产出、效益进行综合评价分析。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成员构成如下：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李</w:t>
      </w:r>
      <w:r>
        <w:rPr>
          <w:rStyle w:val="18"/>
          <w:rFonts w:hint="eastAsia" w:ascii="仿宋" w:hAnsi="仿宋" w:eastAsia="仿宋" w:cs="仿宋"/>
          <w:b w:val="0"/>
          <w:bCs w:val="0"/>
          <w:spacing w:val="-4"/>
          <w:sz w:val="32"/>
          <w:szCs w:val="32"/>
        </w:rPr>
        <w:t>咏萍任评价组组长，绩效评价工作职责为负责全盘工作。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佐拉古·沙依木任评价组副组长，绩效评价工作职责为为对项目实施情况进行实地调查。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尚桂喻任评价组成员，绩效评价工作职责为负责资料审核等工作。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经</w:t>
      </w:r>
      <w:r>
        <w:rPr>
          <w:rStyle w:val="18"/>
          <w:rFonts w:hint="eastAsia" w:ascii="仿宋" w:hAnsi="仿宋" w:eastAsia="仿宋" w:cs="仿宋"/>
          <w:b w:val="0"/>
          <w:bCs w:val="0"/>
          <w:spacing w:val="-4"/>
          <w:sz w:val="32"/>
          <w:szCs w:val="32"/>
        </w:rPr>
        <w:t>采用综合分析法对项目的决策、过程、产出、效益进行综合评价分析，最终评分100分。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城乡居民基本医疗保险补助项目得分情况表</w:t>
      </w:r>
      <w:r>
        <w:rPr>
          <w:rStyle w:val="18"/>
          <w:rFonts w:hint="eastAsia" w:ascii="仿宋" w:hAnsi="仿宋" w:eastAsia="仿宋" w:cs="仿宋"/>
          <w:b w:val="0"/>
          <w:bCs w:val="0"/>
          <w:spacing w:val="-4"/>
          <w:sz w:val="32"/>
          <w:szCs w:val="32"/>
        </w:rPr>
        <w:cr/>
      </w:r>
    </w:p>
    <w:tbl>
      <w:tblPr>
        <w:tblStyle w:val="16"/>
        <w:tblW w:w="0" w:type="auto"/>
        <w:jc w:val="center"/>
        <w:tblLayout w:type="fixed"/>
        <w:tblCellMar>
          <w:top w:w="0" w:type="dxa"/>
          <w:left w:w="0" w:type="dxa"/>
          <w:bottom w:w="0" w:type="dxa"/>
          <w:right w:w="0" w:type="dxa"/>
        </w:tblCellMar>
      </w:tblPr>
      <w:tblGrid>
        <w:gridCol w:w="2317"/>
        <w:gridCol w:w="1840"/>
        <w:gridCol w:w="2083"/>
        <w:gridCol w:w="2085"/>
      </w:tblGrid>
      <w:tr>
        <w:tblPrEx>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实际得分</w:t>
            </w:r>
          </w:p>
        </w:tc>
      </w:tr>
      <w:tr>
        <w:tblPrEx>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sz w:val="22"/>
                <w:szCs w:val="28"/>
                <w:lang w:val="en-US" w:eastAsia="zh-CN"/>
              </w:rPr>
            </w:pPr>
            <w:r>
              <w:rPr>
                <w:rFonts w:hint="eastAsia" w:ascii="Times New Roman" w:hAnsi="Times New Roman" w:eastAsia="方正仿宋_GBK" w:cs="方正仿宋_GBK"/>
                <w:sz w:val="22"/>
                <w:szCs w:val="28"/>
                <w:lang w:val="en-US" w:eastAsia="zh-CN"/>
              </w:rPr>
              <w:t>23</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14:textFill>
                  <w14:solidFill>
                    <w14:schemeClr w14:val="tx1"/>
                  </w14:solidFill>
                </w14:textFill>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000000" w:themeColor="text1"/>
                <w:sz w:val="22"/>
                <w:szCs w:val="28"/>
                <w:lang w:val="en-US" w:eastAsia="zh-CN"/>
                <w14:textFill>
                  <w14:solidFill>
                    <w14:schemeClr w14:val="tx1"/>
                  </w14:solidFill>
                </w14:textFill>
              </w:rPr>
            </w:pPr>
            <w:r>
              <w:rPr>
                <w:rFonts w:hint="eastAsia" w:ascii="Times New Roman" w:hAnsi="Times New Roman" w:eastAsia="方正仿宋_GBK" w:cs="方正仿宋_GBK"/>
                <w:color w:val="000000" w:themeColor="text1"/>
                <w:sz w:val="22"/>
                <w:szCs w:val="28"/>
                <w:lang w:val="en-US" w:eastAsia="zh-CN"/>
                <w14:textFill>
                  <w14:solidFill>
                    <w14:schemeClr w14:val="tx1"/>
                  </w14:solidFill>
                </w14:textFill>
              </w:rPr>
              <w:t>23</w:t>
            </w:r>
          </w:p>
        </w:tc>
      </w:tr>
      <w:tr>
        <w:tblPrEx>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14:textFill>
                  <w14:solidFill>
                    <w14:schemeClr w14:val="tx1"/>
                  </w14:solidFill>
                </w14:textFill>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14:textFill>
                  <w14:solidFill>
                    <w14:schemeClr w14:val="tx1"/>
                  </w14:solidFill>
                </w14:textFill>
              </w:rPr>
              <w:t>20</w:t>
            </w:r>
          </w:p>
        </w:tc>
      </w:tr>
      <w:tr>
        <w:tblPrEx>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sz w:val="22"/>
                <w:szCs w:val="28"/>
                <w:lang w:val="en-US" w:eastAsia="zh-CN"/>
              </w:rPr>
            </w:pPr>
            <w:r>
              <w:rPr>
                <w:rFonts w:hint="eastAsia" w:ascii="Times New Roman" w:hAnsi="Times New Roman" w:eastAsia="方正仿宋_GBK" w:cs="方正仿宋_GBK"/>
                <w:sz w:val="22"/>
                <w:szCs w:val="28"/>
                <w:lang w:val="en-US" w:eastAsia="zh-CN"/>
              </w:rPr>
              <w:t>47</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lang w:val="en-US" w:eastAsia="zh-CN"/>
                <w14:textFill>
                  <w14:solidFill>
                    <w14:schemeClr w14:val="tx1"/>
                  </w14:solidFill>
                </w14:textFill>
              </w:rPr>
              <w:t>94</w:t>
            </w:r>
            <w:r>
              <w:rPr>
                <w:rFonts w:hint="eastAsia" w:ascii="Times New Roman" w:hAnsi="Times New Roman" w:eastAsia="方正仿宋_GBK" w:cs="方正仿宋_GBK"/>
                <w:color w:val="000000" w:themeColor="text1"/>
                <w:sz w:val="22"/>
                <w:szCs w:val="28"/>
                <w14:textFill>
                  <w14:solidFill>
                    <w14:schemeClr w14:val="tx1"/>
                  </w14:solidFill>
                </w14:textFill>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000000" w:themeColor="text1"/>
                <w:sz w:val="22"/>
                <w:szCs w:val="28"/>
                <w:lang w:val="en-US" w:eastAsia="zh-CN"/>
                <w14:textFill>
                  <w14:solidFill>
                    <w14:schemeClr w14:val="tx1"/>
                  </w14:solidFill>
                </w14:textFill>
              </w:rPr>
            </w:pPr>
            <w:r>
              <w:rPr>
                <w:rFonts w:hint="eastAsia" w:eastAsia="方正仿宋_GBK" w:cs="方正仿宋_GBK"/>
                <w:color w:val="000000" w:themeColor="text1"/>
                <w:sz w:val="22"/>
                <w:szCs w:val="28"/>
                <w:lang w:val="en-US" w:eastAsia="zh-CN"/>
                <w14:textFill>
                  <w14:solidFill>
                    <w14:schemeClr w14:val="tx1"/>
                  </w14:solidFill>
                </w14:textFill>
              </w:rPr>
              <w:t>47</w:t>
            </w:r>
          </w:p>
        </w:tc>
      </w:tr>
      <w:tr>
        <w:tblPrEx>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sz w:val="22"/>
                <w:szCs w:val="28"/>
                <w:lang w:val="en-US" w:eastAsia="zh-CN"/>
              </w:rPr>
            </w:pPr>
            <w:r>
              <w:rPr>
                <w:rFonts w:hint="eastAsia" w:ascii="Times New Roman" w:hAnsi="Times New Roman" w:eastAsia="方正仿宋_GBK" w:cs="方正仿宋_GBK"/>
                <w:sz w:val="22"/>
                <w:szCs w:val="28"/>
                <w:lang w:val="en-US" w:eastAsia="zh-CN"/>
              </w:rPr>
              <w:t>10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14:textFill>
                  <w14:solidFill>
                    <w14:schemeClr w14:val="tx1"/>
                  </w14:solidFill>
                </w14:textFill>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000000" w:themeColor="text1"/>
                <w:sz w:val="22"/>
                <w:szCs w:val="28"/>
                <w:lang w:val="en-US" w:eastAsia="zh-CN"/>
                <w14:textFill>
                  <w14:solidFill>
                    <w14:schemeClr w14:val="tx1"/>
                  </w14:solidFill>
                </w14:textFill>
              </w:rPr>
            </w:pPr>
            <w:r>
              <w:rPr>
                <w:rFonts w:hint="eastAsia" w:ascii="Times New Roman" w:hAnsi="Times New Roman" w:eastAsia="方正仿宋_GBK" w:cs="方正仿宋_GBK"/>
                <w:color w:val="000000" w:themeColor="text1"/>
                <w:sz w:val="22"/>
                <w:szCs w:val="28"/>
                <w:lang w:val="en-US" w:eastAsia="zh-CN"/>
                <w14:textFill>
                  <w14:solidFill>
                    <w14:schemeClr w14:val="tx1"/>
                  </w14:solidFill>
                </w14:textFill>
              </w:rPr>
              <w:t>10</w:t>
            </w:r>
          </w:p>
        </w:tc>
      </w:tr>
      <w:tr>
        <w:tblPrEx>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000000" w:themeColor="text1"/>
                <w:sz w:val="22"/>
                <w:szCs w:val="28"/>
                <w14:textFill>
                  <w14:solidFill>
                    <w14:schemeClr w14:val="tx1"/>
                  </w14:solidFill>
                </w14:textFill>
              </w:rPr>
            </w:pPr>
            <w:r>
              <w:rPr>
                <w:rFonts w:hint="eastAsia" w:ascii="Times New Roman" w:hAnsi="Times New Roman" w:eastAsia="方正仿宋_GBK" w:cs="方正仿宋_GBK"/>
                <w:color w:val="000000" w:themeColor="text1"/>
                <w:sz w:val="22"/>
                <w:szCs w:val="28"/>
                <w14:textFill>
                  <w14:solidFill>
                    <w14:schemeClr w14:val="tx1"/>
                  </w14:solidFill>
                </w14:textFill>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000000" w:themeColor="text1"/>
                <w:sz w:val="22"/>
                <w:szCs w:val="28"/>
                <w:lang w:val="en-US" w:eastAsia="zh-CN"/>
                <w14:textFill>
                  <w14:solidFill>
                    <w14:schemeClr w14:val="tx1"/>
                  </w14:solidFill>
                </w14:textFill>
              </w:rPr>
            </w:pPr>
            <w:r>
              <w:rPr>
                <w:rFonts w:hint="eastAsia" w:eastAsia="方正仿宋_GBK" w:cs="方正仿宋_GBK"/>
                <w:color w:val="000000" w:themeColor="text1"/>
                <w:sz w:val="22"/>
                <w:szCs w:val="28"/>
                <w:lang w:val="en-US" w:eastAsia="zh-CN"/>
                <w14:textFill>
                  <w14:solidFill>
                    <w14:schemeClr w14:val="tx1"/>
                  </w14:solidFill>
                </w14:textFill>
              </w:rPr>
              <w:t>100</w:t>
            </w:r>
          </w:p>
        </w:tc>
      </w:tr>
    </w:tbl>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6"/>
          <w:szCs w:val="36"/>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的方式。总分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城乡居民医保补助资金分配使用管理整体情况良好，参保率持续巩固，保障水平稳步提高，基金收支总量平衡。该项目最终评分100分，绩效评级为“优”。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项目决策指标得分情况</w:t>
      </w:r>
    </w:p>
    <w:p>
      <w:pPr>
        <w:pStyle w:val="2"/>
        <w:rPr>
          <w:rFonts w:hint="eastAsia"/>
        </w:rPr>
      </w:pPr>
    </w:p>
    <w:tbl>
      <w:tblPr>
        <w:tblStyle w:val="16"/>
        <w:tblW w:w="0" w:type="auto"/>
        <w:tblInd w:w="0" w:type="dxa"/>
        <w:tblLayout w:type="fixed"/>
        <w:tblCellMar>
          <w:top w:w="0" w:type="dxa"/>
          <w:left w:w="0" w:type="dxa"/>
          <w:bottom w:w="0" w:type="dxa"/>
          <w:right w:w="0" w:type="dxa"/>
        </w:tblCellMar>
      </w:tblPr>
      <w:tblGrid>
        <w:gridCol w:w="2215"/>
        <w:gridCol w:w="2215"/>
        <w:gridCol w:w="2216"/>
        <w:gridCol w:w="2218"/>
      </w:tblGrid>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三级指标</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权重</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得分率</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2"/>
                <w:szCs w:val="28"/>
              </w:rPr>
            </w:pPr>
            <w:r>
              <w:rPr>
                <w:rFonts w:hint="eastAsia" w:ascii="Times New Roman" w:hAnsi="Times New Roman" w:eastAsia="方正仿宋_GBK" w:cs="方正仿宋_GBK"/>
                <w:sz w:val="22"/>
                <w:szCs w:val="28"/>
              </w:rPr>
              <w:t>实际得分</w:t>
            </w:r>
          </w:p>
        </w:tc>
      </w:tr>
      <w:tr>
        <w:tblPrEx>
          <w:tblCellMar>
            <w:top w:w="0" w:type="dxa"/>
            <w:left w:w="0" w:type="dxa"/>
            <w:bottom w:w="0" w:type="dxa"/>
            <w:right w:w="0" w:type="dxa"/>
          </w:tblCellMar>
        </w:tblPrEx>
        <w:trPr>
          <w:trHeight w:val="90" w:hRule="atLeast"/>
        </w:trPr>
        <w:tc>
          <w:tcPr>
            <w:tcW w:w="2215" w:type="dxa"/>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立项依据充分性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立项程序规范性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绩效目标合理性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绩效指标明确性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r>
      <w:tr>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预算编制科学性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r>
      <w:tr>
        <w:tblPrEx>
          <w:tblCellMar>
            <w:top w:w="0" w:type="dxa"/>
            <w:left w:w="0" w:type="dxa"/>
            <w:bottom w:w="0" w:type="dxa"/>
            <w:right w:w="0" w:type="dxa"/>
          </w:tblCellMar>
        </w:tblPrEx>
        <w:trPr>
          <w:trHeight w:val="43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资金分配合理性</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合计</w:t>
            </w:r>
          </w:p>
        </w:tc>
        <w:tc>
          <w:tcPr>
            <w:tcW w:w="221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20</w:t>
            </w:r>
          </w:p>
        </w:tc>
        <w:tc>
          <w:tcPr>
            <w:tcW w:w="22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2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20</w:t>
            </w:r>
          </w:p>
        </w:tc>
      </w:tr>
    </w:tbl>
    <w:p>
      <w:pPr>
        <w:spacing w:line="540" w:lineRule="exact"/>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6"/>
          <w:szCs w:val="36"/>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立项依据充分性：2022年度中央及自治区财政城乡居民基本医疗保险补助资金项目根据财政厅、自治区医保局2021年12月，《关于提前下达2022年居民医保中央财政补助资金预算的通知》（新财社（2021）267号）及《关于提前下达2022年自治区财政城乡居民基本医疗保险补助资金预算的通知》（新财社（2021）261号）要求执行。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立项程序规范性：符合《中共中央国务院关于深化医疗保障制度改革的意见》，印发《“十四五”全民医疗保障规划》2022年度任务的相关文件，符合《国家医疗保障局关于全面实施预算绩效管理的意见》。符合《中央财政城乡居民基本医疗保险补助资金管理办法》以及各省市制定的相关管理办法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目标合理性：制定《2022年度中央及自治区财政城乡居民基本医疗保险补助资金项目实施方案》，明确了总体思路及目标、并对任务进行了详细分解，2022年1月完成立项审批，2022年12月完成城乡居民基本医疗保险补助支出工作，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绩效指标明确性：根据《自治区财政支出绩效评价管理暂行办法》的通知（新财预〔2018〕189号）、《项目支出绩效评价管理办法》（财预〔2020〕10号）、《关于开展地区本级2022年度财政支出绩效评价工作的通知》（喀地财绩【2023】2号）要求，积极推进全民参保计划，城乡居民基本医疗保险参保率稳定在95%以上；稳步提高财政补助资金，确保城乡居民基本医疗保险参保人员的医疗待遇落实；按时足额安排财政补助资金，确保在每年9月底之前全部到位；全面实施大病保险制度，减轻参保人员的经济负担，缓解社会矛盾。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预算编制科学性：本项目共设置一级指标3个，二级指标6个，三级指标16个，其中已完成三级指标15个。比如数量指标：①参保人次数预期指标值&gt;=407万人,实际完成值409万人，指标完成率100.49%，存在合理偏差，根据评分标准，该指标不扣分，得5分。②基金滚存结余可支配月数（月）目标，指标值为&lt;=9个月,地区基金滚存结余可支配月数为9个月，完成率100%，偏差率0%。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6）资金分配合理性：资金分配方案符合《财政部和医保局关于修订&lt;中央财政城乡居民基本医疗保险补助资金管理办法&gt;的通知》（财社【2022】1号）下达的文件要求,分配方法、支出内容符合省级实施细则要求,资金分配与绩效评价结果挂钩,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p>
    <w:p>
      <w:pPr>
        <w:spacing w:line="540" w:lineRule="exact"/>
        <w:ind w:firstLine="567"/>
        <w:rPr>
          <w:rStyle w:val="18"/>
          <w:rFonts w:hint="eastAsia" w:ascii="仿宋" w:hAnsi="仿宋" w:eastAsia="仿宋" w:cs="仿宋"/>
          <w:b w:val="0"/>
          <w:bCs w:val="0"/>
          <w:spacing w:val="-4"/>
          <w:sz w:val="32"/>
          <w:szCs w:val="32"/>
          <w:lang w:val="en-US" w:eastAsia="zh-CN"/>
        </w:rPr>
      </w:pP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项目过程指标得分情况</w:t>
      </w:r>
    </w:p>
    <w:p>
      <w:pPr>
        <w:pStyle w:val="2"/>
        <w:rPr>
          <w:rFonts w:hint="eastAsia"/>
        </w:rPr>
      </w:pPr>
    </w:p>
    <w:tbl>
      <w:tblPr>
        <w:tblStyle w:val="16"/>
        <w:tblW w:w="0" w:type="auto"/>
        <w:tblInd w:w="0" w:type="dxa"/>
        <w:tblLayout w:type="fixed"/>
        <w:tblCellMar>
          <w:top w:w="0" w:type="dxa"/>
          <w:left w:w="0" w:type="dxa"/>
          <w:bottom w:w="0" w:type="dxa"/>
          <w:right w:w="0" w:type="dxa"/>
        </w:tblCellMar>
      </w:tblPr>
      <w:tblGrid>
        <w:gridCol w:w="2532"/>
        <w:gridCol w:w="2110"/>
        <w:gridCol w:w="2110"/>
        <w:gridCol w:w="2111"/>
      </w:tblGrid>
      <w:tr>
        <w:trPr>
          <w:trHeight w:val="450"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三级指标</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权重</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得分率</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实际得分</w:t>
            </w:r>
          </w:p>
        </w:tc>
      </w:tr>
      <w:tr>
        <w:trPr>
          <w:trHeight w:val="409"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资金到位率</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r>
      <w:tr>
        <w:tblPrEx>
          <w:tblCellMar>
            <w:top w:w="0" w:type="dxa"/>
            <w:left w:w="0" w:type="dxa"/>
            <w:bottom w:w="0" w:type="dxa"/>
            <w:right w:w="0" w:type="dxa"/>
          </w:tblCellMar>
        </w:tblPrEx>
        <w:trPr>
          <w:trHeight w:val="504"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预算执行率</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lang w:eastAsia="zh-CN"/>
              </w:rPr>
            </w:pPr>
            <w:r>
              <w:rPr>
                <w:rFonts w:hint="eastAsia" w:ascii="Times New Roman" w:hAnsi="Times New Roman" w:eastAsia="方正仿宋_GBK" w:cs="方正仿宋_GBK"/>
                <w:color w:val="auto"/>
                <w:sz w:val="22"/>
                <w:szCs w:val="28"/>
                <w:lang w:val="en-US" w:eastAsia="zh-CN"/>
              </w:rPr>
              <w:t>5</w:t>
            </w:r>
          </w:p>
        </w:tc>
      </w:tr>
      <w:tr>
        <w:tblPrEx>
          <w:tblCellMar>
            <w:top w:w="0" w:type="dxa"/>
            <w:left w:w="0" w:type="dxa"/>
            <w:bottom w:w="0" w:type="dxa"/>
            <w:right w:w="0" w:type="dxa"/>
          </w:tblCellMar>
        </w:tblPrEx>
        <w:trPr>
          <w:trHeight w:val="90"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资金使用合规性</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5</w:t>
            </w:r>
          </w:p>
        </w:tc>
      </w:tr>
      <w:tr>
        <w:tblPrEx>
          <w:tblCellMar>
            <w:top w:w="0" w:type="dxa"/>
            <w:left w:w="0" w:type="dxa"/>
            <w:bottom w:w="0" w:type="dxa"/>
            <w:right w:w="0" w:type="dxa"/>
          </w:tblCellMar>
        </w:tblPrEx>
        <w:trPr>
          <w:trHeight w:val="432"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管理制度健全性</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w:t>
            </w:r>
          </w:p>
        </w:tc>
      </w:tr>
      <w:tr>
        <w:tblPrEx>
          <w:tblCellMar>
            <w:top w:w="0" w:type="dxa"/>
            <w:left w:w="0" w:type="dxa"/>
            <w:bottom w:w="0" w:type="dxa"/>
            <w:right w:w="0" w:type="dxa"/>
          </w:tblCellMar>
        </w:tblPrEx>
        <w:trPr>
          <w:trHeight w:val="432"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制度执行</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100%</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3</w:t>
            </w:r>
          </w:p>
        </w:tc>
      </w:tr>
      <w:tr>
        <w:tblPrEx>
          <w:tblCellMar>
            <w:top w:w="0" w:type="dxa"/>
            <w:left w:w="0" w:type="dxa"/>
            <w:bottom w:w="0" w:type="dxa"/>
            <w:right w:w="0" w:type="dxa"/>
          </w:tblCellMar>
        </w:tblPrEx>
        <w:trPr>
          <w:trHeight w:val="432" w:hRule="atLeast"/>
        </w:trPr>
        <w:tc>
          <w:tcPr>
            <w:tcW w:w="25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合计</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rPr>
              <w:t>20</w:t>
            </w:r>
          </w:p>
        </w:tc>
        <w:tc>
          <w:tcPr>
            <w:tcW w:w="21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2"/>
                <w:szCs w:val="28"/>
              </w:rPr>
            </w:pPr>
            <w:r>
              <w:rPr>
                <w:rFonts w:hint="eastAsia" w:ascii="Times New Roman" w:hAnsi="Times New Roman" w:eastAsia="方正仿宋_GBK" w:cs="方正仿宋_GBK"/>
                <w:color w:val="auto"/>
                <w:sz w:val="22"/>
                <w:szCs w:val="28"/>
                <w:lang w:val="en-US" w:eastAsia="zh-CN"/>
              </w:rPr>
              <w:t>75</w:t>
            </w:r>
            <w:r>
              <w:rPr>
                <w:rFonts w:hint="eastAsia" w:ascii="Times New Roman" w:hAnsi="Times New Roman" w:eastAsia="方正仿宋_GBK" w:cs="方正仿宋_GBK"/>
                <w:color w:val="auto"/>
                <w:sz w:val="22"/>
                <w:szCs w:val="28"/>
              </w:rPr>
              <w:t>%</w:t>
            </w:r>
          </w:p>
        </w:tc>
        <w:tc>
          <w:tcPr>
            <w:tcW w:w="21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sz w:val="22"/>
                <w:szCs w:val="28"/>
                <w:lang w:val="en-US" w:eastAsia="zh-CN"/>
              </w:rPr>
            </w:pPr>
            <w:r>
              <w:rPr>
                <w:rFonts w:hint="eastAsia" w:ascii="Times New Roman" w:hAnsi="Times New Roman" w:eastAsia="方正仿宋_GBK" w:cs="方正仿宋_GBK"/>
                <w:color w:val="auto"/>
                <w:sz w:val="22"/>
                <w:szCs w:val="28"/>
                <w:lang w:val="en-US" w:eastAsia="zh-CN"/>
              </w:rPr>
              <w:t>20</w:t>
            </w:r>
          </w:p>
        </w:tc>
      </w:tr>
    </w:tbl>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6"/>
          <w:szCs w:val="36"/>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资金到位率：该项目财政资金及时到位。2021年12月，根据自治区财政厅、自治区医保局《关于提前下达2022年自治区财政城乡居民基本医疗保险补助资金预算的通知》（新财社（2021）261号），下拨了城乡居民医保补助资金省级补助资金61804万元；2021年12月，根据自治区财政厅、自治区医保局《关于提前下达2022年居民医保中央财政补助资金预算的通知》（新财社（2021）267号），下拨了城乡居民医保补助资金中央补助资金170997万元；2022年7月，根据自治区财政厅、自治区医保局《关于拨付2022年中央城乡居民基本医疗保险补助资金（第二批）预算的通知》（财社（2022）98号），下拨了城乡居民医保补助资金中央补助资金24173万元，2022年12月，根据自治区财政厅、自治区医保局《关于拨付自治区财政2021年度城乡居民基本医疗保险结算补助资金的通知》（新财社（2022）217号）抵减城乡居民医保补助资金省级补助资金352万元，用于结算2021年补助资金。2022年12月，根据自治区财政厅、自治区医保局《关于拨付2022年中央城乡居民基本医疗保险补助资金（第三批）预算的通知》（新财社（2022）218号）抵减城乡居民医保补助资金中央补助资金717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2022年共安排下达资金255905万元，最终确定项目资金总数为255905万元。根据评分标准，该指标不扣分，得5分。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预算执行率：预算编制较为详细，财政按月拨付基金专户补助资金，2月到位46600万元、3月到位23000万元。4月到位30000万元、5月到位38000万元、6月到位56201万元、7月到位39000万元、10月到位24173万元、12月中央调减717万元、自治区调减352万元。实际到位资金255905万元，支出255905万元，预算执行率100%，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资金使用合规性：2022年喀什地区医疗保障局城乡居民基本医疗保险项目设涉及面广，受惠群众多，是党中央、国务院高度重视的德政工程、民心工程，是实现中央脱贫攻坚“两不愁、三保障”总体目标中的重点工作。按项目绩效目标申报设定的参保对象满意度指标，服务对象满意度达到90%，指标完成。受助人群对党和政府的感激之情溢于言表，受助人群满意度高。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管理制度健全性：城乡居民基本医疗保险补助资金项目医保基金按规定对基金分别建账、分账核算，基金收入户、支出户和财政专户按规定开设账户，严格实行收支两条线管理，全面实行全程电子化，杜绝隐匿、转移、侵占、挪用基金的现象，确保基金专款专用，切实抓好打击欺诈骗保专项治理。贯彻执行《医疗保障基金使用监督管理条例》，加大打击欺诈骗保专项整治力度，联合公安、卫生健康部门开展联合监督检查，处理违规医药机构692家，处理违规医药机构661家，其中：行政罚款32家、移送纪委监委26家，媒体通报案例192例。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制度执行有效性：城乡居民基本医疗保险补助资金项目到位资金已全部支付；由部门提出经费预算支出可行性方案，经过与分管领导沟通后，报党支部会议研究执行（《喀什地区医疗保障局党组会议纪要（喀地医保党组记【2023】1号）》），财务与业务按月对账，按规定与基金开户银行、财政部门和上下级经办机构等核对基金的收付情况;严格执行基金支付政策，按月编制基金支付计划，按月足额发放待遇，做到不拖欠、不挪用、不挤占医保基金，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608"/>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项</w:t>
      </w:r>
      <w:r>
        <w:rPr>
          <w:rStyle w:val="18"/>
          <w:rFonts w:hint="eastAsia" w:ascii="仿宋" w:hAnsi="仿宋" w:eastAsia="仿宋" w:cs="仿宋"/>
          <w:b w:val="0"/>
          <w:bCs w:val="0"/>
          <w:spacing w:val="-4"/>
          <w:sz w:val="32"/>
          <w:szCs w:val="32"/>
        </w:rPr>
        <w:t>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项目产出指标得分情况</w:t>
      </w:r>
    </w:p>
    <w:p>
      <w:pPr>
        <w:pStyle w:val="2"/>
        <w:rPr>
          <w:rFonts w:hint="eastAsia"/>
        </w:rPr>
      </w:pPr>
    </w:p>
    <w:tbl>
      <w:tblPr>
        <w:tblStyle w:val="16"/>
        <w:tblW w:w="0" w:type="auto"/>
        <w:tblInd w:w="0" w:type="dxa"/>
        <w:tblLayout w:type="fixed"/>
        <w:tblCellMar>
          <w:top w:w="0" w:type="dxa"/>
          <w:left w:w="108" w:type="dxa"/>
          <w:bottom w:w="0" w:type="dxa"/>
          <w:right w:w="108" w:type="dxa"/>
        </w:tblCellMar>
      </w:tblPr>
      <w:tblGrid>
        <w:gridCol w:w="3024"/>
        <w:gridCol w:w="1682"/>
        <w:gridCol w:w="2131"/>
        <w:gridCol w:w="1682"/>
      </w:tblGrid>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三级指标</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权重</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得分率</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实际得分</w:t>
            </w:r>
          </w:p>
        </w:tc>
      </w:tr>
      <w:tr>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产出数量</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lang w:val="en-US" w:eastAsia="zh-CN"/>
              </w:rPr>
              <w:t>40</w:t>
            </w:r>
            <w:r>
              <w:rPr>
                <w:rFonts w:hint="eastAsia" w:ascii="Times New Roman" w:hAnsi="Times New Roman" w:eastAsia="方正仿宋_GBK" w:cs="方正仿宋_GBK"/>
                <w:color w:val="auto"/>
                <w:sz w:val="24"/>
                <w:szCs w:val="32"/>
              </w:rPr>
              <w:t>%</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sz w:val="24"/>
                <w:szCs w:val="32"/>
                <w:lang w:val="en-US" w:eastAsia="zh-CN"/>
              </w:rPr>
            </w:pPr>
            <w:r>
              <w:rPr>
                <w:rFonts w:hint="eastAsia" w:ascii="Times New Roman" w:hAnsi="Times New Roman" w:eastAsia="方正仿宋_GBK" w:cs="方正仿宋_GBK"/>
                <w:color w:val="auto"/>
                <w:sz w:val="24"/>
                <w:szCs w:val="32"/>
                <w:lang w:val="en-US" w:eastAsia="zh-CN"/>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产出质量</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100%</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产出时效</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lang w:val="en-US" w:eastAsia="zh-CN"/>
              </w:rPr>
              <w:t>5</w:t>
            </w:r>
            <w:r>
              <w:rPr>
                <w:rFonts w:hint="eastAsia" w:ascii="Times New Roman" w:hAnsi="Times New Roman" w:eastAsia="方正仿宋_GBK" w:cs="方正仿宋_GBK"/>
                <w:color w:val="auto"/>
                <w:sz w:val="24"/>
                <w:szCs w:val="32"/>
              </w:rPr>
              <w:t>0%</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sz w:val="24"/>
                <w:szCs w:val="32"/>
                <w:lang w:val="en-US"/>
              </w:rPr>
            </w:pPr>
            <w:r>
              <w:rPr>
                <w:rFonts w:hint="eastAsia" w:ascii="Times New Roman" w:hAnsi="Times New Roman" w:eastAsia="方正仿宋_GBK" w:cs="方正仿宋_GBK"/>
                <w:color w:val="auto"/>
                <w:sz w:val="24"/>
                <w:szCs w:val="32"/>
                <w:lang w:val="en-US" w:eastAsia="zh-CN"/>
              </w:rPr>
              <w:t>10</w:t>
            </w:r>
          </w:p>
        </w:tc>
      </w:tr>
      <w:tr>
        <w:tblPrEx>
          <w:tblCellMar>
            <w:top w:w="0" w:type="dxa"/>
            <w:left w:w="108" w:type="dxa"/>
            <w:bottom w:w="0" w:type="dxa"/>
            <w:right w:w="108" w:type="dxa"/>
          </w:tblCellMar>
        </w:tblPrEx>
        <w:trPr>
          <w:trHeight w:val="90"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lang w:val="en-US" w:eastAsia="zh-CN"/>
              </w:rPr>
              <w:t>产出</w:t>
            </w:r>
            <w:r>
              <w:rPr>
                <w:rFonts w:hint="eastAsia" w:ascii="Times New Roman" w:hAnsi="Times New Roman" w:eastAsia="方正仿宋_GBK" w:cs="方正仿宋_GBK"/>
                <w:color w:val="auto"/>
                <w:sz w:val="24"/>
                <w:szCs w:val="32"/>
              </w:rPr>
              <w:t>成本</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100%</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sz w:val="24"/>
                <w:szCs w:val="32"/>
                <w:lang w:val="en-US" w:eastAsia="zh-CN"/>
              </w:rPr>
            </w:pPr>
            <w:r>
              <w:rPr>
                <w:rFonts w:hint="eastAsia" w:ascii="Times New Roman" w:hAnsi="Times New Roman" w:eastAsia="方正仿宋_GBK" w:cs="方正仿宋_GBK"/>
                <w:color w:val="auto"/>
                <w:sz w:val="24"/>
                <w:szCs w:val="32"/>
                <w:lang w:val="en-US" w:eastAsia="zh-CN"/>
              </w:rPr>
              <w:t>10</w:t>
            </w:r>
          </w:p>
        </w:tc>
      </w:tr>
      <w:tr>
        <w:tblPrEx>
          <w:tblCellMar>
            <w:top w:w="0" w:type="dxa"/>
            <w:left w:w="108" w:type="dxa"/>
            <w:bottom w:w="0" w:type="dxa"/>
            <w:right w:w="108" w:type="dxa"/>
          </w:tblCellMar>
        </w:tblPrEx>
        <w:trPr>
          <w:trHeight w:val="283" w:hRule="atLeast"/>
        </w:trPr>
        <w:tc>
          <w:tcPr>
            <w:tcW w:w="3024"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合计</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rPr>
              <w:t>40</w:t>
            </w:r>
          </w:p>
        </w:tc>
        <w:tc>
          <w:tcPr>
            <w:tcW w:w="2131"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sz w:val="24"/>
                <w:szCs w:val="32"/>
              </w:rPr>
            </w:pPr>
            <w:r>
              <w:rPr>
                <w:rFonts w:hint="eastAsia" w:ascii="Times New Roman" w:hAnsi="Times New Roman" w:eastAsia="方正仿宋_GBK" w:cs="方正仿宋_GBK"/>
                <w:color w:val="auto"/>
                <w:sz w:val="24"/>
                <w:szCs w:val="32"/>
                <w:lang w:val="en-US" w:eastAsia="zh-CN"/>
              </w:rPr>
              <w:t>47.5</w:t>
            </w:r>
            <w:r>
              <w:rPr>
                <w:rFonts w:hint="eastAsia" w:ascii="Times New Roman" w:hAnsi="Times New Roman" w:eastAsia="方正仿宋_GBK" w:cs="方正仿宋_GBK"/>
                <w:color w:val="auto"/>
                <w:sz w:val="24"/>
                <w:szCs w:val="32"/>
              </w:rPr>
              <w:t>%</w:t>
            </w:r>
          </w:p>
        </w:tc>
        <w:tc>
          <w:tcPr>
            <w:tcW w:w="1682" w:type="dxa"/>
            <w:tcBorders>
              <w:top w:val="single" w:color="000000" w:sz="4" w:space="0"/>
              <w:left w:val="single" w:color="000000" w:sz="4" w:space="0"/>
              <w:bottom w:val="single" w:color="000000" w:sz="4" w:space="0"/>
              <w:right w:val="single" w:color="000000" w:sz="4" w:space="0"/>
            </w:tcBorders>
            <w:noWrap/>
            <w:vAlign w:val="bottom"/>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sz w:val="24"/>
                <w:szCs w:val="32"/>
                <w:lang w:val="en-US"/>
              </w:rPr>
            </w:pPr>
            <w:r>
              <w:rPr>
                <w:rFonts w:hint="eastAsia" w:ascii="Times New Roman" w:hAnsi="Times New Roman" w:eastAsia="方正仿宋_GBK" w:cs="方正仿宋_GBK"/>
                <w:color w:val="auto"/>
                <w:sz w:val="24"/>
                <w:szCs w:val="32"/>
                <w:lang w:val="en-US" w:eastAsia="zh-CN"/>
              </w:rPr>
              <w:t>40</w:t>
            </w:r>
          </w:p>
        </w:tc>
      </w:tr>
    </w:tbl>
    <w:p>
      <w:pPr>
        <w:spacing w:line="540" w:lineRule="exact"/>
        <w:ind w:firstLine="608"/>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6"/>
          <w:szCs w:val="36"/>
        </w:rPr>
        <w:br w:type="textWrapping"/>
      </w:r>
      <w:r>
        <w:rPr>
          <w:rStyle w:val="18"/>
          <w:rFonts w:hint="eastAsia" w:ascii="仿宋" w:hAnsi="仿宋" w:eastAsia="仿宋" w:cs="仿宋"/>
          <w:b w:val="0"/>
          <w:bCs w:val="0"/>
          <w:spacing w:val="-4"/>
          <w:sz w:val="32"/>
          <w:szCs w:val="32"/>
        </w:rPr>
        <w:t>1. 产出指标完成情况分析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参保人数（人）目标，预期指标值为≥407万人，实际完成值409万人，指标完成率为100.49%，存在合理偏差，根据评分标准，该指标不扣分，得5分。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基金滚存结余可支配月数（月）目标，预期指标值&lt;=9个月，实际完成值为9个月，指标完成率为100%，与预期目标一致，根据评分标准，该指标不扣分，得5分。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以户籍人口为基础计算的基本医保综合参保率预期指标值&gt;=95%，实际完成97%，指标完成率102%，存在合理偏差，根据评分标准，该指标不扣分，得2.5分；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以常住人口为基础计算的基本医保综合参保率预期指标值&gt;=95%，实际完成值99%，指标完成率104%，存在合理偏差，根据评分标准，该指标不扣分，得2.5分；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参</w:t>
      </w:r>
      <w:r>
        <w:rPr>
          <w:rStyle w:val="18"/>
          <w:rFonts w:hint="eastAsia" w:ascii="仿宋" w:hAnsi="仿宋" w:eastAsia="仿宋" w:cs="仿宋"/>
          <w:b w:val="0"/>
          <w:bCs w:val="0"/>
          <w:spacing w:val="-4"/>
          <w:sz w:val="32"/>
          <w:szCs w:val="32"/>
        </w:rPr>
        <w:t xml:space="preserve">保人政策范围内住院费用报销比例预期指标值&gt;=70%，实际完成值83%，指标完成率118.57%，存在合理偏差，根据评分标准，该指标不扣分，得2.5分；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参保人住院费用实际报销比例预期指标值&gt;=70%，实际完成值78%，指标完成率111.43%，存在合理偏差，根据评分标准，该指标不扣分，得2.5分。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当年各级财政补助资金到位率(%)预期指标值为100%，实际完成值100%，指标完成率100%，与预期目标一致，根据评分标准，该指标不扣分，得10分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lang w:val="en-US" w:eastAsia="zh-CN"/>
        </w:rPr>
        <w:t>4</w:t>
      </w:r>
      <w:r>
        <w:rPr>
          <w:rStyle w:val="18"/>
          <w:rFonts w:hint="eastAsia" w:ascii="仿宋" w:hAnsi="仿宋" w:eastAsia="仿宋" w:cs="仿宋"/>
          <w:b w:val="0"/>
          <w:bCs w:val="0"/>
          <w:spacing w:val="-4"/>
          <w:sz w:val="32"/>
          <w:szCs w:val="32"/>
        </w:rPr>
        <w:t>）产出成本-成本节约率：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中央财政补助标准预期指标值&lt;=488元/人/年，实际完成值488元/人/年，指标完成率100%，与预期目标一致，根据评分标准，该指标不扣分，得5分；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自治区财政补助标准预期指标值&lt;=152元/人/年，实际指标值152元/人/年，指标完成率100%，与预期目标一致，根据评分标准，该指标不扣分，得5分。</w:t>
      </w:r>
      <w:r>
        <w:rPr>
          <w:rStyle w:val="18"/>
          <w:rFonts w:hint="eastAsia" w:ascii="仿宋" w:hAnsi="仿宋" w:eastAsia="仿宋" w:cs="仿宋"/>
          <w:b w:val="0"/>
          <w:bCs w:val="0"/>
          <w:spacing w:val="-4"/>
          <w:sz w:val="32"/>
          <w:szCs w:val="32"/>
        </w:rPr>
        <w:cr/>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项目效益类指标包括项目效益1个方面的内容，由2个三级指标构成，权重分为20分，实际得分20分，得分率为100%。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项目绩效指标得分情况</w:t>
      </w:r>
    </w:p>
    <w:p>
      <w:pPr>
        <w:pStyle w:val="2"/>
        <w:rPr>
          <w:rFonts w:hint="eastAsia"/>
        </w:rPr>
      </w:pPr>
    </w:p>
    <w:tbl>
      <w:tblPr>
        <w:tblStyle w:val="16"/>
        <w:tblW w:w="0" w:type="auto"/>
        <w:tblInd w:w="0" w:type="dxa"/>
        <w:tblLayout w:type="fixed"/>
        <w:tblCellMar>
          <w:top w:w="0" w:type="dxa"/>
          <w:left w:w="0" w:type="dxa"/>
          <w:bottom w:w="0" w:type="dxa"/>
          <w:right w:w="0" w:type="dxa"/>
        </w:tblCellMar>
      </w:tblPr>
      <w:tblGrid>
        <w:gridCol w:w="2417"/>
        <w:gridCol w:w="1761"/>
        <w:gridCol w:w="1784"/>
        <w:gridCol w:w="2365"/>
      </w:tblGrid>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三级指标</w:t>
            </w:r>
          </w:p>
        </w:tc>
        <w:tc>
          <w:tcPr>
            <w:tcW w:w="176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权重</w:t>
            </w:r>
          </w:p>
        </w:tc>
        <w:tc>
          <w:tcPr>
            <w:tcW w:w="17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得分率</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实际得分</w:t>
            </w:r>
          </w:p>
        </w:tc>
      </w:tr>
      <w:tr>
        <w:tblPrEx>
          <w:tblCellMar>
            <w:top w:w="0" w:type="dxa"/>
            <w:left w:w="0" w:type="dxa"/>
            <w:bottom w:w="0" w:type="dxa"/>
            <w:right w:w="0" w:type="dxa"/>
          </w:tblCellMar>
        </w:tblPrEx>
        <w:trPr>
          <w:trHeight w:val="400" w:hRule="atLeast"/>
        </w:trPr>
        <w:tc>
          <w:tcPr>
            <w:tcW w:w="2417"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实施效益</w:t>
            </w:r>
          </w:p>
        </w:tc>
        <w:tc>
          <w:tcPr>
            <w:tcW w:w="176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w:t>
            </w:r>
          </w:p>
        </w:tc>
        <w:tc>
          <w:tcPr>
            <w:tcW w:w="1784"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100%</w:t>
            </w:r>
          </w:p>
        </w:tc>
        <w:tc>
          <w:tcPr>
            <w:tcW w:w="2365"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w:t>
            </w:r>
          </w:p>
        </w:tc>
      </w:tr>
      <w:tr>
        <w:tblPrEx>
          <w:tblCellMar>
            <w:top w:w="0" w:type="dxa"/>
            <w:left w:w="0" w:type="dxa"/>
            <w:bottom w:w="0" w:type="dxa"/>
            <w:right w:w="0" w:type="dxa"/>
          </w:tblCellMar>
        </w:tblPrEx>
        <w:trPr>
          <w:trHeight w:val="312" w:hRule="atLeast"/>
        </w:trPr>
        <w:tc>
          <w:tcPr>
            <w:tcW w:w="2417"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rPr>
                <w:rFonts w:hint="eastAsia" w:ascii="Times New Roman" w:hAnsi="Times New Roman" w:eastAsia="方正仿宋_GBK" w:cs="方正仿宋_GBK"/>
                <w:sz w:val="24"/>
                <w:szCs w:val="32"/>
              </w:rPr>
            </w:pPr>
          </w:p>
        </w:tc>
        <w:tc>
          <w:tcPr>
            <w:tcW w:w="176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rPr>
                <w:rFonts w:hint="eastAsia" w:ascii="Times New Roman" w:hAnsi="Times New Roman" w:eastAsia="方正仿宋_GBK" w:cs="方正仿宋_GBK"/>
                <w:sz w:val="24"/>
                <w:szCs w:val="32"/>
              </w:rPr>
            </w:pPr>
          </w:p>
        </w:tc>
        <w:tc>
          <w:tcPr>
            <w:tcW w:w="1784"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rPr>
                <w:rFonts w:hint="eastAsia" w:ascii="Times New Roman" w:hAnsi="Times New Roman" w:eastAsia="方正仿宋_GBK" w:cs="方正仿宋_GBK"/>
                <w:sz w:val="24"/>
                <w:szCs w:val="32"/>
              </w:rPr>
            </w:pPr>
          </w:p>
        </w:tc>
        <w:tc>
          <w:tcPr>
            <w:tcW w:w="2365"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rPr>
                <w:rFonts w:hint="eastAsia" w:ascii="Times New Roman" w:hAnsi="Times New Roman" w:eastAsia="方正仿宋_GBK" w:cs="方正仿宋_GBK"/>
                <w:sz w:val="24"/>
                <w:szCs w:val="32"/>
              </w:rPr>
            </w:pPr>
          </w:p>
        </w:tc>
      </w:tr>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满意度</w:t>
            </w:r>
          </w:p>
        </w:tc>
        <w:tc>
          <w:tcPr>
            <w:tcW w:w="176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w:t>
            </w:r>
          </w:p>
        </w:tc>
        <w:tc>
          <w:tcPr>
            <w:tcW w:w="17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100%</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w:t>
            </w:r>
          </w:p>
        </w:tc>
      </w:tr>
      <w:tr>
        <w:tblPrEx>
          <w:tblCellMar>
            <w:top w:w="0" w:type="dxa"/>
            <w:left w:w="0" w:type="dxa"/>
            <w:bottom w:w="0" w:type="dxa"/>
            <w:right w:w="0" w:type="dxa"/>
          </w:tblCellMar>
        </w:tblPrEx>
        <w:trPr>
          <w:trHeight w:val="20" w:hRule="atLeast"/>
        </w:trPr>
        <w:tc>
          <w:tcPr>
            <w:tcW w:w="24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合计</w:t>
            </w:r>
          </w:p>
        </w:tc>
        <w:tc>
          <w:tcPr>
            <w:tcW w:w="176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20</w:t>
            </w:r>
          </w:p>
        </w:tc>
        <w:tc>
          <w:tcPr>
            <w:tcW w:w="17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100%</w:t>
            </w:r>
          </w:p>
        </w:tc>
        <w:tc>
          <w:tcPr>
            <w:tcW w:w="236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560"/>
              <w:jc w:val="center"/>
              <w:rPr>
                <w:rFonts w:hint="eastAsia" w:ascii="Times New Roman" w:hAnsi="Times New Roman" w:eastAsia="方正仿宋_GBK" w:cs="方正仿宋_GBK"/>
                <w:sz w:val="24"/>
                <w:szCs w:val="32"/>
              </w:rPr>
            </w:pPr>
            <w:r>
              <w:rPr>
                <w:rFonts w:hint="eastAsia" w:ascii="Times New Roman" w:hAnsi="Times New Roman" w:eastAsia="方正仿宋_GBK" w:cs="方正仿宋_GBK"/>
                <w:sz w:val="24"/>
                <w:szCs w:val="32"/>
              </w:rPr>
              <w:t>20</w:t>
            </w:r>
          </w:p>
        </w:tc>
      </w:tr>
    </w:tbl>
    <w:p>
      <w:pPr>
        <w:spacing w:line="540" w:lineRule="exact"/>
        <w:ind w:firstLine="567"/>
        <w:rPr>
          <w:rStyle w:val="18"/>
          <w:rFonts w:ascii="仿宋" w:hAnsi="仿宋" w:eastAsia="仿宋" w:cs="仿宋"/>
          <w:b w:val="0"/>
          <w:bCs w:val="0"/>
          <w:spacing w:val="-4"/>
          <w:sz w:val="32"/>
          <w:szCs w:val="32"/>
        </w:rPr>
      </w:pP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（1）效益指标完成情况分析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社会效益指标：减轻参保人员就医经济负担，有效缓解社会矛盾，指标完成率100%。根据评分标准，该指标不扣分，得10分。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（2）满意度指标完成情况分析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参保对象满意度目标，预期指标值≥95%，实际完成值95%，指标完成率100%。存在合理偏差，根据评分标准，该指标不扣分，得10分。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本项目预算256974万元，到位255905万元，实际支出255905万元，预算执行率为99.6%，项目绩效指标总体完成率为103.3%，偏差率3.7%。</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偏差原因：2022年12月，根据自治区财政厅、自治区医保局《关于拨付自治区财政2021年度城乡居民基本医疗保险结算补助资金的通知》（新财社（2022）217号）清算城乡居民医保补助资金省级补助资金352万元，用于结算2021年补助资金。2022年12月，根据自治区财政厅、自治区医保局《关于拨付2022年中央城乡居民基本医疗保险补助资金（第三批）预算的通知》（新财社（2022）218号）抵减城乡居民医保补助资金中央补助资金717万元。2022年共安排下达资金255905万元，最终确定项目资金总数为255905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改进措施：提高参保人数统计的精准率，加强省内重复参保人数、跨省重复参保人数核实工作。</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一</w:t>
      </w:r>
      <w:r>
        <w:rPr>
          <w:rStyle w:val="18"/>
          <w:rFonts w:hint="eastAsia" w:ascii="仿宋" w:hAnsi="仿宋" w:eastAsia="仿宋" w:cs="仿宋"/>
          <w:b w:val="0"/>
          <w:bCs w:val="0"/>
          <w:spacing w:val="-4"/>
          <w:sz w:val="32"/>
          <w:szCs w:val="32"/>
        </w:rPr>
        <w:t>是2022年及时调整医保政策，切实减轻参保人员经济负担，《关于调整喀什地区职工、城乡居民医疗保险政策的通知》（喀署办规〔2022〕1号）对城乡居民有限额慢性病报销比例、“两病”中高血压年度最高支付限额、城乡居民基本医保合规限额等政策进行了调整，待遇支出同比增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二是切实抓好打击欺诈骗保专项治理。贯彻执行《医疗保障基金使用监督管理条例》，加大打击欺诈骗保专项整治力度，联合公安、卫生健康部门开展联合监督检查，处理违规医药机构692家，处理违规医药机构661家，其中：行政罚款32家、移送纪委监委26家，媒体通报案例192例。喀什地区医保基金监管工作连续3年综合排名居全疆第一。</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三是困难群体缴费补贴全覆盖、贫困人员参保全覆盖。2021年9月印发《关于做好2022年城乡居民基本医疗保险集中参保缴费工作的通知》（喀地医保发[2021]44号），通知规定2022年度喀什地区城乡居民个人缴费标准为360元/人/年；特困人员、孤儿享受全额补贴；城乡低保对象、脱贫不稳定户、边缘易致贫户、突发严重困难户享受240元/人/年定额补贴；纳入防贫监测的脱贫人口享受200元/人/年定额补贴。切实减轻贫困人口、困难群体缴费负担，确保稳定连续参保，实现应保尽保。</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四是完善大病保险和医疗救助政策，引入重特大疾病门诊救助、对因患大病的困难群体二次救助政策。大病保险不设年度内报销封顶线，起付线标准以上的部分，普通居民按70%支付，特困、孤儿、低保对象、边缘易致贫户、突发困难户等困难群体经居民医保报销后，政策范围内个人自付费用在3350员已上的提高5%比例支付，报销比例要高于自治区60%的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五</w:t>
      </w:r>
      <w:r>
        <w:rPr>
          <w:rStyle w:val="18"/>
          <w:rFonts w:hint="eastAsia" w:ascii="仿宋" w:hAnsi="仿宋" w:eastAsia="仿宋" w:cs="仿宋"/>
          <w:b w:val="0"/>
          <w:bCs w:val="0"/>
          <w:spacing w:val="-4"/>
          <w:sz w:val="32"/>
          <w:szCs w:val="32"/>
        </w:rPr>
        <w:t>是医疗保障经办机构把内控制度体系建设作为根本，实现经办和管理工作规范、有效运行，保障基金安全。健全综合内控制度。从组织机构、业务运行、基金财务、信息系统、内部控制等方面，制定内控制度、业务流程、岗位职责等。五六是建立考核考评制度。及时调整完善内控考核办法，按规定设置岗位，加强管理，严格遵守不相容职务相互分离的原则，无违反业务规程、信息系统操作流程规定以及岗位职责、审批权限，办理医疗保险业务、修改医疗保险信息的现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1、加强医保基金监管改革。 提高监管质量，形成监管队伍强大震慑；加强对协议医疗机构管理，降低住院费用，确保基金合理使用，安全可控，切实减轻群众的医疗费用负担。</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2、调整医疗保障政策。强力推行DRG\DIP支付方式改革，进一步完善城乡居民医疗保险门诊医疗保障政策，确保参保居民得实惠。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0230E"/>
    <w:multiLevelType w:val="singleLevel"/>
    <w:tmpl w:val="2370230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701183D"/>
    <w:rsid w:val="1DD56BAF"/>
    <w:rsid w:val="2AE11386"/>
    <w:rsid w:val="2D4C6AD2"/>
    <w:rsid w:val="2D5A6638"/>
    <w:rsid w:val="340D5924"/>
    <w:rsid w:val="43B04001"/>
    <w:rsid w:val="4609551D"/>
    <w:rsid w:val="4D2606A1"/>
    <w:rsid w:val="4DD42C22"/>
    <w:rsid w:val="503863D1"/>
    <w:rsid w:val="50796DE0"/>
    <w:rsid w:val="5DA70C36"/>
    <w:rsid w:val="685179D9"/>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paragraph" w:customStyle="1" w:styleId="20">
    <w:name w:val="Char"/>
    <w:basedOn w:val="1"/>
    <w:qFormat/>
    <w:uiPriority w:val="99"/>
    <w:pPr>
      <w:widowControl/>
      <w:spacing w:after="160" w:line="240" w:lineRule="exact"/>
      <w:jc w:val="left"/>
    </w:p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5"/>
    <w:qFormat/>
    <w:uiPriority w:val="10"/>
    <w:rPr>
      <w:rFonts w:asciiTheme="majorHAnsi" w:hAnsiTheme="majorHAnsi" w:eastAsiaTheme="majorEastAsia"/>
      <w:b/>
      <w:bCs/>
      <w:kern w:val="28"/>
      <w:sz w:val="32"/>
      <w:szCs w:val="32"/>
    </w:rPr>
  </w:style>
  <w:style w:type="character" w:customStyle="1" w:styleId="31">
    <w:name w:val="副标题 字符"/>
    <w:basedOn w:val="17"/>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3"/>
    <w:qFormat/>
    <w:uiPriority w:val="99"/>
    <w:rPr>
      <w:rFonts w:ascii="Calibri" w:hAnsi="Calibri" w:eastAsia="宋体"/>
      <w:kern w:val="2"/>
      <w:sz w:val="18"/>
      <w:szCs w:val="18"/>
    </w:rPr>
  </w:style>
  <w:style w:type="character" w:customStyle="1" w:styleId="45">
    <w:name w:val="页脚 字符"/>
    <w:basedOn w:val="17"/>
    <w:link w:val="12"/>
    <w:qFormat/>
    <w:uiPriority w:val="99"/>
    <w:rPr>
      <w:rFonts w:ascii="Calibri" w:hAnsi="Calibri" w:eastAsia="宋体"/>
      <w:kern w:val="2"/>
      <w:sz w:val="18"/>
      <w:szCs w:val="18"/>
    </w:rPr>
  </w:style>
  <w:style w:type="character" w:customStyle="1" w:styleId="46">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袁芳</cp:lastModifiedBy>
  <cp:lastPrinted>2018-12-31T10:56:00Z</cp:lastPrinted>
  <dcterms:modified xsi:type="dcterms:W3CDTF">2023-08-22T02:55:11Z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8AEF921F6BF4468E93BEB67ED75F576F_12</vt:lpwstr>
  </property>
</Properties>
</file>