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52765" w14:textId="77777777" w:rsidR="00E7612A" w:rsidRDefault="00E7612A">
      <w:pPr>
        <w:spacing w:line="570" w:lineRule="exact"/>
        <w:jc w:val="center"/>
        <w:rPr>
          <w:rFonts w:ascii="华文中宋" w:eastAsia="华文中宋" w:hAnsi="华文中宋" w:cs="宋体"/>
          <w:b/>
          <w:kern w:val="0"/>
          <w:sz w:val="52"/>
          <w:szCs w:val="52"/>
        </w:rPr>
      </w:pPr>
    </w:p>
    <w:p w14:paraId="2E450B95" w14:textId="77777777" w:rsidR="00E7612A" w:rsidRDefault="00E7612A">
      <w:pPr>
        <w:spacing w:line="570" w:lineRule="exact"/>
        <w:jc w:val="center"/>
        <w:rPr>
          <w:rFonts w:ascii="华文中宋" w:eastAsia="华文中宋" w:hAnsi="华文中宋" w:cs="宋体"/>
          <w:b/>
          <w:kern w:val="0"/>
          <w:sz w:val="52"/>
          <w:szCs w:val="52"/>
        </w:rPr>
      </w:pPr>
    </w:p>
    <w:p w14:paraId="29DA2E51" w14:textId="77777777" w:rsidR="00E7612A" w:rsidRDefault="00E7612A">
      <w:pPr>
        <w:spacing w:line="570" w:lineRule="exact"/>
        <w:jc w:val="center"/>
        <w:rPr>
          <w:rFonts w:ascii="华文中宋" w:eastAsia="华文中宋" w:hAnsi="华文中宋" w:cs="宋体"/>
          <w:b/>
          <w:kern w:val="0"/>
          <w:sz w:val="52"/>
          <w:szCs w:val="52"/>
        </w:rPr>
      </w:pPr>
    </w:p>
    <w:p w14:paraId="322FB570" w14:textId="77777777" w:rsidR="00E7612A" w:rsidRDefault="00E7612A">
      <w:pPr>
        <w:spacing w:line="570" w:lineRule="exact"/>
        <w:jc w:val="center"/>
        <w:rPr>
          <w:rFonts w:ascii="华文中宋" w:eastAsia="华文中宋" w:hAnsi="华文中宋" w:cs="宋体"/>
          <w:b/>
          <w:kern w:val="0"/>
          <w:sz w:val="52"/>
          <w:szCs w:val="52"/>
        </w:rPr>
      </w:pPr>
    </w:p>
    <w:p w14:paraId="6B50659F" w14:textId="77777777" w:rsidR="00E7612A" w:rsidRDefault="00E7612A">
      <w:pPr>
        <w:spacing w:line="570" w:lineRule="exact"/>
        <w:jc w:val="center"/>
        <w:rPr>
          <w:rFonts w:ascii="华文中宋" w:eastAsia="华文中宋" w:hAnsi="华文中宋" w:cs="宋体"/>
          <w:b/>
          <w:kern w:val="0"/>
          <w:sz w:val="52"/>
          <w:szCs w:val="52"/>
        </w:rPr>
      </w:pPr>
    </w:p>
    <w:p w14:paraId="06578019" w14:textId="77777777" w:rsidR="00E7612A" w:rsidRDefault="00E7612A">
      <w:pPr>
        <w:spacing w:line="570" w:lineRule="exact"/>
        <w:jc w:val="center"/>
        <w:rPr>
          <w:rFonts w:ascii="华文中宋" w:eastAsia="华文中宋" w:hAnsi="华文中宋" w:cs="宋体"/>
          <w:b/>
          <w:kern w:val="0"/>
          <w:sz w:val="52"/>
          <w:szCs w:val="52"/>
        </w:rPr>
      </w:pPr>
    </w:p>
    <w:p w14:paraId="65D9F1F5" w14:textId="77777777" w:rsidR="00E7612A" w:rsidRDefault="00E7612A">
      <w:pPr>
        <w:spacing w:line="570" w:lineRule="exact"/>
        <w:jc w:val="center"/>
        <w:rPr>
          <w:rFonts w:ascii="华文中宋" w:eastAsia="华文中宋" w:hAnsi="华文中宋" w:cs="宋体"/>
          <w:b/>
          <w:kern w:val="0"/>
          <w:sz w:val="52"/>
          <w:szCs w:val="52"/>
        </w:rPr>
      </w:pPr>
    </w:p>
    <w:p w14:paraId="75242AA7" w14:textId="669A8BE6" w:rsidR="00E7612A" w:rsidRDefault="008F4CA9">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喀什地区财政</w:t>
      </w:r>
      <w:r w:rsidR="00B77738">
        <w:rPr>
          <w:rFonts w:ascii="方正小标宋_GBK" w:eastAsia="方正小标宋_GBK" w:hAnsi="华文中宋" w:cs="宋体" w:hint="eastAsia"/>
          <w:b/>
          <w:kern w:val="0"/>
          <w:sz w:val="44"/>
          <w:szCs w:val="44"/>
        </w:rPr>
        <w:t>专项</w:t>
      </w:r>
      <w:r>
        <w:rPr>
          <w:rFonts w:ascii="方正小标宋_GBK" w:eastAsia="方正小标宋_GBK" w:hAnsi="华文中宋" w:cs="宋体" w:hint="eastAsia"/>
          <w:b/>
          <w:kern w:val="0"/>
          <w:sz w:val="44"/>
          <w:szCs w:val="44"/>
        </w:rPr>
        <w:t>支出绩效自评报告</w:t>
      </w:r>
    </w:p>
    <w:p w14:paraId="07854308" w14:textId="77777777" w:rsidR="00E7612A" w:rsidRDefault="00E7612A">
      <w:pPr>
        <w:spacing w:line="570" w:lineRule="exact"/>
        <w:jc w:val="center"/>
        <w:rPr>
          <w:rFonts w:ascii="华文中宋" w:eastAsia="华文中宋" w:hAnsi="华文中宋" w:cs="宋体"/>
          <w:b/>
          <w:kern w:val="0"/>
          <w:sz w:val="52"/>
          <w:szCs w:val="52"/>
        </w:rPr>
      </w:pPr>
    </w:p>
    <w:p w14:paraId="1E692ED9" w14:textId="396E8DE4" w:rsidR="00E7612A" w:rsidRDefault="008F4CA9">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4437035D" w14:textId="77777777" w:rsidR="00E7612A" w:rsidRDefault="00E7612A">
      <w:pPr>
        <w:spacing w:line="570" w:lineRule="exact"/>
        <w:jc w:val="center"/>
        <w:rPr>
          <w:rFonts w:eastAsia="仿宋_GB2312" w:hAnsi="宋体" w:cs="宋体"/>
          <w:kern w:val="0"/>
          <w:sz w:val="30"/>
          <w:szCs w:val="30"/>
        </w:rPr>
      </w:pPr>
    </w:p>
    <w:p w14:paraId="0D88DA09" w14:textId="77777777" w:rsidR="00E7612A" w:rsidRDefault="00E7612A">
      <w:pPr>
        <w:spacing w:line="570" w:lineRule="exact"/>
        <w:jc w:val="center"/>
        <w:rPr>
          <w:rFonts w:eastAsia="仿宋_GB2312" w:hAnsi="宋体" w:cs="宋体"/>
          <w:kern w:val="0"/>
          <w:sz w:val="30"/>
          <w:szCs w:val="30"/>
        </w:rPr>
      </w:pPr>
    </w:p>
    <w:p w14:paraId="5621372D" w14:textId="77777777" w:rsidR="00E7612A" w:rsidRDefault="008F4CA9">
      <w:pPr>
        <w:spacing w:line="57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 </w:t>
      </w:r>
    </w:p>
    <w:p w14:paraId="534EA41F" w14:textId="77777777" w:rsidR="00E7612A" w:rsidRDefault="00E7612A">
      <w:pPr>
        <w:spacing w:line="570" w:lineRule="exact"/>
        <w:jc w:val="center"/>
        <w:rPr>
          <w:rFonts w:ascii="方正小标宋_GBK" w:eastAsia="方正小标宋_GBK" w:hAnsi="宋体" w:cs="宋体"/>
          <w:kern w:val="0"/>
          <w:sz w:val="36"/>
          <w:szCs w:val="36"/>
        </w:rPr>
      </w:pPr>
    </w:p>
    <w:p w14:paraId="0AFB0CE3" w14:textId="0DA3C3AD" w:rsidR="00E7612A" w:rsidRDefault="00E7612A">
      <w:pPr>
        <w:spacing w:line="570" w:lineRule="exact"/>
        <w:rPr>
          <w:rFonts w:eastAsia="仿宋_GB2312" w:hAnsi="宋体" w:cs="宋体"/>
          <w:kern w:val="0"/>
          <w:sz w:val="30"/>
          <w:szCs w:val="30"/>
        </w:rPr>
      </w:pPr>
    </w:p>
    <w:p w14:paraId="5E968ACE" w14:textId="77777777" w:rsidR="007C0EA3" w:rsidRDefault="007C0EA3">
      <w:pPr>
        <w:spacing w:line="570" w:lineRule="exact"/>
        <w:rPr>
          <w:rFonts w:eastAsia="仿宋_GB2312" w:hAnsi="宋体" w:cs="宋体"/>
          <w:kern w:val="0"/>
          <w:sz w:val="30"/>
          <w:szCs w:val="30"/>
        </w:rPr>
      </w:pPr>
    </w:p>
    <w:p w14:paraId="5C2A08DA" w14:textId="5D4E6B16" w:rsidR="00E7612A" w:rsidRDefault="008F4CA9">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肿瘤中心建设项目</w:t>
      </w:r>
    </w:p>
    <w:p w14:paraId="53A2695D" w14:textId="551B8E64" w:rsidR="00E7612A" w:rsidRDefault="008F4CA9">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喀什地区第二人民医院</w:t>
      </w:r>
    </w:p>
    <w:p w14:paraId="18B0EA48" w14:textId="05BA31A1" w:rsidR="00E7612A" w:rsidRDefault="008F4CA9" w:rsidP="007A3C1F">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sidR="007A3C1F">
        <w:rPr>
          <w:rStyle w:val="ad"/>
          <w:rFonts w:ascii="仿宋" w:eastAsia="仿宋" w:hAnsi="仿宋" w:cs="仿宋" w:hint="eastAsia"/>
          <w:b w:val="0"/>
          <w:bCs w:val="0"/>
          <w:spacing w:val="-4"/>
          <w:sz w:val="32"/>
          <w:szCs w:val="32"/>
        </w:rPr>
        <w:t>喀什地区卫健委</w:t>
      </w:r>
    </w:p>
    <w:p w14:paraId="711D26DE" w14:textId="0ED18634" w:rsidR="005E259B" w:rsidRDefault="005E259B" w:rsidP="005E259B">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杨广智</w:t>
      </w:r>
    </w:p>
    <w:p w14:paraId="06580AD8" w14:textId="35781503" w:rsidR="00E7612A" w:rsidRDefault="008F4CA9">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2023年01月15日</w:t>
      </w:r>
    </w:p>
    <w:p w14:paraId="7AA4B8F6" w14:textId="77777777" w:rsidR="00E7612A" w:rsidRDefault="00E7612A">
      <w:pPr>
        <w:spacing w:line="570" w:lineRule="exact"/>
        <w:ind w:firstLineChars="200" w:firstLine="627"/>
        <w:rPr>
          <w:rStyle w:val="ad"/>
          <w:rFonts w:ascii="楷体" w:eastAsia="楷体" w:hAnsi="楷体"/>
          <w:spacing w:val="-4"/>
          <w:sz w:val="32"/>
          <w:szCs w:val="32"/>
        </w:rPr>
      </w:pPr>
    </w:p>
    <w:p w14:paraId="11FB36A2" w14:textId="64C82E2B" w:rsidR="00E7612A" w:rsidRDefault="00E7612A">
      <w:pPr>
        <w:spacing w:line="570" w:lineRule="exact"/>
        <w:rPr>
          <w:rFonts w:eastAsia="仿宋_GB2312" w:hAnsi="宋体" w:cs="宋体"/>
          <w:kern w:val="0"/>
          <w:sz w:val="30"/>
          <w:szCs w:val="30"/>
        </w:rPr>
      </w:pPr>
    </w:p>
    <w:p w14:paraId="6D6BACC8" w14:textId="77777777" w:rsidR="00E7612A" w:rsidRDefault="00E7612A">
      <w:pPr>
        <w:spacing w:line="570" w:lineRule="exact"/>
        <w:rPr>
          <w:rStyle w:val="ad"/>
          <w:rFonts w:ascii="黑体" w:eastAsia="黑体" w:hAnsi="黑体"/>
          <w:b w:val="0"/>
          <w:spacing w:val="-4"/>
          <w:sz w:val="32"/>
          <w:szCs w:val="32"/>
        </w:rPr>
      </w:pPr>
    </w:p>
    <w:p w14:paraId="56D05CE1"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1288170E" w14:textId="77777777" w:rsidR="00E7612A" w:rsidRDefault="008F4CA9">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09E93C78" w14:textId="35CBD87F"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提升医院业务保障能力，采购大型设备。目前肿瘤的发病率逐年增高，肿瘤尤其是恶性肿瘤巳经成为危害人民群众键康、影响生活幸福指数的最大杀手。肿瘤病人不但要承受病魔的煎熬和巨大的心理压力，同时还要承受巨额的医疗费用和浩瀚的家庭经济压力，轻易成为社会不稳定因素。</w:t>
        <w:br/>
        <w:t>2. 主要内容及实施情况</w:t>
        <w:br/>
        <w:t>本项目已购置的国产顶尖一体化CT直线加速器uRT-linac506c顺利通过自治区有关专家验收工作。联影一体化CT医用直线加速器uRT-linac506c医用直线加速器正式落户我院，成为全疆首家配置一体化CT医用直线加速器的医院，标志着我院率先在肿瘤精准放疗上迈出了关键性的一步，跨越式实现与国际医疗水平同步接轨。</w:t>
        <w:br/>
        <w:t>该设备的使用将满足广大肿瘤患者的就医需求，缓解医疗资源相对紧张的压力，患者病人排队等待时间，还可以为患者带来个性化、定制化的治疗方案。常规治疗计划可在5分钟内实现从计划优化到计算剂量的呈现，一站式工作流可将常规需要数周才能完成的CT扫描、器官勾画、计划设计与验证、复位以及放疗实施等压缩到最短30分钟内，为患者的治疗安全和质量保驾护航。</w:t>
        <w:br/>
        <w:t>此台全疆首台一体化CT直线加速器的启用，将成为我院肿瘤内科放疗中心人才培养和学科发展的又一平台，同时将进一步增强学科技术实力，为南疆地区各族肿瘤放疗患者提供更为精准、高效和个性化的放射治疗。</w:t>
        <w:br/>
        <w:t>3.项目实施主体</w:t>
        <w:br/>
        <w:t>喀什地区第二人民医院成立于1958年，是一所集医疗、教学、科研、预防保健及管理为一体的三级甲等综合性医院，上海交通大学医学院教学医院、新疆医科大学教学医院、上海健康医学院附属医院、医院承担着喀什地区十二个县市、克州、兵团农三师、塔西南石油基地及喀什铁路系统等近500万人口的医疗服务任务。</w:t>
        <w:br/>
        <w:t>医院下设两个分院（一分院为喀什地区儿童医疗服务体系中心，二分院为临床医学教育综合培训中心），核定床位1200张，下设31个临床科室、9个医技科室、18个行政职能科室。现有职工1420人，临床医师440人，研究生以上学历85人，占临床医师的19%，其中高级职称158人。</w:t>
        <w:br/>
        <w:t>4. 资金投入和使用情况</w:t>
        <w:br/>
        <w:t>沪指文【2020】46号文件，2020年11月23日沪合租办【2020】46号共安排下达资金2080万元，为援疆资金，最终确定2022年项目资金数为1300.99万元。2022年支付1198.72万元，预算执行率92.14%。</w:t>
      </w:r>
    </w:p>
    <w:p w14:paraId="53C18CE7"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4347546E" w14:textId="136FABFB"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根据项目资金特点，确定采购内容。购置一台联影一体化CT医用直线加速器uRT-linac506c医用直线加速器。</w:t>
        <w:br/>
        <w:t>此台全疆首台一体化CT直线加速器的启用，将成为我院肿瘤内科放疗中心人才培养和学科发展的又一平台，同时将进一步增强学科技术实力，为南疆地区各族肿瘤放疗患者提供更为精准、高效和个性化的放射治疗。</w:t>
        <w:br/>
        <w:t>2.	阶段性目标</w:t>
        <w:br/>
        <w:t>一阶段：根据沪指文【2020】46号文件与2020年11月23日沪合租办【2020】46号资金下达文件，确定项目实施部门。</w:t>
        <w:br/>
        <w:t>二阶段：实施阶段，严格按照沪指文【2020】46号文件及2020年11月23日沪合租办【2020】46号制定项目绩效目标。招标采购设备，根据设备面积大小进行场地设计建设，对设备进行安装调试，最后对工作人员进行岗前培训。</w:t>
        <w:br/>
        <w:t>三阶段：验收阶段2022年12月31日前完成直线加速器的试运行，直线加速器运行良好完成验收工作。该项目的实施有效提高了医院的医疗服务水平，给喀什地区放疗患者提供医疗便利。</w:t>
      </w:r>
    </w:p>
    <w:p w14:paraId="227EE9FD"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9E34335"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1E964037" w14:textId="3D5636C6"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052A507B"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435E31A3" w14:textId="616A93ED"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一级指标4个为：决策、过程、产出、效益。</w:t>
        <w:br/>
        <w:t>二级指标10个为：项目立项、绩效目标、资金投入、资金管理、组织实施、产出数量、产出质量、产出时效、产出成本、项目效益。</w:t>
        <w:br/>
        <w:t>三级指标17个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3. 绩效评价方法</w:t>
        <w:br/>
        <w:t>本次评本次绩效评价方法的选用比较法和公众评判法。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0FA3017A"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7B7C4ED4" w14:textId="05E10D88"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我单位绩效评价人员根据《项目支出绩效评价管理办法》（财预〔2020〕10号）文件精神认真学习相关要求与规定，成立绩效评价工作组，作为绩效评价工作具体实施机构。成员构成如下：</w:t>
        <w:br/>
        <w:t>林洋任评价组组长，绩效评价工作职责为负责全盘工作。</w:t>
        <w:br/>
        <w:t>罗丽丽任评价组副组长，绩效评价工作职责为为对项目实施情况进行实地调查。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6AE90CFB"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09A3DDAB" w14:textId="54943E80"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三、综合评价情况及评价结论</w:t>
        <w:br/>
        <w:t>（一）综合评价情况</w:t>
        <w:br/>
        <w:t>经评价组通过比较法和公众评判法方式，主要采用比较法对项目的决策、实施、产出、效益进行综合评价分析，最终评分99.6分。</w:t>
        <w:br/>
        <w:t>肿瘤中心建设项目得分情况表</w:t>
        <w:br/>
        <w:t>一级指标	权重	得分率	实际得分</w:t>
        <w:br/>
        <w:t>项目决策	20	100%	20</w:t>
        <w:br/>
        <w:t>项目过程	20	100%	19.6</w:t>
        <w:br/>
        <w:t>项目产出	40	100%	40</w:t>
        <w:br/>
        <w:t>项目效益	20	100%	20</w:t>
        <w:br/>
        <w:t>合计	     100       99.6%    99.6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运用项目组制定评价指标体系及财政部《项目支出绩效评价管理办法》（财预〔2020〕10号）文件评分标准进行评价，该项目最终评分99.6分，绩效评级为“优”，具体得分情况为：项目决策20分、项目过程19.6分、项目产出40分、项目效益20分。</w:t>
      </w:r>
    </w:p>
    <w:p w14:paraId="6E7B8C8F" w14:textId="77777777" w:rsidR="00E7612A" w:rsidRDefault="008F4CA9">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14CC46EF"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7BC9F166" w14:textId="534B2EF3"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根据沪指文【2020】46号文件与2020年11月23日沪合租办【2020】46号资金下达文件,结合公立医院职责，并组织实施。围绕喀什地区第二人民医院年度工作重点和工作计划制定经费预算，根据评分标准，该指标不扣分，得3分。</w:t>
        <w:br/>
        <w:t>（2）立项程序规范性：肿瘤中心建设项目是按照第二人民医院预算管理委员会规定的程序申请设立，事前经过与分管领导进行沟通、筛选确定经费预算计划，上党委会研究确定最终预算方案根据决策依据编制工作计划和经费预算，根据评分标准，该指标不扣分，得2分。</w:t>
        <w:br/>
        <w:t>（3）绩效目标合理性：肿瘤中心建设项目严格遵循财政部《项目支出绩效评价管理办法》（财预〔2020〕10号）和自治区财政厅《自治区财政支出绩效评价管理暂行办法》（新财预〔2018〕189号）文件设绩效目标；根据沪指文【2020】46号文件与2020年11月23日沪合租办【2020】46号资金下达文件，加强肿瘤中心建设，添加直线加速器设备。此项目绩效目标与实际工作内容具有相关性；此项目预期产出效益和效果符合正常的业绩水平；项目与预算确定的项目投资额相匹配得根据评分标准，该指标不扣分，得3分。</w:t>
        <w:br/>
        <w:t>（4）绩效指标明确性： 肿瘤中心项目一级指标3个，二级指标7个，三级指标10个，将项目绩效目标细化分解为具体的绩效指标：比如专用设备采购数量1套，验收通过率100%。通过清晰、可衡量的指标值予以体现；项目目标任务数或计划数相对应，根据评分标准，该指标不扣分，得2分。</w:t>
        <w:br/>
        <w:t>（5）预算编制科学性：根据沪指文【2020】46号文件与2020年11月23日沪合租办【2020】46号资金下达文件，加强肿瘤中心建设，添加直线加速器设备。预算编制经过预算管理委员会论证，内容与项目内容匹配，项目投资额与工作任务相匹配，根据评分标准，该指标不扣分，得5分。</w:t>
        <w:br/>
        <w:t>（6）资金分配合理性：根据沪指文【2020】46号文件与2020年11月23日沪合租办【2020】46号资金下达文件，规范使用项目资金，按照实际情况使用项目资金，项目验收完工，项目与实际相适应，根据评分标准，该指标不扣分，得5分。</w:t>
      </w:r>
    </w:p>
    <w:p w14:paraId="0D3EC733"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3C6CADCB" w14:textId="055C9EF4"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5个三级指标构成，权重分为20分，实际得分19.6 分，得分率为98%。</w:t>
        <w:br/>
        <w:t>项目过程指标得分情况</w:t>
        <w:br/>
        <w:t>三级指标	权重	得分率	实际得分</w:t>
        <w:br/>
        <w:t>资金到位率	5	100%	5</w:t>
        <w:br/>
        <w:t>预算执行率	5	92 %	4.6</w:t>
        <w:br/>
        <w:t>资金使用合规性	5	100%	5</w:t>
        <w:br/>
        <w:t>管理制度健全性	2	100%	2</w:t>
        <w:br/>
        <w:t>制度执行	3	100%	3</w:t>
        <w:br/>
        <w:t>合计	20	100%	19.6</w:t>
        <w:br/>
        <w:t>（1）资金到位率：沪指文【2020】46号文件与2020年11月23日沪合租办【2020】46号文件下达资金，援疆资金足额拨付到位，资金到位1300.99万元，牵头部门医学装备管理科能够及时足额按照合同约定将专项资金付款给上海联影医疗科技股份有限公司，根据评分标准，该指标不扣分，得5分。   </w:t>
        <w:br/>
        <w:t>（2）预算执行率：肿瘤中心建设项目资金1300.99万元，于 2022年支付1198.72万元，预算执行率92.14%。预算编制较为详细，预算执行率未达到百分之百，根据评分标准，该指标扣0.4分，得4.6分。</w:t>
        <w:br/>
        <w:t>（3）资金使用合规性：根据《喀什地区第二人民医院医学装备采购招标制度》和《喀什地区第二人民医院支出审批流程》对肿瘤中心建设项目经费使用进行规范管理，喀什地区第二人民医院财务制度健全、执行严格，根据评分标准，该指标不扣分，得5分。</w:t>
        <w:br/>
        <w:t>（4）管理制度健全性：根据《喀什地区第二人民医院医学装备采购招标制度》、《喀什地区第二人民医院医学装备安装验收调试制度》、《喀什地区第二人民医院财务支出（成本费用）审批制度及流程》、《预算编制管理制度》对肿瘤中心建设项目资金进行严格管理，做到了专款专用，根据评分标准，该指标不扣分，得2分。</w:t>
        <w:br/>
        <w:t>（5）制度执行有效性：喀什地区第二人民医院严格执行《喀什地区第二人民医院医学装备采购招标制度》、《喀什地区第二人民医院医学装备安装验收调试制度》、《喀什地区第二人民医院财务支出（成本费用）审批制度及流程》、《预算编制管理制度》。由医学装备管理科提出经费预算支出可行性方案，经过与医学装备管理科分管领导沟通后，报党委会议研究执行，财务部对资金的使用合法合规性进行监督，年底对资金使用效果进行自评，根据评分标准，该指标不扣分，得3分。</w:t>
      </w:r>
    </w:p>
    <w:p w14:paraId="30541C6A"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25D2D5EB" w14:textId="445053DD"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专用设备购置数量，预期指标值≥1套，实际完成值1套，指标完成率为100%，与预期目标一致，根据评分标准，该指标不扣分，得5分。</w:t>
        <w:br/>
        <w:t>政府采购率，预期指标值=100%，实际完成值100%，指标完成率100%，与预期目标一致，根据评分标准，该指标不扣分，得5分。</w:t>
        <w:br/>
        <w:t>合计得10分。</w:t>
        <w:br/>
        <w:t>（2）对于“产出质量”：</w:t>
        <w:br/>
        <w:t>购置合同执行合规率，预期指标值=100%，实际完成值100%，指标完成率为100%，与预期目标一致，根据评分标准，该指标不扣分，得4分。</w:t>
        <w:br/>
        <w:t>购置设备质量合格率，预期指标值=95%，实际完成值100%，指标完成率为105%，存在合理偏差，根据评分标准，该指标不扣分，得3分。</w:t>
        <w:br/>
        <w:t>购置验收通过率，预期指标值=95%，实际完成值100%，指标完成率为105%，存在合理偏差，根据评分标准，该指标不扣分，得3分。</w:t>
        <w:br/>
        <w:t>合计得10分。</w:t>
        <w:br/>
        <w:t>（3）对于“产出时效”：</w:t>
        <w:br/>
        <w:t>项目完成时间（月），预期指标值=12个月，实际完成时间12个月，指标完成率为100%，根据评分标准，该指标不扣分，得10分</w:t>
        <w:br/>
        <w:t>合计得10分。</w:t>
        <w:br/>
        <w:t>（4）对于“产出成本”：</w:t>
        <w:br/>
        <w:t>项目预算控制率，预期指标值≤100%，实际完成值为100%，指标完成率为100%，项目经费都能控制绩效目标范围内，根据评分标准，该指标不扣分，得10分。</w:t>
      </w:r>
    </w:p>
    <w:p w14:paraId="24654FD2"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5DB3EEA6" w14:textId="2B48DC29"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公共服务水平提升情况，预期指标值有效提升，实际完成值为有效提升，指标完成率为100%，与预期指标一致，根据评分标准，该指标不扣分，得5分。</w:t>
        <w:br/>
        <w:t>（2）对于“可持续影响指标”：</w:t>
        <w:br/>
        <w:t>提升医院硬件实施水平，预期指标值长期，实际完成值长期，指标完成率为100%，与预期指标一致，根据评分标准，该指标不扣分，得5分。</w:t>
        <w:br/>
        <w:t>实施效益指标合计得10分。</w:t>
        <w:br/>
        <w:t>（3）对于“经济效益指标”：</w:t>
        <w:br/>
        <w:t>本项目无该指标。</w:t>
        <w:br/>
        <w:t>（4）对于“生态效益指标”：</w:t>
        <w:br/>
        <w:t>本项目无该指标。</w:t>
        <w:br/>
        <w:t>2.满意度指标:</w:t>
        <w:br/>
        <w:t>对于满意度指标：业务人员满意度预期目标值为&gt;=95%，实际业务人员满意度100%，指标完成率为105%，存在合理偏差，根据评分标准，该指标不扣分,得10分。</w:t>
      </w:r>
    </w:p>
    <w:p w14:paraId="3778206A" w14:textId="4DCC0B44"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168062F2" w14:textId="29F2A2A3" w:rsidR="00E7612A" w:rsidRDefault="008F4CA9">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五、预算执行进度与绩效指标偏差情况</w:t>
        <w:br/>
        <w:t>肿瘤中心建设项目2022年预算1300.99万元，实际支出1198.72万元，预算执行率为92.14%，项目绩效指标总体完成率为99.6%，偏差率为0.4%，偏差原因：年初预算目标数设置未充分考虑各种现实突发情况例如疫情，改进措施：以后年度充分考虑各种因素根据实际情况开展工作。</w:t>
      </w:r>
    </w:p>
    <w:p w14:paraId="5660889F"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0662A21" w14:textId="6DC93891"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六、主要经验及做法、存在的问题及原因分析</w:t>
        <w:br/>
        <w:t>（一）主要经验及做法</w:t>
        <w:br/>
        <w:t>一是明确思路，提高认识，思想是行动的先导，为此我们从思想根源抓起，项目实施前期做好充分的准备，凝聚人心为项目顺利实施打好基础。二是加强领导、落实责任，分管领导主导，项目牵头部门的主任具体负责，从项目到资金，均能后很好的执行。三是加强沟通协调，我单位及时向前方指挥部领导汇报项目进度与金使用情况，加强与设备供应商的沟通，确保设备及时到位促进项目完工。</w:t>
        <w:br/>
        <w:t>（二）存在问题及原因分析</w:t>
        <w:br/>
        <w:t>一是预算执行率未达到100%，偏差原因：年初预算目标数设置未充分考虑各种现实突发情况例如疫情，改进措施：以后年度充分考虑各种因素根据实际情况开展工作。</w:t>
        <w:br/>
        <w:t>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7A6B232E"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B318AD4" w14:textId="27781697"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七、有关建议</w:t>
        <w:br/>
        <w:t>1.项目建设的程序进一步规范。项目前期做好可行性研究报告，细化实施方案，年初预算目标数设置未充分考虑各种现实情况，</w:t>
        <w:br/>
        <w:t xml:space="preserve"> 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</w:t>
      </w:r>
    </w:p>
    <w:p w14:paraId="36A7CF3E"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5EC64A79" w14:textId="493B4705"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</w:t>
        <w:br/>
        <w:t>我单位对上述项目支出绩效评价报告内反映内容的真实性、完整性负责，接受上级部门及社会公众监督。</w:t>
      </w:r>
    </w:p>
    <w:p w14:paraId="7823F2B3" w14:textId="77777777" w:rsidR="00E7612A" w:rsidRDefault="00E7612A">
      <w:pPr>
        <w:spacing w:line="570" w:lineRule="exact"/>
        <w:rPr>
          <w:rStyle w:val="ad"/>
          <w:rFonts w:ascii="方正黑体_GBK" w:eastAsia="方正黑体_GBK" w:hAnsi="方正黑体_GBK" w:cs="方正黑体_GBK"/>
          <w:b w:val="0"/>
          <w:spacing w:val="-4"/>
          <w:sz w:val="32"/>
          <w:szCs w:val="32"/>
        </w:rPr>
      </w:pPr>
    </w:p>
    <w:p w14:paraId="1622A8B4" w14:textId="77777777" w:rsidR="00E7612A" w:rsidRDefault="00E7612A">
      <w:pPr>
        <w:spacing w:line="570" w:lineRule="exact"/>
        <w:rPr>
          <w:rStyle w:val="ad"/>
          <w:rFonts w:ascii="楷体" w:eastAsia="楷体" w:hAnsi="楷体"/>
          <w:spacing w:val="-4"/>
          <w:sz w:val="32"/>
          <w:szCs w:val="32"/>
        </w:rPr>
      </w:pPr>
    </w:p>
    <w:p w14:paraId="4AAEB59E" w14:textId="77777777" w:rsidR="00E7612A" w:rsidRDefault="00E7612A">
      <w:pPr>
        <w:spacing w:line="570" w:lineRule="exact"/>
        <w:rPr>
          <w:rStyle w:val="ad"/>
          <w:rFonts w:ascii="仿宋" w:eastAsia="仿宋" w:hAnsi="仿宋"/>
          <w:b w:val="0"/>
          <w:spacing w:val="-4"/>
          <w:sz w:val="32"/>
          <w:szCs w:val="32"/>
        </w:rPr>
      </w:pPr>
    </w:p>
    <w:p w14:paraId="2B7A3907" w14:textId="77777777" w:rsidR="00E7612A" w:rsidRDefault="00E7612A">
      <w:pPr>
        <w:spacing w:line="570" w:lineRule="exact"/>
        <w:rPr>
          <w:rStyle w:val="ad"/>
          <w:rFonts w:ascii="仿宋" w:eastAsia="仿宋" w:hAnsi="仿宋"/>
          <w:b w:val="0"/>
          <w:spacing w:val="-4"/>
          <w:sz w:val="32"/>
          <w:szCs w:val="32"/>
        </w:rPr>
      </w:pPr>
    </w:p>
    <w:p w14:paraId="0AEA9817" w14:textId="77777777" w:rsidR="00E7612A" w:rsidRDefault="00E7612A">
      <w:pPr>
        <w:spacing w:line="570" w:lineRule="exact"/>
        <w:rPr>
          <w:rStyle w:val="ad"/>
          <w:rFonts w:ascii="仿宋" w:eastAsia="仿宋" w:hAnsi="仿宋"/>
          <w:b w:val="0"/>
          <w:spacing w:val="-4"/>
          <w:sz w:val="32"/>
          <w:szCs w:val="32"/>
        </w:rPr>
      </w:pPr>
    </w:p>
    <w:p w14:paraId="64D955F6" w14:textId="77777777" w:rsidR="00E7612A" w:rsidRDefault="00E7612A">
      <w:pPr>
        <w:spacing w:line="570" w:lineRule="exact"/>
        <w:rPr>
          <w:rStyle w:val="ad"/>
          <w:rFonts w:ascii="仿宋" w:eastAsia="仿宋" w:hAnsi="仿宋"/>
          <w:b w:val="0"/>
          <w:spacing w:val="-4"/>
          <w:sz w:val="32"/>
          <w:szCs w:val="32"/>
        </w:rPr>
      </w:pPr>
    </w:p>
    <w:p w14:paraId="00C3B3A2" w14:textId="77777777" w:rsidR="00E7612A" w:rsidRDefault="00E7612A">
      <w:pPr>
        <w:spacing w:line="570" w:lineRule="exact"/>
        <w:rPr>
          <w:rStyle w:val="ad"/>
          <w:rFonts w:ascii="仿宋" w:eastAsia="仿宋" w:hAnsi="仿宋"/>
          <w:b w:val="0"/>
          <w:spacing w:val="-4"/>
          <w:sz w:val="32"/>
          <w:szCs w:val="32"/>
        </w:rPr>
      </w:pPr>
    </w:p>
    <w:p w14:paraId="6ECF0B97" w14:textId="77777777" w:rsidR="00E7612A" w:rsidRDefault="00E7612A">
      <w:pPr>
        <w:spacing w:line="570" w:lineRule="exact"/>
        <w:rPr>
          <w:rStyle w:val="ad"/>
          <w:rFonts w:ascii="仿宋" w:eastAsia="仿宋" w:hAnsi="仿宋"/>
          <w:b w:val="0"/>
          <w:spacing w:val="-4"/>
          <w:sz w:val="32"/>
          <w:szCs w:val="32"/>
        </w:rPr>
      </w:pPr>
    </w:p>
    <w:p w14:paraId="4FB25276" w14:textId="77777777" w:rsidR="00E7612A" w:rsidRDefault="00E7612A">
      <w:pPr>
        <w:spacing w:line="570" w:lineRule="exact"/>
        <w:rPr>
          <w:rStyle w:val="ad"/>
          <w:rFonts w:ascii="仿宋" w:eastAsia="仿宋" w:hAnsi="仿宋"/>
          <w:b w:val="0"/>
          <w:spacing w:val="-4"/>
          <w:sz w:val="32"/>
          <w:szCs w:val="32"/>
        </w:rPr>
      </w:pPr>
    </w:p>
    <w:p w14:paraId="071259FA" w14:textId="77777777" w:rsidR="00E7612A" w:rsidRDefault="00E7612A">
      <w:pPr>
        <w:spacing w:line="570" w:lineRule="exact"/>
        <w:rPr>
          <w:rStyle w:val="ad"/>
          <w:rFonts w:ascii="仿宋" w:eastAsia="仿宋" w:hAnsi="仿宋"/>
          <w:b w:val="0"/>
          <w:spacing w:val="-4"/>
          <w:sz w:val="32"/>
          <w:szCs w:val="32"/>
        </w:rPr>
      </w:pPr>
    </w:p>
    <w:p w14:paraId="66128EE1" w14:textId="77777777" w:rsidR="00E7612A" w:rsidRDefault="00E7612A">
      <w:pPr>
        <w:spacing w:line="570" w:lineRule="exact"/>
        <w:rPr>
          <w:rStyle w:val="ad"/>
          <w:rFonts w:ascii="仿宋" w:eastAsia="仿宋" w:hAnsi="仿宋"/>
          <w:b w:val="0"/>
          <w:spacing w:val="-4"/>
          <w:sz w:val="32"/>
          <w:szCs w:val="32"/>
        </w:rPr>
      </w:pPr>
    </w:p>
    <w:sectPr w:rsidR="00E7612A">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D6440" w14:textId="77777777" w:rsidR="00FE2348" w:rsidRDefault="00FE2348">
      <w:r>
        <w:separator/>
      </w:r>
    </w:p>
  </w:endnote>
  <w:endnote w:type="continuationSeparator" w:id="0">
    <w:p w14:paraId="760EA34F" w14:textId="77777777" w:rsidR="00FE2348" w:rsidRDefault="00FE2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1" w:usb1="080E0000" w:usb2="00000000" w:usb3="00000000" w:csb0="00040000" w:csb1="00000000"/>
  </w:font>
  <w:font w:name="方正黑体_GBK">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EndPr/>
    <w:sdtContent>
      <w:p w14:paraId="7EF6D006" w14:textId="77777777" w:rsidR="00E7612A" w:rsidRDefault="008F4CA9">
        <w:pPr>
          <w:pStyle w:val="a5"/>
          <w:jc w:val="center"/>
        </w:pPr>
        <w:r>
          <w:fldChar w:fldCharType="begin"/>
        </w:r>
        <w:r>
          <w:instrText>PAGE   \* MERGEFORMAT</w:instrText>
        </w:r>
        <w:r>
          <w:fldChar w:fldCharType="separate"/>
        </w:r>
        <w:r>
          <w:rPr>
            <w:lang w:val="zh-CN"/>
          </w:rPr>
          <w:t>1</w:t>
        </w:r>
        <w:r>
          <w:fldChar w:fldCharType="end"/>
        </w:r>
      </w:p>
    </w:sdtContent>
  </w:sdt>
  <w:p w14:paraId="5D977A94" w14:textId="77777777" w:rsidR="00E7612A" w:rsidRDefault="00E761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D30D" w14:textId="77777777" w:rsidR="00FE2348" w:rsidRDefault="00FE2348">
      <w:r>
        <w:separator/>
      </w:r>
    </w:p>
  </w:footnote>
  <w:footnote w:type="continuationSeparator" w:id="0">
    <w:p w14:paraId="49E7A73D" w14:textId="77777777" w:rsidR="00FE2348" w:rsidRDefault="00FE2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8CF93"/>
  <w15:docId w15:val="{EA503E47-86E4-41A1-9420-C3641E857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134</Words>
  <Characters>767</Characters>
  <Application>Microsoft Office Word</Application>
  <DocSecurity>0</DocSecurity>
  <Lines>6</Lines>
  <Paragraphs>1</Paragraphs>
  <ScaleCrop>false</ScaleCrop>
  <Company>Microsoft</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2023-01-05T10:03:00Z</dcterms:created>
  <dc:creator>赵 恺（预算处）</dc:creator>
  <cp:lastModifiedBy>Admin</cp:lastModifiedBy>
  <cp:lastPrinted>2018-12-31T10:56:00Z</cp:lastPrinted>
  <dcterms:modified xsi:type="dcterms:W3CDTF">2023-01-05T11:16:00Z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