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052F41">
      <w:pPr>
        <w:spacing w:line="570" w:lineRule="exact"/>
        <w:jc w:val="center"/>
        <w:rPr>
          <w:rFonts w:ascii="华文中宋" w:hAnsi="华文中宋" w:eastAsia="华文中宋" w:cs="宋体"/>
          <w:b/>
          <w:kern w:val="0"/>
          <w:sz w:val="52"/>
          <w:szCs w:val="52"/>
        </w:rPr>
      </w:pPr>
      <w:bookmarkStart w:id="0" w:name="_GoBack"/>
      <w:bookmarkEnd w:id="0"/>
    </w:p>
    <w:p w14:paraId="5AC949FB">
      <w:pPr>
        <w:spacing w:line="570" w:lineRule="exact"/>
        <w:jc w:val="center"/>
        <w:rPr>
          <w:rFonts w:ascii="华文中宋" w:hAnsi="华文中宋" w:eastAsia="华文中宋" w:cs="宋体"/>
          <w:b/>
          <w:kern w:val="0"/>
          <w:sz w:val="52"/>
          <w:szCs w:val="52"/>
        </w:rPr>
      </w:pPr>
    </w:p>
    <w:p w14:paraId="21AA1CF5">
      <w:pPr>
        <w:spacing w:line="570" w:lineRule="exact"/>
        <w:jc w:val="center"/>
        <w:rPr>
          <w:rFonts w:ascii="华文中宋" w:hAnsi="华文中宋" w:eastAsia="华文中宋" w:cs="宋体"/>
          <w:b/>
          <w:kern w:val="0"/>
          <w:sz w:val="52"/>
          <w:szCs w:val="52"/>
        </w:rPr>
      </w:pPr>
    </w:p>
    <w:p w14:paraId="3BF18E49">
      <w:pPr>
        <w:spacing w:line="570" w:lineRule="exact"/>
        <w:jc w:val="center"/>
        <w:rPr>
          <w:rFonts w:ascii="华文中宋" w:hAnsi="华文中宋" w:eastAsia="华文中宋" w:cs="宋体"/>
          <w:b/>
          <w:kern w:val="0"/>
          <w:sz w:val="52"/>
          <w:szCs w:val="52"/>
        </w:rPr>
      </w:pPr>
    </w:p>
    <w:p w14:paraId="6F67A634">
      <w:pPr>
        <w:spacing w:line="570" w:lineRule="exact"/>
        <w:jc w:val="both"/>
        <w:rPr>
          <w:rFonts w:ascii="华文中宋" w:hAnsi="华文中宋" w:eastAsia="华文中宋" w:cs="宋体"/>
          <w:b/>
          <w:kern w:val="0"/>
          <w:sz w:val="52"/>
          <w:szCs w:val="52"/>
        </w:rPr>
      </w:pPr>
    </w:p>
    <w:p w14:paraId="65B9AED2">
      <w:pPr>
        <w:spacing w:line="570" w:lineRule="exact"/>
        <w:jc w:val="center"/>
        <w:rPr>
          <w:rFonts w:ascii="华文中宋" w:hAnsi="华文中宋" w:eastAsia="华文中宋" w:cs="宋体"/>
          <w:b/>
          <w:kern w:val="0"/>
          <w:sz w:val="52"/>
          <w:szCs w:val="52"/>
        </w:rPr>
      </w:pPr>
    </w:p>
    <w:p w14:paraId="54AE9682">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14:paraId="6225160E">
      <w:pPr>
        <w:spacing w:line="570" w:lineRule="exact"/>
        <w:jc w:val="center"/>
        <w:rPr>
          <w:rFonts w:ascii="华文中宋" w:hAnsi="华文中宋" w:eastAsia="华文中宋" w:cs="宋体"/>
          <w:b/>
          <w:kern w:val="0"/>
          <w:sz w:val="52"/>
          <w:szCs w:val="52"/>
        </w:rPr>
      </w:pPr>
    </w:p>
    <w:p w14:paraId="150EAA24">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14:paraId="0340F4BC">
      <w:pPr>
        <w:spacing w:line="570" w:lineRule="exact"/>
        <w:jc w:val="center"/>
        <w:rPr>
          <w:rFonts w:hAnsi="宋体" w:eastAsia="仿宋_GB2312" w:cs="宋体"/>
          <w:kern w:val="0"/>
          <w:sz w:val="30"/>
          <w:szCs w:val="30"/>
        </w:rPr>
      </w:pPr>
    </w:p>
    <w:p w14:paraId="056326EF">
      <w:pPr>
        <w:spacing w:line="570" w:lineRule="exact"/>
        <w:jc w:val="center"/>
        <w:rPr>
          <w:rFonts w:hAnsi="宋体" w:eastAsia="仿宋_GB2312" w:cs="宋体"/>
          <w:kern w:val="0"/>
          <w:sz w:val="30"/>
          <w:szCs w:val="30"/>
        </w:rPr>
      </w:pPr>
    </w:p>
    <w:p w14:paraId="2B1C831A">
      <w:pPr>
        <w:spacing w:line="570" w:lineRule="exact"/>
        <w:jc w:val="center"/>
        <w:rPr>
          <w:rFonts w:hAnsi="宋体" w:eastAsia="仿宋_GB2312" w:cs="宋体"/>
          <w:kern w:val="0"/>
          <w:sz w:val="30"/>
          <w:szCs w:val="30"/>
        </w:rPr>
      </w:pPr>
    </w:p>
    <w:p w14:paraId="5FD848DD">
      <w:pPr>
        <w:spacing w:line="570" w:lineRule="exact"/>
        <w:jc w:val="center"/>
        <w:rPr>
          <w:rFonts w:hAnsi="宋体" w:eastAsia="仿宋_GB2312" w:cs="宋体"/>
          <w:kern w:val="0"/>
          <w:sz w:val="30"/>
          <w:szCs w:val="30"/>
        </w:rPr>
      </w:pPr>
    </w:p>
    <w:p w14:paraId="653A3250">
      <w:pPr>
        <w:spacing w:line="570" w:lineRule="exact"/>
        <w:jc w:val="center"/>
        <w:rPr>
          <w:rFonts w:hAnsi="宋体" w:eastAsia="仿宋_GB2312" w:cs="宋体"/>
          <w:kern w:val="0"/>
          <w:sz w:val="30"/>
          <w:szCs w:val="30"/>
        </w:rPr>
      </w:pPr>
    </w:p>
    <w:p w14:paraId="62871C1F">
      <w:pPr>
        <w:spacing w:line="570" w:lineRule="exact"/>
        <w:jc w:val="center"/>
        <w:rPr>
          <w:rFonts w:hAnsi="宋体" w:eastAsia="仿宋_GB2312" w:cs="宋体"/>
          <w:kern w:val="0"/>
          <w:sz w:val="30"/>
          <w:szCs w:val="30"/>
        </w:rPr>
      </w:pPr>
    </w:p>
    <w:p w14:paraId="7C4C5959">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智慧养老项目</w:t>
      </w:r>
    </w:p>
    <w:p w14:paraId="6E8F8D90">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新疆维吾尔自治区喀什地区驻昌吉市老干部休养所</w:t>
      </w:r>
    </w:p>
    <w:p w14:paraId="5B554EF3">
      <w:pPr>
        <w:spacing w:line="540" w:lineRule="exact"/>
        <w:ind w:firstLine="360" w:firstLineChars="100"/>
        <w:rPr>
          <w:rFonts w:hint="eastAsia" w:ascii="仿宋" w:hAnsi="仿宋" w:eastAsia="仿宋" w:cs="仿宋"/>
          <w:spacing w:val="-4"/>
          <w:sz w:val="32"/>
          <w:szCs w:val="32"/>
          <w:lang w:eastAsia="zh-CN"/>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喀什地委</w:t>
      </w:r>
      <w:r>
        <w:rPr>
          <w:rStyle w:val="18"/>
          <w:rFonts w:hint="eastAsia" w:ascii="仿宋" w:hAnsi="仿宋" w:eastAsia="仿宋" w:cs="仿宋"/>
          <w:b w:val="0"/>
          <w:bCs w:val="0"/>
          <w:spacing w:val="-4"/>
          <w:sz w:val="32"/>
          <w:szCs w:val="32"/>
          <w:lang w:eastAsia="zh-CN"/>
        </w:rPr>
        <w:t>老干部局</w:t>
      </w:r>
    </w:p>
    <w:p w14:paraId="4BA21507">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谢小平</w:t>
      </w:r>
    </w:p>
    <w:p w14:paraId="2D482CA9">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2024年04月12日</w:t>
      </w:r>
    </w:p>
    <w:p w14:paraId="70F0D430">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14:paraId="33720E72">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14:paraId="645CEE7C">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14:paraId="656331E5">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（一）项目概况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驻昌干休所智慧养老项目依据阅批件【2022】1631号上的批示及喀什地区行署常委会议纪要喀署阅【2022】145号文件决定设立此项目，旨在评价智慧养老项目实施前期、过程及效果，评价财政预算资金使用的效率及效益。通过该项目的实施，极大的提升了离退休干部异地居住的幸福生活指数，改善了离休人员及遗孀的通讯环境的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对居住在昌吉的离休人员、遗孀34户智慧养老系统通讯费的支出。每户每月智慧养老系统通讯费138元。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喀什地区驻昌吉市老干部休养所为全额拨款公益一类事业单位（参公），纳入2023年部门决算编制范围的有4个办公室：分别是：财务室、医务室、办公室、车队。</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编制人数12人，其中：行政人员编制7人、工勤5人、参公0人、事业编制0人。实有在职人数6人，其中：行政在职3人、工勤3人、参公0人、事业在职0人。离退休人员10人，其中：行政退休人员5人、事业退休5人。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驻昌干休所智慧养老项目依据阅批件【2022】1631号上的批示及喀什地区行署常委会议纪要喀署阅【2022】145号文件决定设立此项目。根据2023年预算批复安排下达资金5.63万元，为一般公共预算资金，最终确定项目资金总数为5.63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截至2023年12月31日，实际支出5.63万元，预算执行率100%。</w:t>
      </w:r>
    </w:p>
    <w:p w14:paraId="3AC80619">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14:paraId="2C2FCC0E">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（二）项目绩效目标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项目绩效目标包括项目绩效总目标和阶段性目标。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为了保障离退干部及遗孀智慧养老系统正常运行，落实34户离退干部及遗孀智慧养老系统1-12月网络使用费56304元。提升离退休干部异地居住的幸福生活指数，改善离休人员及遗孀的网络环境。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实施的前期准备工作：驻昌干休所智慧养老项目依据阅批件【2022】1631号上的批示及喀什地区行署常委会议纪要喀署阅【2022】145号文件决定设立此项目。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具体实施工作：2023年年初与中国电信签署服务合同，约定我单位按时缴纳智慧养老系统网费，电信公司保障网络通畅。网络使用费每户每月138元。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验收阶段的具体工作：通过使用智慧养老系统的34户离退干部及遗孀满意度调查表，达到100%满意。</w:t>
      </w:r>
    </w:p>
    <w:p w14:paraId="52AF418B">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14:paraId="5C271087">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14:paraId="114A57AE">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 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14:paraId="754495C1">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14:paraId="67E8B2E3">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1个二级指标。项目绩效评价体系详见附件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本次评价采用定量与定性评价相结合的比较法和公众评判法，总分由各项指标得分汇总形成。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公众评判法：是指通过专家评估、公众问卷及抽样调查等对财政支出效果进行评判，评价绩效目标实现程度。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计划标准：指以预先制定的目标、计划、预算、定额等作为评价标准。</w:t>
      </w:r>
    </w:p>
    <w:p w14:paraId="2BBA27D8">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14:paraId="1B7E3BC7">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（三）绩效评价工作过程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第一阶段：前期准备。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谢小平任评价组组长，绩效评价工作职责为负责全盘工作。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陈明政任评价组副组长，绩效评价工作职责为为对项目实施情况进行实地调查。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石龙任评价组成员，绩效评价工作职责为负责资料审核等工作。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14:paraId="567386C8">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14:paraId="57BCEBDA">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通过实施智慧养老项目提升离退休干部异地居住的幸福生活指数的效益。项目实施主要通过项目决策、项目过程、项目产出以及项目效益等方面进行评价，其中：</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项目决策：该项目主要依据阅批件【2022】1631号上的批示及喀什地区行署常委会议纪要喀署阅【2022】145号文件立项，项目实施符合国家、自治区、地区相关政策 项目符合有关文件要求，项目实施符合保障离退干部及遗孀智慧养老系统正常运行，落实34户离退干部及遗孀智慧养老系统1-12月网络使用费要求，项目立项依据充分，立项程序规范。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智慧养老项目预算安排5.63万元，实际支出5.63万元，预算执行率100%。项目资金使用合规，项目财务管理制度健全，财务监控到位，所有资金支付均按照国库集中支付制度严格执行，现有项目管理制度执行情况良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项目产出：项目实施产生的享受补助的老干部户数30户，网络使用费缴费月数12个月，补助覆盖率达到100%，网络使用费缴费及时率达到100%，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项目效益：通过实施此项目提升离退休干部异地居住的幸福生活指数效益。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智慧养老项目进行客观评价，最终评分结果：评价总分98.53分，绩效等级为“优”。</w:t>
      </w:r>
    </w:p>
    <w:p w14:paraId="4A9A53A3">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14:paraId="70D50A25">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14:paraId="1B4C99D1">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结该项目主要依据阅批件【2022】1631号上的批示及喀什地区行署常委会议纪要喀署阅【2022】145号文件延续此项目。为了保障离退干部及遗孀智慧养老系统正常运行，落实30户离退干部及遗孀智慧养老系统1-12月网络使用费工作职责，并组织实施。围绕2023年度工作重点和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（2）立项程序规范性：根据决策依据编制工作计划和经费预算，经过与地委老干部局分管领导进行沟通、筛选确定经费预算计划，上党委会研究确定最终预算方案，根据评分标准，该指标不扣分，得2分。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（3）绩效目标合理性：制定了《驻昌干休所智慧养老项目实施方案》，明确了总体思路及目标、并对任务进行了详细分解，对目标进行了细化，根据评分标准，该指标不扣分，得3分。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 本单位根据绩效管理办法，合理确定绩效目标表，将智慧养老项目绩效目标细化分解为具体的绩效指标，一级指标4个，二级指标6个，三级指标7个，根据评分标准，该指标不扣分，得2分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 预算编制由地委</w:t>
      </w:r>
      <w:r>
        <w:rPr>
          <w:rStyle w:val="18"/>
          <w:rFonts w:hint="eastAsia" w:ascii="仿宋" w:hAnsi="仿宋" w:eastAsia="仿宋" w:cs="仿宋"/>
          <w:b w:val="0"/>
          <w:bCs w:val="0"/>
          <w:spacing w:val="-4"/>
          <w:sz w:val="32"/>
          <w:szCs w:val="32"/>
          <w:lang w:eastAsia="zh-CN"/>
        </w:rPr>
        <w:t>老干部局</w:t>
      </w:r>
      <w:r>
        <w:rPr>
          <w:rStyle w:val="18"/>
          <w:rFonts w:hint="eastAsia" w:ascii="仿宋" w:hAnsi="仿宋" w:eastAsia="仿宋" w:cs="仿宋"/>
          <w:b w:val="0"/>
          <w:bCs w:val="0"/>
          <w:spacing w:val="-4"/>
          <w:sz w:val="32"/>
          <w:szCs w:val="32"/>
        </w:rPr>
        <w:t>提交的《地区驻乌昌两干休所“六项暖心实事”工程实施方案》经地区行署常务会议2022年9月27日通过（喀署阅[2022]145号）。确定享受补助的老干部户数为30户，每户每月138元智慧养老系统网络使用费，实施资金总额为5.63万元，内容与项目内容匹配，项目投资额与工作任务相匹配，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（6）资金分配合理性：享受补助的老干部户数为30户，每户每月138元网络使用费，实施资金总额为5.63万元，资金分配与实际相适应，根据评分标准，该指标不扣分，得2分。</w:t>
      </w:r>
    </w:p>
    <w:p w14:paraId="43690815">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14:paraId="3BD7B67E">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（二）项目过程情况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（1）资金到位率：预算资金为5.63万元，实际到位资金为5.63万元，资金到位率=（实际到位资金/预算资金）×100%=100%，财政资金足额拨付到位，根据评分标准，该指标不扣分，得3分。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实际到位资金为5.63万元，实际支出资金为5.63万元，预算执行率=（实际支出资金/实际到位资金）×100%=100%，预算编制较为详细，项目资金支出总体能够按照预算执行，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（3）资金使用合规性：本单位制定了《驻昌干休所合同管理制度》《驻昌干休所验收制度》，对经费使用进行规范管理，财务制度健全、执行严格，根据评分标准，该指标不扣分，得4分。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（4）管理制度健全性：本单位制定了《驻昌干休所财务支出管理制度》，对财政专项资金进行严格管理，做到了专款专用，根据评分标准，该指标不扣分，得5分。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由驻昌吉市干休所提出经费预算支出可行性方案，经过与地委老干部局分管领导进行沟通、筛选确定经费预算计划，上党委会研究确定最终预算方案，财务对资金的使用合法合规性进行监督，年底对资金使用效果进行自评，根据评分标准，该指标不扣分，得5分。</w:t>
      </w:r>
    </w:p>
    <w:p w14:paraId="15D591FF">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14:paraId="1DD1B1D5">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项目产出类指标包括产出数量、产出质量、产出时效、产出成本四方面的内容，由4个三级指标构成，权重分为45分，实际得分43.53分，得分率为96.73%。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享受补助的老干部户数指标，预期指标值等于34户，实际完成值为30户，指标完成率为88.23%，与预期目标不一致，有差异是因为有离休老干部去世，根据评分标准，该指标扣1.47分，得3.53分。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网络使用费缴费月数指标，预期指标值为等于12个月，实际完成值为12个月，指标完成率为100%，与预期目标一致，根据评分标准，该指标不扣分，得5分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合计得8.53分。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补助覆盖率（%）指标，预期指标值为等于100%，实际完成值为100%，指标完成率为100%，与预期目标一致，根据评分标准，该指标不扣分，得10分。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网络使用费缴费及时率指标，预期指标值为等于100%，实际完成值为100%，指标完成率为100%，与预期目标一致，根据评分标准，该指标不扣分，得10分。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网络使用费成本指标，预期指标值为小于等于138元/月，实际完成值为138元/月，指标完成率为100%，本年支付智慧养老网络使用费5.63万元，项目经费都能控制绩效目标范围内，根据评分标准，该指标不扣分，得15分。</w:t>
      </w:r>
    </w:p>
    <w:p w14:paraId="4401C953">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14:paraId="43CDAE23">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提升离退休干部异地居住的幸福生活指数指标，该指标预期指标值为提升，实际完成值为提升，指标完成率为100%，与预期指标一致，根据评分标准，该指标不扣分，得10分。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（2）满意度指标分析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对于“满意度指标：离退休老干部对休养所满意度100%，该指标预期指标值为100%，实际完成值为100%，指标完成率为100%，与预期目标一致，根据评分标准，该指标不扣分,得10分。</w:t>
      </w:r>
    </w:p>
    <w:p w14:paraId="18867073">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14:paraId="52682F1A">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智慧养老项目预算金额5.63万元，实际到位金额5.63万元，实际支出金额5.63万元，预算执行率为100%，项目绩效指标总体完成率为98.3%，偏差率为1.7%，偏差原因：截至21月31日前，实际享受补助的老干部户数只有30户，与预期目标设置的34户存在偏差，改进措施：设置目标是对数据进行更加精确的统计。</w:t>
      </w:r>
    </w:p>
    <w:p w14:paraId="452E3D29">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14:paraId="0F361F1B">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本项目能够严格按照《智慧养老项目实施方案》执行，项目执行情况较好。根据相关文件要求设置了绩效目标，项目绩效目标基本合理，与实际工作内容相关；二是项目预期产出效益和效果符合正常的业绩水平，与预算确定的项目投资额或资金量相匹配。</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一是没有完善的实施计划，以及遇到突发事件的解决办法。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二是对各项指标和指标值要进一步优化、完善，目标值与实际完成值之间存在合理偏差。</w:t>
      </w:r>
    </w:p>
    <w:p w14:paraId="5F0FCDC7">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14:paraId="0D2B0C4D">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1.要更加细化实施方案，通过绩效管理，发现实施中存在漏洞，以后加强管理，及时掌握与之相关的各类信息，减少成本，使资金效益最大化。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2、以后年度根据项目实际情况设置绩效目标值，做到完成值与制定计划相吻合。</w:t>
      </w:r>
    </w:p>
    <w:p w14:paraId="6A00FC40">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14:paraId="514DE929">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2000000000000000000"/>
    <w:charset w:val="86"/>
    <w:family w:val="auto"/>
    <w:pitch w:val="default"/>
    <w:sig w:usb0="A00002BF" w:usb1="38CF7CFA" w:usb2="00082016" w:usb3="00000000" w:csb0="00040001" w:csb1="00000000"/>
  </w:font>
  <w:font w:name="方正小标宋_GBK">
    <w:panose1 w:val="02000000000000000000"/>
    <w:charset w:val="86"/>
    <w:family w:val="script"/>
    <w:pitch w:val="default"/>
    <w:sig w:usb0="A00002BF" w:usb1="38CF7CFA" w:usb2="00082016" w:usb3="00000000" w:csb0="00040001" w:csb1="00000000"/>
  </w:font>
  <w:font w:name="方正黑体_GBK">
    <w:panose1 w:val="02000000000000000000"/>
    <w:charset w:val="86"/>
    <w:family w:val="auto"/>
    <w:pitch w:val="default"/>
    <w:sig w:usb0="A00002BF" w:usb1="38CF7CFA" w:usb2="00082016" w:usb3="00000000" w:csb0="00040001" w:csb1="00000000"/>
  </w:font>
  <w:font w:name="方正楷体_GBK">
    <w:panose1 w:val="02000000000000000000"/>
    <w:charset w:val="86"/>
    <w:family w:val="auto"/>
    <w:pitch w:val="default"/>
    <w:sig w:usb0="A00002BF" w:usb1="38CF7CFA" w:usb2="00082016" w:usb3="00000000" w:csb0="00040001"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07CE5784">
        <w:pPr>
          <w:pStyle w:val="12"/>
          <w:jc w:val="center"/>
        </w:pPr>
        <w:r>
          <w:fldChar w:fldCharType="begin"/>
        </w:r>
        <w:r>
          <w:instrText xml:space="preserve">PAGE   \* MERGEFORMAT</w:instrText>
        </w:r>
        <w:r>
          <w:fldChar w:fldCharType="separate"/>
        </w:r>
        <w:r>
          <w:rPr>
            <w:lang w:val="zh-CN"/>
          </w:rPr>
          <w:t>1</w:t>
        </w:r>
        <w:r>
          <w:fldChar w:fldCharType="end"/>
        </w:r>
      </w:p>
    </w:sdtContent>
  </w:sdt>
  <w:p w14:paraId="643597E4">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603509F1"/>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16</Pages>
  <Words>110</Words>
  <Characters>633</Characters>
  <Lines>5</Lines>
  <Paragraphs>1</Paragraphs>
  <TotalTime>1</TotalTime>
  <ScaleCrop>false</ScaleCrop>
  <LinksUpToDate>false</LinksUpToDate>
  <CharactersWithSpaces>742</CharactersWithSpaces>
  <Application>WPS Office_12.8.2.18606_F1E327BC-269C-435d-A152-05C5408002CA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Administrator</cp:lastModifiedBy>
  <cp:lastPrinted>2018-12-31T10:56:00Z</cp:lastPrinted>
  <dcterms:modified xsi:type="dcterms:W3CDTF">2024-11-20T03:31:37Z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2052-12.8.2.18606</vt:lpwstr>
  </property>
  <property fmtid="{D5CDD505-2E9C-101B-9397-08002B2CF9AE}" pid="3" name="ICV">
    <vt:lpwstr>595460AAA6EE48A4B959F3438FA2353A_12</vt:lpwstr>
  </property>
</Properties>
</file>