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hAnsi="宋体" w:eastAsia="仿宋_GB2312" w:cs="宋体"/>
          <w:kern w:val="0"/>
          <w:sz w:val="30"/>
          <w:szCs w:val="30"/>
        </w:rPr>
      </w:pPr>
      <w:r>
        <w:rPr>
          <w:rFonts w:hAnsi="宋体" w:eastAsia="仿宋_GB2312" w:cs="宋体"/>
          <w:kern w:val="0"/>
          <w:sz w:val="30"/>
          <w:szCs w:val="30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hAnsi="宋体" w:eastAsia="仿宋_GB2312" w:cs="宋体"/>
          <w:kern w:val="0"/>
          <w:sz w:val="30"/>
          <w:szCs w:val="30"/>
          <w:lang w:eastAsia="zh-CN"/>
        </w:rPr>
        <w:instrText xml:space="preserve">ADDIN CNKISM.UserStyle</w:instrText>
      </w:r>
      <w:r>
        <w:rPr>
          <w:rFonts w:hAnsi="宋体" w:eastAsia="仿宋_GB2312" w:cs="宋体"/>
          <w:kern w:val="0"/>
          <w:sz w:val="30"/>
          <w:szCs w:val="30"/>
        </w:rPr>
        <w:fldChar w:fldCharType="separate"/>
      </w:r>
      <w:r>
        <w:rPr>
          <w:rFonts w:hAnsi="宋体" w:eastAsia="仿宋_GB2312" w:cs="宋体"/>
          <w:kern w:val="0"/>
          <w:sz w:val="30"/>
          <w:szCs w:val="30"/>
        </w:rPr>
        <w:fldChar w:fldCharType="end"/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宋体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仿宋" w:hAnsi="仿宋" w:eastAsia="仿宋" w:cs="仿宋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（   2018  年度）</w:t>
      </w: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 xml:space="preserve">     项目名称：农业业务经费项目</w:t>
      </w:r>
    </w:p>
    <w:p>
      <w:pPr>
        <w:spacing w:line="700" w:lineRule="exact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 xml:space="preserve">     实施单位（公章）：喀什地区农业局</w:t>
      </w:r>
    </w:p>
    <w:p>
      <w:pPr>
        <w:spacing w:line="700" w:lineRule="exact"/>
        <w:ind w:firstLine="849" w:firstLineChars="236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自治区主管部门（公章）：</w:t>
      </w:r>
    </w:p>
    <w:p>
      <w:pPr>
        <w:spacing w:line="700" w:lineRule="exact"/>
        <w:ind w:firstLine="849" w:firstLineChars="236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项目负责人（签章）：聂路云</w:t>
      </w:r>
    </w:p>
    <w:p>
      <w:pPr>
        <w:spacing w:line="700" w:lineRule="exact"/>
        <w:ind w:firstLine="849" w:firstLineChars="236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填报时间：2018年12月26日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ind w:firstLine="640"/>
        <w:rPr>
          <w:rStyle w:val="16"/>
          <w:rFonts w:ascii="黑体" w:hAnsi="黑体" w:eastAsia="黑体" w:cs="黑体"/>
          <w:b w:val="0"/>
          <w:spacing w:val="-4"/>
          <w:sz w:val="32"/>
          <w:szCs w:val="32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560" w:lineRule="exact"/>
        <w:ind w:firstLine="640"/>
        <w:rPr>
          <w:rStyle w:val="1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640"/>
        <w:rPr>
          <w:rStyle w:val="16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6"/>
          <w:rFonts w:hint="eastAsia" w:ascii="楷体_GB2312" w:hAnsi="楷体_GB2312" w:eastAsia="楷体_GB2312" w:cs="楷体_GB2312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喀什地区农业局是</w:t>
      </w:r>
      <w:r>
        <w:rPr>
          <w:rFonts w:hint="eastAsia" w:ascii="仿宋" w:hAnsi="仿宋" w:eastAsia="仿宋" w:cs="仿宋"/>
          <w:sz w:val="32"/>
          <w:szCs w:val="32"/>
        </w:rPr>
        <w:t>行政单位，单位法人冯军祥，2018年人员编制共计61人，其中：行政编制26人，事业编制 35人，工勤编制6人。按地区编办的批复，本单位共设置7个科室（中心），单位主要职能：贯彻执行国家和自治区农业和农村经济工作方针、政策，法律、法规；拟定地区农业和农村经济发展政策、战略、中长期发展规划并组织实施。研究提出深化农村经济体制改革的意见；指导粮食、蔬菜、西甜瓜、特色作物等地区主要农产品生产，组织落实促进主要农产品生产发展的相关要求措施。指导粮食、蔬菜、西甜瓜、特色作物等地区主要农产品生产，组织落实促进主要农产品生产发展的相关要求措施等。</w:t>
      </w:r>
    </w:p>
    <w:p>
      <w:pPr>
        <w:spacing w:line="560" w:lineRule="exact"/>
        <w:ind w:firstLine="627" w:firstLineChars="200"/>
        <w:rPr>
          <w:rStyle w:val="16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6"/>
          <w:rFonts w:hint="eastAsia" w:ascii="楷体_GB2312" w:hAnsi="楷体_GB2312" w:eastAsia="楷体_GB2312" w:cs="楷体_GB2312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 w:cs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-4"/>
          <w:sz w:val="32"/>
          <w:szCs w:val="32"/>
        </w:rPr>
        <w:t>1、项目预期目标及阶段性目标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“塔二”项目贷款还利息项目目标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:</w:t>
      </w:r>
      <w:r>
        <w:rPr>
          <w:rFonts w:hint="eastAsia" w:ascii="仿宋" w:hAnsi="仿宋" w:eastAsia="仿宋" w:cs="仿宋"/>
          <w:sz w:val="32"/>
          <w:szCs w:val="32"/>
        </w:rPr>
        <w:t>单位根据喀什地区财政局世行项目管理办的还款工作计划，应在2018年11月15日前支付原"塔二"项目贷款本金6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2747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92</w:t>
      </w:r>
      <w:r>
        <w:rPr>
          <w:rFonts w:hint="eastAsia" w:ascii="仿宋" w:hAnsi="仿宋" w:eastAsia="仿宋" w:cs="仿宋"/>
          <w:sz w:val="32"/>
          <w:szCs w:val="32"/>
        </w:rPr>
        <w:t>元，年利率（混合浮动利率）1.2462%,单位应努力做到最后1次性还清利息791.85元,确保单位应付外债利息全部还清,降低单位经济成本,使还借款方满意度为100%。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 w:cs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-4"/>
          <w:sz w:val="32"/>
          <w:szCs w:val="32"/>
        </w:rPr>
        <w:t>2、项目基本性质</w:t>
      </w:r>
    </w:p>
    <w:p>
      <w:pPr>
        <w:spacing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本项目性质为新增项目。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 w:cs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-4"/>
          <w:sz w:val="32"/>
          <w:szCs w:val="32"/>
        </w:rPr>
        <w:t>3、项目用途及范围</w:t>
      </w:r>
    </w:p>
    <w:p>
      <w:pPr>
        <w:spacing w:line="560" w:lineRule="exact"/>
        <w:ind w:firstLine="777" w:firstLineChars="243"/>
        <w:rPr>
          <w:rStyle w:val="16"/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“塔二”项目贷款还利息项目0.079185万元。主要用于单位还贷款利息。</w:t>
      </w:r>
    </w:p>
    <w:p>
      <w:pPr>
        <w:spacing w:line="560" w:lineRule="exact"/>
        <w:ind w:firstLine="640"/>
        <w:rPr>
          <w:rStyle w:val="1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ind w:firstLine="761" w:firstLineChars="243"/>
        <w:rPr>
          <w:rStyle w:val="16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6"/>
          <w:rFonts w:hint="eastAsia" w:ascii="楷体_GB2312" w:hAnsi="楷体_GB2312" w:eastAsia="楷体_GB2312" w:cs="楷体_GB2312"/>
          <w:spacing w:val="-4"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“塔二”项目贷款还利息项目预算安排总额为0.079185万元。其中财政资金0.079185万元，自筹资金0万元，2018年实际收到预算资金0.079185万元</w:t>
      </w:r>
    </w:p>
    <w:p>
      <w:pPr>
        <w:spacing w:line="560" w:lineRule="exact"/>
        <w:ind w:firstLine="761" w:firstLineChars="243"/>
        <w:rPr>
          <w:rStyle w:val="16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6"/>
          <w:rFonts w:hint="eastAsia" w:ascii="楷体_GB2312" w:hAnsi="楷体_GB2312" w:eastAsia="楷体_GB2312" w:cs="楷体_GB2312"/>
          <w:spacing w:val="-4"/>
          <w:sz w:val="32"/>
          <w:szCs w:val="32"/>
        </w:rPr>
        <w:t>（二）项目资金实际使用情况分析</w:t>
      </w:r>
    </w:p>
    <w:p>
      <w:pPr>
        <w:spacing w:line="560" w:lineRule="exact"/>
        <w:ind w:firstLine="777" w:firstLineChars="243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资金的到位后，单位根据项目的实际情况，单位严格执行项目专项资金的使用管理费办法，通过财政直接支付1次性付清。“塔二”项目贷款还利息项目实际支付资金0.079185万元，预算执行率100%。项目资金主要用于主要用于单位还贷款利息0.079185万元。</w:t>
      </w:r>
    </w:p>
    <w:p>
      <w:pPr>
        <w:spacing w:line="560" w:lineRule="exact"/>
        <w:ind w:firstLine="761" w:firstLineChars="243"/>
        <w:rPr>
          <w:rStyle w:val="16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6"/>
          <w:rFonts w:hint="eastAsia" w:ascii="楷体_GB2312" w:hAnsi="楷体_GB2312" w:eastAsia="楷体_GB2312" w:cs="楷体_GB2312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640" w:firstLineChars="200"/>
        <w:rPr>
          <w:rStyle w:val="16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单位结合项目执行的相关条件，把项目按照其执行政最小分解，严格的开展事前计划，事中管理，事后督查的工作方式。同时加强业务的管理，严格执行各类法律法规，保险项目资金的安全科学的使用。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支出符合行政事业单位项目工作经费相关财务管理制度，包括会计人员按照预算直接支付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spacing w:line="560" w:lineRule="exact"/>
        <w:ind w:firstLine="640"/>
        <w:rPr>
          <w:rStyle w:val="1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spacing w:line="560" w:lineRule="exact"/>
        <w:ind w:firstLine="761" w:firstLineChars="243"/>
        <w:rPr>
          <w:rStyle w:val="16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6"/>
          <w:rFonts w:hint="eastAsia" w:ascii="楷体_GB2312" w:hAnsi="楷体_GB2312" w:eastAsia="楷体_GB2312" w:cs="楷体_GB2312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“塔二”项目贷款还利息项目属于经常性还利息类项目,不是招投标类项目,由本单位自行组织实施。实施过程均按照本单位制定的管理制度执行。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因为本项目是保障单位还贷款利息，本项目不存在检查验收程序。</w:t>
      </w:r>
    </w:p>
    <w:p>
      <w:pPr>
        <w:spacing w:line="560" w:lineRule="exact"/>
        <w:ind w:firstLine="761" w:firstLineChars="243"/>
        <w:rPr>
          <w:rStyle w:val="16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6"/>
          <w:rFonts w:hint="eastAsia" w:ascii="楷体_GB2312" w:hAnsi="楷体_GB2312" w:eastAsia="楷体_GB2312" w:cs="楷体_GB2312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Style w:val="16"/>
          <w:rFonts w:ascii="仿宋" w:hAnsi="仿宋" w:eastAsia="仿宋" w:cs="仿宋"/>
          <w:b w:val="0"/>
          <w:color w:val="FF000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塔二”项目贷款还利息项目实施过程中，严格根据单位相关业务工作操作规范实施。项目的实施遵守相关法律法规和业务管理规定，做好项目督导工作。对检查过程中发现的问题及时督促整改，确保了项目按时保质完成。</w:t>
      </w:r>
    </w:p>
    <w:p>
      <w:pPr>
        <w:spacing w:line="560" w:lineRule="exact"/>
        <w:ind w:firstLine="640"/>
        <w:rPr>
          <w:rStyle w:val="16"/>
          <w:rFonts w:ascii="黑体" w:hAnsi="黑体" w:eastAsia="黑体" w:cs="黑体"/>
        </w:rPr>
      </w:pPr>
      <w:r>
        <w:rPr>
          <w:rStyle w:val="16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spacing w:line="560" w:lineRule="exact"/>
        <w:ind w:firstLine="761" w:firstLineChars="243"/>
        <w:rPr>
          <w:rFonts w:ascii="楷体_GB2312" w:hAnsi="楷体_GB2312" w:eastAsia="楷体_GB2312" w:cs="楷体_GB2312"/>
          <w:b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（一）项目绩效目标完成情况分析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由于项目在2018年度资金到位0.079185万元，为了保证执行的正确性，资金使用的安全，单位严格按照专项资金的管理办法开展工作，全面完成项目工作，资金的100%使用率。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本项目共设置一级指标3个，二级指标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个，三级指标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个，其中已完成三级指标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个，指标完成率为100%。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经济性：单位能过财政直接支付，1次性还利息，保障了项目的执行完成。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效率性：单位认真的开展项目执行工作，各项指标都按时完成，保障项目执行效率。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效益性：通过项目的执行，解决了单位欠贷款利息的问题，降低单位运行成本。</w:t>
      </w:r>
    </w:p>
    <w:p>
      <w:pPr>
        <w:spacing w:line="560" w:lineRule="exact"/>
        <w:ind w:firstLine="758" w:firstLineChars="242"/>
        <w:rPr>
          <w:rFonts w:ascii="楷体_GB2312" w:hAnsi="楷体_GB2312" w:eastAsia="楷体_GB2312" w:cs="楷体_GB2312"/>
          <w:b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（二）项目绩效目标未完成原因分析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2018年本项目绩效目标全部达成，不存在未完成原因分析。</w:t>
      </w:r>
    </w:p>
    <w:p>
      <w:pPr>
        <w:spacing w:line="560" w:lineRule="exact"/>
        <w:ind w:firstLine="640"/>
        <w:rPr>
          <w:rStyle w:val="1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spacing w:line="560" w:lineRule="exact"/>
        <w:ind w:firstLine="755" w:firstLineChars="242"/>
        <w:rPr>
          <w:rFonts w:ascii="仿宋" w:hAnsi="仿宋" w:eastAsia="仿宋" w:cs="仿宋"/>
          <w:b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755" w:firstLineChars="242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单位计划在2019年开展项目后期管理工作，并严格认真执行项目事后督导。</w:t>
      </w:r>
    </w:p>
    <w:p>
      <w:pPr>
        <w:spacing w:line="560" w:lineRule="exact"/>
        <w:ind w:firstLine="758" w:firstLineChars="242"/>
        <w:rPr>
          <w:rFonts w:ascii="楷体_GB2312" w:hAnsi="楷体_GB2312" w:eastAsia="楷体_GB2312" w:cs="楷体_GB2312"/>
          <w:b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（二）主要经验及做法、存在问题和建议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主要经验及做法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项目在执行过程中，组织相关业务工作人员，全面学习项目的相关文件，结合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单位实际情况，分析项目执行各个阶段，科学的计划，严格的执行，确保项目达到预期各类目标。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2、存在的问题</w:t>
      </w:r>
    </w:p>
    <w:p>
      <w:pPr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无</w:t>
      </w:r>
    </w:p>
    <w:p>
      <w:pPr>
        <w:ind w:firstLine="640"/>
        <w:rPr>
          <w:rFonts w:hint="eastAsia"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3、建议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无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_GB2312" w:hAnsi="楷体_GB2312" w:eastAsia="楷体_GB2312" w:cs="楷体_GB2312"/>
          <w:b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（三）其他</w:t>
      </w:r>
    </w:p>
    <w:p>
      <w:pPr>
        <w:spacing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无其他说明内容</w:t>
      </w:r>
    </w:p>
    <w:p>
      <w:pPr>
        <w:spacing w:line="560" w:lineRule="exact"/>
        <w:ind w:firstLine="640"/>
        <w:rPr>
          <w:rStyle w:val="1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次评价通过文件研读、实地调研、数据分析等方式，全面了“塔二”项目贷款还利息项目资金的使用效率和效果，项目管理过程是严格执行相关的管理办法，通过单位的工作人员的努力工作完成了预期绩效目标。同时，通过开展本项目的自我评价，发现单位在业务工作经费的支付管理还存在科学规范，合理规化降低成本的可能，为单位农业业务经费项目今后的开展提供参考建议。</w:t>
      </w:r>
    </w:p>
    <w:p>
      <w:pPr>
        <w:spacing w:line="560" w:lineRule="exact"/>
        <w:ind w:firstLine="640"/>
        <w:rPr>
          <w:rStyle w:val="1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spacing w:line="560" w:lineRule="exact"/>
        <w:ind w:firstLine="640"/>
        <w:rPr>
          <w:rStyle w:val="16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6"/>
          <w:rFonts w:hint="eastAsia" w:ascii="仿宋" w:hAnsi="仿宋" w:eastAsia="仿宋" w:cs="仿宋"/>
          <w:b w:val="0"/>
          <w:spacing w:val="-4"/>
          <w:sz w:val="32"/>
          <w:szCs w:val="32"/>
        </w:rPr>
        <w:t>《项目支出绩效目标自评表》</w:t>
      </w:r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11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57555262">
    <w:nsid w:val="0F59FB3E"/>
    <w:multiLevelType w:val="singleLevel"/>
    <w:tmpl w:val="0F59FB3E"/>
    <w:lvl w:ilvl="0" w:tentative="1">
      <w:start w:val="1"/>
      <w:numFmt w:val="decimal"/>
      <w:suff w:val="nothing"/>
      <w:lvlText w:val="%1、"/>
      <w:lvlJc w:val="left"/>
    </w:lvl>
  </w:abstractNum>
  <w:num w:numId="1">
    <w:abstractNumId w:val="2575552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2D3C47"/>
    <w:rsid w:val="005162F1"/>
    <w:rsid w:val="00535153"/>
    <w:rsid w:val="005F685B"/>
    <w:rsid w:val="0078025E"/>
    <w:rsid w:val="00855E3A"/>
    <w:rsid w:val="00922CB9"/>
    <w:rsid w:val="00A26421"/>
    <w:rsid w:val="00A4293B"/>
    <w:rsid w:val="00A83250"/>
    <w:rsid w:val="00AC1C86"/>
    <w:rsid w:val="00B15971"/>
    <w:rsid w:val="00B41F61"/>
    <w:rsid w:val="00C56C72"/>
    <w:rsid w:val="00CA6457"/>
    <w:rsid w:val="00D17F2E"/>
    <w:rsid w:val="00D57BFF"/>
    <w:rsid w:val="00E769FE"/>
    <w:rsid w:val="00EA2CBE"/>
    <w:rsid w:val="00F32FEE"/>
    <w:rsid w:val="00F4240F"/>
    <w:rsid w:val="02B24DA4"/>
    <w:rsid w:val="07CD41F1"/>
    <w:rsid w:val="0F020E1E"/>
    <w:rsid w:val="15B220FD"/>
    <w:rsid w:val="16FD67FD"/>
    <w:rsid w:val="24D27DF6"/>
    <w:rsid w:val="2A372DEE"/>
    <w:rsid w:val="2A7A4268"/>
    <w:rsid w:val="2DAE05B9"/>
    <w:rsid w:val="2EBD3004"/>
    <w:rsid w:val="31F14A8D"/>
    <w:rsid w:val="321A5122"/>
    <w:rsid w:val="33FA3C75"/>
    <w:rsid w:val="36C01D02"/>
    <w:rsid w:val="3BFF60A9"/>
    <w:rsid w:val="3CBC33C3"/>
    <w:rsid w:val="3F124547"/>
    <w:rsid w:val="40406E1A"/>
    <w:rsid w:val="42C251E8"/>
    <w:rsid w:val="44A74503"/>
    <w:rsid w:val="47336273"/>
    <w:rsid w:val="47E35BAE"/>
    <w:rsid w:val="4BAF2ABF"/>
    <w:rsid w:val="4F4B3A75"/>
    <w:rsid w:val="53F653B7"/>
    <w:rsid w:val="5993554D"/>
    <w:rsid w:val="5C1E2981"/>
    <w:rsid w:val="5DDA47A6"/>
    <w:rsid w:val="66CB1C36"/>
    <w:rsid w:val="681156AB"/>
    <w:rsid w:val="6A8874B5"/>
    <w:rsid w:val="7B426820"/>
    <w:rsid w:val="7C5745F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3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5">
    <w:name w:val="Default Paragraph Font"/>
    <w:unhideWhenUsed/>
    <w:qFormat/>
    <w:uiPriority w:val="1"/>
  </w:style>
  <w:style w:type="table" w:default="1" w:styleId="1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2">
    <w:name w:val="header"/>
    <w:basedOn w:val="1"/>
    <w:link w:val="4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3">
    <w:name w:val="Subtitle"/>
    <w:basedOn w:val="1"/>
    <w:next w:val="1"/>
    <w:link w:val="29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4">
    <w:name w:val="Title"/>
    <w:basedOn w:val="1"/>
    <w:next w:val="1"/>
    <w:link w:val="28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6">
    <w:name w:val="Strong"/>
    <w:basedOn w:val="15"/>
    <w:qFormat/>
    <w:uiPriority w:val="0"/>
    <w:rPr>
      <w:b/>
      <w:bCs/>
    </w:rPr>
  </w:style>
  <w:style w:type="character" w:styleId="17">
    <w:name w:val="Emphasis"/>
    <w:basedOn w:val="15"/>
    <w:qFormat/>
    <w:uiPriority w:val="20"/>
    <w:rPr>
      <w:rFonts w:asciiTheme="minorHAnsi" w:hAnsiTheme="minorHAnsi"/>
      <w:b/>
      <w:i/>
      <w:iCs/>
    </w:rPr>
  </w:style>
  <w:style w:type="character" w:customStyle="1" w:styleId="19">
    <w:name w:val="标题 1 Char"/>
    <w:basedOn w:val="15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0">
    <w:name w:val="标题 2 Char"/>
    <w:basedOn w:val="15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1">
    <w:name w:val="标题 3 Char"/>
    <w:basedOn w:val="15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2">
    <w:name w:val="标题 4 Char"/>
    <w:basedOn w:val="15"/>
    <w:link w:val="5"/>
    <w:semiHidden/>
    <w:qFormat/>
    <w:uiPriority w:val="9"/>
    <w:rPr>
      <w:b/>
      <w:bCs/>
      <w:sz w:val="28"/>
      <w:szCs w:val="28"/>
    </w:rPr>
  </w:style>
  <w:style w:type="character" w:customStyle="1" w:styleId="23">
    <w:name w:val="标题 5 Char"/>
    <w:basedOn w:val="15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4">
    <w:name w:val="标题 6 Char"/>
    <w:basedOn w:val="15"/>
    <w:link w:val="7"/>
    <w:semiHidden/>
    <w:qFormat/>
    <w:uiPriority w:val="9"/>
    <w:rPr>
      <w:b/>
      <w:bCs/>
    </w:rPr>
  </w:style>
  <w:style w:type="character" w:customStyle="1" w:styleId="25">
    <w:name w:val="标题 7 Char"/>
    <w:basedOn w:val="15"/>
    <w:link w:val="8"/>
    <w:semiHidden/>
    <w:qFormat/>
    <w:uiPriority w:val="9"/>
    <w:rPr>
      <w:sz w:val="24"/>
      <w:szCs w:val="24"/>
    </w:rPr>
  </w:style>
  <w:style w:type="character" w:customStyle="1" w:styleId="26">
    <w:name w:val="标题 8 Char"/>
    <w:basedOn w:val="15"/>
    <w:link w:val="9"/>
    <w:semiHidden/>
    <w:qFormat/>
    <w:uiPriority w:val="9"/>
    <w:rPr>
      <w:i/>
      <w:iCs/>
      <w:sz w:val="24"/>
      <w:szCs w:val="24"/>
    </w:rPr>
  </w:style>
  <w:style w:type="character" w:customStyle="1" w:styleId="27">
    <w:name w:val="标题 9 Char"/>
    <w:basedOn w:val="15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8">
    <w:name w:val="标题 Char"/>
    <w:basedOn w:val="15"/>
    <w:link w:val="14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29">
    <w:name w:val="副标题 Char"/>
    <w:basedOn w:val="15"/>
    <w:link w:val="13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0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1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2">
    <w:name w:val="Quote"/>
    <w:basedOn w:val="1"/>
    <w:next w:val="1"/>
    <w:link w:val="33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3">
    <w:name w:val="引用 Char"/>
    <w:basedOn w:val="15"/>
    <w:link w:val="32"/>
    <w:qFormat/>
    <w:uiPriority w:val="29"/>
    <w:rPr>
      <w:i/>
      <w:sz w:val="24"/>
      <w:szCs w:val="24"/>
    </w:rPr>
  </w:style>
  <w:style w:type="paragraph" w:customStyle="1" w:styleId="34">
    <w:name w:val="Intense Quote"/>
    <w:basedOn w:val="1"/>
    <w:next w:val="1"/>
    <w:link w:val="35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5">
    <w:name w:val="明显引用 Char"/>
    <w:basedOn w:val="15"/>
    <w:link w:val="34"/>
    <w:qFormat/>
    <w:uiPriority w:val="30"/>
    <w:rPr>
      <w:b/>
      <w:i/>
      <w:sz w:val="24"/>
    </w:rPr>
  </w:style>
  <w:style w:type="character" w:customStyle="1" w:styleId="36">
    <w:name w:val="不明显强调1"/>
    <w:qFormat/>
    <w:uiPriority w:val="19"/>
    <w:rPr>
      <w:i/>
      <w:color w:val="585858" w:themeColor="text1" w:themeTint="A6"/>
    </w:rPr>
  </w:style>
  <w:style w:type="character" w:customStyle="1" w:styleId="37">
    <w:name w:val="明显强调1"/>
    <w:basedOn w:val="15"/>
    <w:qFormat/>
    <w:uiPriority w:val="21"/>
    <w:rPr>
      <w:b/>
      <w:i/>
      <w:sz w:val="24"/>
      <w:szCs w:val="24"/>
      <w:u w:val="single"/>
    </w:rPr>
  </w:style>
  <w:style w:type="character" w:customStyle="1" w:styleId="38">
    <w:name w:val="不明显参考1"/>
    <w:basedOn w:val="15"/>
    <w:qFormat/>
    <w:uiPriority w:val="31"/>
    <w:rPr>
      <w:sz w:val="24"/>
      <w:szCs w:val="24"/>
      <w:u w:val="single"/>
    </w:rPr>
  </w:style>
  <w:style w:type="character" w:customStyle="1" w:styleId="39">
    <w:name w:val="明显参考1"/>
    <w:basedOn w:val="15"/>
    <w:qFormat/>
    <w:uiPriority w:val="32"/>
    <w:rPr>
      <w:b/>
      <w:sz w:val="24"/>
      <w:u w:val="single"/>
    </w:rPr>
  </w:style>
  <w:style w:type="character" w:customStyle="1" w:styleId="40">
    <w:name w:val="书籍标题1"/>
    <w:basedOn w:val="15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1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2">
    <w:name w:val="页眉 Char"/>
    <w:basedOn w:val="15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3">
    <w:name w:val="页脚 Char"/>
    <w:basedOn w:val="15"/>
    <w:link w:val="11"/>
    <w:qFormat/>
    <w:uiPriority w:val="99"/>
    <w:rPr>
      <w:rFonts w:ascii="Calibri" w:hAnsi="Calibri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308</Words>
  <Characters>1756</Characters>
  <Lines>14</Lines>
  <Paragraphs>4</Paragraphs>
  <TotalTime>0</TotalTime>
  <ScaleCrop>false</ScaleCrop>
  <LinksUpToDate>false</LinksUpToDate>
  <CharactersWithSpaces>2060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腊晓林</cp:lastModifiedBy>
  <cp:lastPrinted>2018-12-23T06:01:00Z</cp:lastPrinted>
  <dcterms:modified xsi:type="dcterms:W3CDTF">2019-08-25T08:53:44Z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