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hAnsi="宋体" w:eastAsia="仿宋_GB2312" w:cs="宋体"/>
          <w:kern w:val="0"/>
          <w:sz w:val="30"/>
          <w:szCs w:val="30"/>
        </w:rPr>
      </w:pPr>
      <w:r>
        <w:rPr>
          <w:rFonts w:hAnsi="宋体" w:eastAsia="仿宋_GB2312" w:cs="宋体"/>
          <w:kern w:val="0"/>
          <w:sz w:val="30"/>
          <w:szCs w:val="30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hAnsi="宋体" w:eastAsia="仿宋_GB2312" w:cs="宋体"/>
          <w:kern w:val="0"/>
          <w:sz w:val="30"/>
          <w:szCs w:val="30"/>
          <w:lang w:eastAsia="zh-CN"/>
        </w:rPr>
        <w:instrText xml:space="preserve">ADDIN CNKISM.UserStyle</w:instrText>
      </w:r>
      <w:r>
        <w:rPr>
          <w:rFonts w:hAnsi="宋体" w:eastAsia="仿宋_GB2312" w:cs="宋体"/>
          <w:kern w:val="0"/>
          <w:sz w:val="30"/>
          <w:szCs w:val="30"/>
        </w:rPr>
        <w:fldChar w:fldCharType="separate"/>
      </w:r>
      <w:r>
        <w:rPr>
          <w:rFonts w:hAnsi="宋体" w:eastAsia="仿宋_GB2312" w:cs="宋体"/>
          <w:kern w:val="0"/>
          <w:sz w:val="30"/>
          <w:szCs w:val="30"/>
        </w:rPr>
        <w:fldChar w:fldCharType="end"/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黑体" w:hAnsi="黑体" w:eastAsia="黑体" w:cs="黑体"/>
          <w:b/>
          <w:kern w:val="0"/>
          <w:sz w:val="52"/>
          <w:szCs w:val="52"/>
        </w:rPr>
      </w:pPr>
      <w:r>
        <w:rPr>
          <w:rFonts w:hint="eastAsia" w:ascii="黑体" w:hAnsi="黑体" w:eastAsia="黑体" w:cs="黑体"/>
          <w:b/>
          <w:kern w:val="0"/>
          <w:sz w:val="52"/>
          <w:szCs w:val="52"/>
        </w:rPr>
        <w:t>新疆财政支出绩效自评报告</w:t>
      </w:r>
    </w:p>
    <w:p>
      <w:pPr>
        <w:spacing w:line="540" w:lineRule="exact"/>
        <w:jc w:val="center"/>
        <w:rPr>
          <w:rFonts w:ascii="黑体" w:hAnsi="黑体" w:eastAsia="黑体" w:cs="黑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（   2018  年度）</w:t>
      </w:r>
    </w:p>
    <w:p>
      <w:pPr>
        <w:spacing w:line="540" w:lineRule="exact"/>
        <w:jc w:val="center"/>
        <w:rPr>
          <w:rFonts w:ascii="仿宋" w:hAnsi="仿宋" w:eastAsia="仿宋" w:cs="仿宋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仿宋" w:hAnsi="仿宋" w:eastAsia="仿宋" w:cs="仿宋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仿宋" w:hAnsi="仿宋" w:eastAsia="仿宋" w:cs="仿宋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仿宋" w:hAnsi="仿宋" w:eastAsia="仿宋" w:cs="仿宋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仿宋" w:hAnsi="仿宋" w:eastAsia="仿宋" w:cs="仿宋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仿宋" w:hAnsi="仿宋" w:eastAsia="仿宋" w:cs="仿宋"/>
          <w:kern w:val="0"/>
          <w:sz w:val="30"/>
          <w:szCs w:val="30"/>
        </w:rPr>
      </w:pPr>
    </w:p>
    <w:p>
      <w:pPr>
        <w:spacing w:line="540" w:lineRule="exact"/>
        <w:rPr>
          <w:rFonts w:ascii="仿宋" w:hAnsi="仿宋" w:eastAsia="仿宋" w:cs="仿宋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 xml:space="preserve">     项目名称：农产品质检中心运行检测“双认证”项目</w:t>
      </w:r>
    </w:p>
    <w:p>
      <w:pPr>
        <w:spacing w:line="700" w:lineRule="exact"/>
        <w:jc w:val="left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 xml:space="preserve">     实施单位（公章）：喀什地区农业局</w:t>
      </w:r>
    </w:p>
    <w:p>
      <w:pPr>
        <w:spacing w:line="700" w:lineRule="exact"/>
        <w:ind w:firstLine="850" w:firstLineChars="236"/>
        <w:jc w:val="left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自治区主管部门（公章）：</w:t>
      </w:r>
    </w:p>
    <w:p>
      <w:pPr>
        <w:spacing w:line="700" w:lineRule="exact"/>
        <w:ind w:firstLine="850" w:firstLineChars="236"/>
        <w:jc w:val="left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 聂路云</w:t>
      </w:r>
    </w:p>
    <w:p>
      <w:pPr>
        <w:spacing w:line="700" w:lineRule="exact"/>
        <w:ind w:firstLine="850" w:firstLineChars="236"/>
        <w:jc w:val="left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填报时间：2018年12月19日</w:t>
      </w:r>
    </w:p>
    <w:p>
      <w:pPr>
        <w:spacing w:line="540" w:lineRule="exact"/>
        <w:jc w:val="center"/>
        <w:rPr>
          <w:rFonts w:ascii="仿宋" w:hAnsi="仿宋" w:eastAsia="仿宋" w:cs="仿宋"/>
          <w:kern w:val="0"/>
          <w:sz w:val="30"/>
          <w:szCs w:val="30"/>
        </w:rPr>
      </w:pPr>
    </w:p>
    <w:p>
      <w:pPr>
        <w:spacing w:line="540" w:lineRule="exact"/>
        <w:rPr>
          <w:rFonts w:ascii="仿宋" w:hAnsi="仿宋" w:eastAsia="仿宋" w:cs="仿宋"/>
          <w:kern w:val="0"/>
          <w:sz w:val="30"/>
          <w:szCs w:val="30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540" w:lineRule="exact"/>
        <w:rPr>
          <w:rFonts w:ascii="仿宋" w:hAnsi="仿宋" w:eastAsia="仿宋" w:cs="仿宋"/>
          <w:kern w:val="0"/>
          <w:sz w:val="30"/>
          <w:szCs w:val="30"/>
        </w:rPr>
      </w:pPr>
    </w:p>
    <w:p>
      <w:pPr>
        <w:spacing w:line="540" w:lineRule="exact"/>
        <w:ind w:firstLine="640"/>
        <w:rPr>
          <w:rStyle w:val="1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 w:cs="黑体"/>
          <w:b w:val="0"/>
          <w:spacing w:val="-4"/>
          <w:sz w:val="32"/>
          <w:szCs w:val="32"/>
        </w:rPr>
        <w:t>一、项目概况</w:t>
      </w:r>
    </w:p>
    <w:p>
      <w:pPr>
        <w:spacing w:line="540" w:lineRule="exact"/>
        <w:ind w:firstLine="640"/>
        <w:rPr>
          <w:rStyle w:val="16"/>
          <w:rFonts w:ascii="楷体_GB2312" w:hAnsi="楷体_GB2312" w:eastAsia="楷体_GB2312" w:cs="楷体_GB2312"/>
          <w:spacing w:val="-4"/>
          <w:sz w:val="32"/>
          <w:szCs w:val="32"/>
        </w:rPr>
      </w:pPr>
      <w:r>
        <w:rPr>
          <w:rStyle w:val="16"/>
          <w:rFonts w:hint="eastAsia" w:ascii="楷体_GB2312" w:hAnsi="楷体_GB2312" w:eastAsia="楷体_GB2312" w:cs="楷体_GB2312"/>
          <w:spacing w:val="-4"/>
          <w:sz w:val="32"/>
          <w:szCs w:val="32"/>
        </w:rPr>
        <w:t>（一）项目单位基本情况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喀什地区农业局是</w:t>
      </w:r>
      <w:r>
        <w:rPr>
          <w:rFonts w:hint="eastAsia" w:ascii="仿宋" w:hAnsi="仿宋" w:eastAsia="仿宋" w:cs="仿宋"/>
          <w:sz w:val="32"/>
          <w:szCs w:val="32"/>
        </w:rPr>
        <w:t>行政单位，单位法人冯军祥，2018年人员编制共计61人，其中：行政编制26人，事业编制 35人，工勤编制6人。按地区编办的批复，本单位共设置7个科室（中心），单位主要职能：贯彻执行国家和自治区农业和农村经济工作方针、政策，法律、法规；拟定地区农业和农村经济发展政策、战略、中长期发展规划并组织实施。研究提出深化农村经济体制改革的意见；指导粮食、蔬菜、西甜瓜、特色作物等地区主要农产品生产，组织落实促进主要农产品生产发展的相关要求措施。指导粮食、蔬菜、西甜瓜、特色作物等地区主要农产品生产，组织落实促进主要农产品生产发展的相关要求措施等。</w:t>
      </w:r>
    </w:p>
    <w:p>
      <w:pPr>
        <w:spacing w:line="540" w:lineRule="exact"/>
        <w:ind w:firstLine="627" w:firstLineChars="200"/>
        <w:rPr>
          <w:rStyle w:val="16"/>
          <w:rFonts w:ascii="楷体_GB2312" w:hAnsi="楷体_GB2312" w:eastAsia="楷体_GB2312" w:cs="楷体_GB2312"/>
          <w:spacing w:val="-4"/>
          <w:sz w:val="32"/>
          <w:szCs w:val="32"/>
        </w:rPr>
      </w:pPr>
      <w:r>
        <w:rPr>
          <w:rStyle w:val="16"/>
          <w:rFonts w:hint="eastAsia" w:ascii="楷体_GB2312" w:hAnsi="楷体_GB2312" w:eastAsia="楷体_GB2312" w:cs="楷体_GB2312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 w:cs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-4"/>
          <w:sz w:val="32"/>
          <w:szCs w:val="32"/>
        </w:rPr>
        <w:t>1、项目预期目标及阶段性目标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农产品质检中心运行检测“双认证”项目(农业类）绩效目标:开展对12个县市农产品质量安全检测工作实情况检查，加强全区农产品开展农药残留定量检测，努力做到在2018年12月15日完成，完成开展对12个县市农产品质量安全检测工作实情况检查次数12次，全区农产品开展农药残留定量检测2次，达到农产品质量安全检测率大于等于95%，农药残留定量检测合格率大于等于97%，严格控制业务工作成本在20万元，及时为全区农产品质量安全监管工作提供有效科学依据，确保农业生产可持续发展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 w:cs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-4"/>
          <w:sz w:val="32"/>
          <w:szCs w:val="32"/>
        </w:rPr>
        <w:t>2、项目基本性质</w:t>
      </w:r>
    </w:p>
    <w:p>
      <w:pPr>
        <w:spacing w:line="54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本项目性质为延续项目。</w:t>
      </w:r>
    </w:p>
    <w:p>
      <w:pPr>
        <w:adjustRightInd w:val="0"/>
        <w:snapToGrid w:val="0"/>
        <w:spacing w:line="560" w:lineRule="exact"/>
        <w:ind w:firstLine="627" w:firstLineChars="200"/>
        <w:rPr>
          <w:rFonts w:ascii="仿宋" w:hAnsi="仿宋" w:eastAsia="仿宋" w:cs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-4"/>
          <w:sz w:val="32"/>
          <w:szCs w:val="32"/>
        </w:rPr>
        <w:t>3、项目用途及范围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农产品质检中心运行检测“双认证”项目(农业类）20万元，其中：2018年农产品质量安全检测工作经费10万元，农产品开展农药残留定量检测工作经费10万元。主要用于开展全区2018年农产品质量安全检测工作业务指导，农产品开展农药残留定量检测工作业务指导，保障项目的正确的执行。</w:t>
      </w:r>
    </w:p>
    <w:p>
      <w:pPr>
        <w:spacing w:line="540" w:lineRule="exact"/>
        <w:ind w:firstLine="640"/>
        <w:rPr>
          <w:rStyle w:val="1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 w:cs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40" w:lineRule="exact"/>
        <w:ind w:firstLine="761" w:firstLineChars="243"/>
        <w:rPr>
          <w:rStyle w:val="16"/>
          <w:rFonts w:ascii="楷体_GB2312" w:hAnsi="楷体_GB2312" w:eastAsia="楷体_GB2312" w:cs="楷体_GB2312"/>
          <w:spacing w:val="-4"/>
          <w:sz w:val="32"/>
          <w:szCs w:val="32"/>
        </w:rPr>
      </w:pPr>
      <w:r>
        <w:rPr>
          <w:rStyle w:val="16"/>
          <w:rFonts w:hint="eastAsia" w:ascii="楷体_GB2312" w:hAnsi="楷体_GB2312" w:eastAsia="楷体_GB2312" w:cs="楷体_GB2312"/>
          <w:spacing w:val="-4"/>
          <w:sz w:val="32"/>
          <w:szCs w:val="32"/>
        </w:rPr>
        <w:t>（一）项目资金安排落实、总投入等情况分析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农产品质检中心运行检测“双认证”项目(农业类）预算安排总额为20万元。其中财政资金20万元，自筹资金0万元，2018年实际收到预算资金20万元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540" w:lineRule="exact"/>
        <w:ind w:firstLine="761" w:firstLineChars="243"/>
        <w:rPr>
          <w:rStyle w:val="16"/>
          <w:rFonts w:ascii="楷体_GB2312" w:hAnsi="楷体_GB2312" w:eastAsia="楷体_GB2312" w:cs="楷体_GB2312"/>
          <w:spacing w:val="-4"/>
          <w:sz w:val="32"/>
          <w:szCs w:val="32"/>
        </w:rPr>
      </w:pPr>
      <w:r>
        <w:rPr>
          <w:rStyle w:val="16"/>
          <w:rFonts w:hint="eastAsia" w:ascii="楷体_GB2312" w:hAnsi="楷体_GB2312" w:eastAsia="楷体_GB2312" w:cs="楷体_GB2312"/>
          <w:spacing w:val="-4"/>
          <w:sz w:val="32"/>
          <w:szCs w:val="32"/>
        </w:rPr>
        <w:t>（二）项目资金实际使用情况分析</w:t>
      </w:r>
    </w:p>
    <w:p>
      <w:pPr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资金的到位后，单位根据项目的实际情况，单位严格执行项目专项资金的使用管理费办法，按照项目的执行情况科学的、规范的和有序支付资金。农产品质检中心运行检测“双认证”项目(农业类）实际支付资金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18.59</w:t>
      </w:r>
      <w:r>
        <w:rPr>
          <w:rFonts w:hint="eastAsia" w:ascii="仿宋" w:hAnsi="仿宋" w:eastAsia="仿宋" w:cs="仿宋"/>
          <w:sz w:val="32"/>
          <w:szCs w:val="32"/>
        </w:rPr>
        <w:t>万元，预算执行率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92.95</w:t>
      </w:r>
      <w:r>
        <w:rPr>
          <w:rFonts w:hint="eastAsia" w:ascii="仿宋" w:hAnsi="仿宋" w:eastAsia="仿宋" w:cs="仿宋"/>
          <w:sz w:val="32"/>
          <w:szCs w:val="32"/>
        </w:rPr>
        <w:t>%。项目资金主要用于2018年农产品质量安全检测工作经费</w:t>
      </w:r>
      <w:r>
        <w:rPr>
          <w:rFonts w:ascii="仿宋" w:hAnsi="仿宋" w:eastAsia="仿宋" w:cs="仿宋"/>
          <w:sz w:val="32"/>
          <w:szCs w:val="32"/>
        </w:rPr>
        <w:t>8.5942</w:t>
      </w:r>
      <w:r>
        <w:rPr>
          <w:rFonts w:hint="eastAsia" w:ascii="仿宋" w:hAnsi="仿宋" w:eastAsia="仿宋" w:cs="仿宋"/>
          <w:sz w:val="32"/>
          <w:szCs w:val="32"/>
        </w:rPr>
        <w:t>万元、农产品开展农药残留定量检测工作经费10万元。</w:t>
      </w:r>
    </w:p>
    <w:p>
      <w:pPr>
        <w:spacing w:line="540" w:lineRule="exact"/>
        <w:ind w:firstLine="761" w:firstLineChars="243"/>
        <w:rPr>
          <w:rStyle w:val="16"/>
          <w:rFonts w:ascii="楷体_GB2312" w:hAnsi="楷体_GB2312" w:eastAsia="楷体_GB2312" w:cs="楷体_GB2312"/>
          <w:spacing w:val="-4"/>
          <w:sz w:val="32"/>
          <w:szCs w:val="32"/>
        </w:rPr>
      </w:pPr>
      <w:r>
        <w:rPr>
          <w:rStyle w:val="16"/>
          <w:rFonts w:hint="eastAsia" w:ascii="楷体_GB2312" w:hAnsi="楷体_GB2312" w:eastAsia="楷体_GB2312" w:cs="楷体_GB2312"/>
          <w:spacing w:val="-4"/>
          <w:sz w:val="32"/>
          <w:szCs w:val="32"/>
        </w:rPr>
        <w:t>（三）项目资金管理情况分析</w:t>
      </w:r>
    </w:p>
    <w:p>
      <w:pPr>
        <w:spacing w:line="540" w:lineRule="exact"/>
        <w:ind w:firstLine="640" w:firstLineChars="200"/>
        <w:rPr>
          <w:rStyle w:val="16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单位结合项目执行的相关条件，把项目按照其执行政最小分解，严格的开展事前计划，事中管理，事后督查的工作方式。同时加强业务的管理，严格执行各类法律法规，保险项目资金的安全科学的使用。</w:t>
      </w:r>
    </w:p>
    <w:p>
      <w:pPr>
        <w:spacing w:line="540" w:lineRule="exact"/>
        <w:ind w:firstLine="640" w:firstLineChars="200"/>
        <w:rPr>
          <w:rStyle w:val="16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支出符合行政事业单位项目工作经费相关财务管理制度，包括会计人员按照预算直接支付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spacing w:line="540" w:lineRule="exact"/>
        <w:ind w:firstLine="640"/>
        <w:rPr>
          <w:rStyle w:val="1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 w:cs="黑体"/>
          <w:b w:val="0"/>
          <w:spacing w:val="-4"/>
          <w:sz w:val="32"/>
          <w:szCs w:val="32"/>
        </w:rPr>
        <w:t>三、项目组织实施情况</w:t>
      </w:r>
    </w:p>
    <w:p>
      <w:pPr>
        <w:spacing w:line="540" w:lineRule="exact"/>
        <w:ind w:firstLine="761" w:firstLineChars="243"/>
        <w:rPr>
          <w:rStyle w:val="16"/>
          <w:rFonts w:ascii="楷体_GB2312" w:hAnsi="楷体_GB2312" w:eastAsia="楷体_GB2312" w:cs="楷体_GB2312"/>
          <w:spacing w:val="-4"/>
          <w:sz w:val="32"/>
          <w:szCs w:val="32"/>
        </w:rPr>
      </w:pPr>
      <w:r>
        <w:rPr>
          <w:rStyle w:val="16"/>
          <w:rFonts w:hint="eastAsia" w:ascii="楷体_GB2312" w:hAnsi="楷体_GB2312" w:eastAsia="楷体_GB2312" w:cs="楷体_GB2312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农产品质检中心运行检测“双认证”项目(农业类）属于经常性工作经费项目,不是招投标类项目,由本单位自行组织实施。实施过程均按照本单位制定的管理制度执行。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因为本项目是保障单位项目业务在本地区业务工作经费，本项目不存在检查验收程序。</w:t>
      </w:r>
    </w:p>
    <w:p>
      <w:pPr>
        <w:spacing w:line="540" w:lineRule="exact"/>
        <w:ind w:firstLine="761" w:firstLineChars="243"/>
        <w:rPr>
          <w:rStyle w:val="16"/>
          <w:rFonts w:ascii="楷体_GB2312" w:hAnsi="楷体_GB2312" w:eastAsia="楷体_GB2312" w:cs="楷体_GB2312"/>
          <w:spacing w:val="-4"/>
          <w:sz w:val="32"/>
          <w:szCs w:val="32"/>
        </w:rPr>
      </w:pPr>
      <w:r>
        <w:rPr>
          <w:rStyle w:val="16"/>
          <w:rFonts w:hint="eastAsia" w:ascii="楷体_GB2312" w:hAnsi="楷体_GB2312" w:eastAsia="楷体_GB2312" w:cs="楷体_GB2312"/>
          <w:spacing w:val="-4"/>
          <w:sz w:val="32"/>
          <w:szCs w:val="32"/>
        </w:rPr>
        <w:t>（二）项目管理情况分析</w:t>
      </w:r>
    </w:p>
    <w:p>
      <w:pPr>
        <w:spacing w:line="540" w:lineRule="exact"/>
        <w:ind w:firstLine="778" w:firstLineChars="243"/>
        <w:rPr>
          <w:rStyle w:val="16"/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农产品质检中心运行检测“双认证”项目(农业类）实施过程中，严格根据单位相关业务工作操作规范实施。项目的实施遵守相关法律法规和业务管理规定，做好项目督导工作。对检查过程中发现的问题及时督促整改，确保了项目按时保质完成。</w:t>
      </w:r>
    </w:p>
    <w:p>
      <w:pPr>
        <w:spacing w:line="540" w:lineRule="exact"/>
        <w:ind w:firstLine="640"/>
        <w:rPr>
          <w:rStyle w:val="16"/>
          <w:rFonts w:ascii="黑体" w:hAnsi="黑体" w:eastAsia="黑体" w:cs="黑体"/>
          <w:sz w:val="32"/>
          <w:szCs w:val="32"/>
        </w:rPr>
      </w:pPr>
      <w:r>
        <w:rPr>
          <w:rStyle w:val="16"/>
          <w:rFonts w:hint="eastAsia" w:ascii="黑体" w:hAnsi="黑体" w:eastAsia="黑体" w:cs="黑体"/>
          <w:b w:val="0"/>
          <w:spacing w:val="-4"/>
          <w:sz w:val="32"/>
          <w:szCs w:val="32"/>
        </w:rPr>
        <w:t>四、项目绩效情况</w:t>
      </w:r>
    </w:p>
    <w:p>
      <w:pPr>
        <w:spacing w:line="540" w:lineRule="exact"/>
        <w:ind w:firstLine="761" w:firstLineChars="243"/>
        <w:rPr>
          <w:rFonts w:ascii="楷体_GB2312" w:hAnsi="楷体_GB2312" w:eastAsia="楷体_GB2312" w:cs="楷体_GB2312"/>
          <w:b/>
          <w:spacing w:val="-4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pacing w:val="-4"/>
          <w:sz w:val="32"/>
          <w:szCs w:val="32"/>
        </w:rPr>
        <w:t>（一）项目绩效目标完成情况分析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本项目共设置一级指标3个，二级指标9个，三级指标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个，其中已完成三级指标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sz w:val="32"/>
          <w:szCs w:val="32"/>
        </w:rPr>
        <w:t>个，指标完成率为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100</w:t>
      </w:r>
      <w:r>
        <w:rPr>
          <w:rFonts w:hint="eastAsia" w:ascii="仿宋" w:hAnsi="仿宋" w:eastAsia="仿宋" w:cs="仿宋"/>
          <w:sz w:val="32"/>
          <w:szCs w:val="32"/>
        </w:rPr>
        <w:t>%。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经济性：开展对12个县市农产品质量安全检测工作实情况检查督导工作经，督促本地区的全区农产品开展农药残留定量检测的开展，通过开展项目指标的管理工作，降底单位的业务工作经费，保障了项目的执行完成。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效率性：单位认真的开展项目执行工作，各项指标都按时完成，保障项目执行效率。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效益性：通过项目的执行，解决了本地区部农药使用不科学的情况，降低农业生产成本，提高农产品质量，同时提高了农民的收入。</w:t>
      </w:r>
    </w:p>
    <w:p>
      <w:pPr>
        <w:spacing w:line="540" w:lineRule="exact"/>
        <w:ind w:firstLine="758" w:firstLineChars="242"/>
        <w:rPr>
          <w:rFonts w:ascii="楷体_GB2312" w:hAnsi="楷体_GB2312" w:eastAsia="楷体_GB2312" w:cs="楷体_GB2312"/>
          <w:b/>
          <w:spacing w:val="-4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pacing w:val="-4"/>
          <w:sz w:val="32"/>
          <w:szCs w:val="32"/>
        </w:rPr>
        <w:t>（二）项目绩效目标未完成原因分析</w:t>
      </w:r>
    </w:p>
    <w:p>
      <w:pPr>
        <w:spacing w:line="54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2018年本项目绩效目标全部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>达成，未执行部分为结余资金，不存在未完成原因。</w:t>
      </w:r>
    </w:p>
    <w:p>
      <w:pPr>
        <w:spacing w:line="540" w:lineRule="exact"/>
        <w:ind w:firstLine="640"/>
        <w:rPr>
          <w:rStyle w:val="1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 w:cs="黑体"/>
          <w:b w:val="0"/>
          <w:spacing w:val="-4"/>
          <w:sz w:val="32"/>
          <w:szCs w:val="32"/>
        </w:rPr>
        <w:t>五、其他需要说明的问题</w:t>
      </w:r>
    </w:p>
    <w:p>
      <w:pPr>
        <w:spacing w:line="540" w:lineRule="exact"/>
        <w:ind w:firstLine="758" w:firstLineChars="242"/>
        <w:rPr>
          <w:rFonts w:ascii="楷体_GB2312" w:hAnsi="楷体_GB2312" w:eastAsia="楷体_GB2312" w:cs="楷体_GB2312"/>
          <w:b/>
          <w:spacing w:val="-4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pacing w:val="-4"/>
          <w:sz w:val="32"/>
          <w:szCs w:val="32"/>
        </w:rPr>
        <w:t>（一）后续工作计划</w:t>
      </w:r>
    </w:p>
    <w:p>
      <w:pPr>
        <w:spacing w:line="540" w:lineRule="exact"/>
        <w:ind w:firstLine="755" w:firstLineChars="242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单位计划在2019年开展项目后期管理工作，并严格认真执行项目事后督导。</w:t>
      </w:r>
    </w:p>
    <w:p>
      <w:pPr>
        <w:spacing w:line="540" w:lineRule="exact"/>
        <w:ind w:firstLine="758" w:firstLineChars="242"/>
        <w:rPr>
          <w:rFonts w:ascii="楷体_GB2312" w:hAnsi="楷体_GB2312" w:eastAsia="楷体_GB2312" w:cs="楷体_GB2312"/>
          <w:b/>
          <w:spacing w:val="-4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pacing w:val="-4"/>
          <w:sz w:val="32"/>
          <w:szCs w:val="32"/>
        </w:rPr>
        <w:t>（二）主要经验及做法、存在问题和建议</w:t>
      </w:r>
    </w:p>
    <w:p>
      <w:pPr>
        <w:adjustRightInd w:val="0"/>
        <w:snapToGrid w:val="0"/>
        <w:spacing w:line="560" w:lineRule="exact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项目在执行过程中，组织相关业务工作人员，全面学习项目的相关文件，结合单位实际情况，分析项目执行各个阶段，科学的计划，严格的执行，确保项目达到预期各类目标。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2、存在的问题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项目执行时要求水平不高,执行时工作业务人员的责任心不强,单位的执行中督导督查力度不够。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3、建议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单位需提高项目管理能力，加强工作人员业务知识培训，组织工作能力强人员加大督导力度。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仿宋" w:hAnsi="仿宋" w:eastAsia="仿宋" w:cs="仿宋"/>
          <w:b/>
          <w:spacing w:val="-4"/>
          <w:sz w:val="32"/>
          <w:szCs w:val="32"/>
        </w:rPr>
      </w:pPr>
      <w:r>
        <w:rPr>
          <w:rFonts w:hint="eastAsia" w:ascii="仿宋" w:hAnsi="仿宋" w:eastAsia="仿宋" w:cs="仿宋"/>
          <w:b/>
          <w:spacing w:val="-4"/>
          <w:sz w:val="32"/>
          <w:szCs w:val="32"/>
        </w:rPr>
        <w:t>（三）其他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无其他说</w:t>
      </w:r>
      <w:r>
        <w:rPr>
          <w:rFonts w:hint="eastAsia" w:ascii="仿宋" w:hAnsi="仿宋" w:eastAsia="仿宋" w:cs="仿宋"/>
          <w:spacing w:val="-4"/>
          <w:sz w:val="32"/>
          <w:szCs w:val="32"/>
        </w:rPr>
        <w:t>明</w:t>
      </w:r>
      <w:r>
        <w:rPr>
          <w:rFonts w:hint="eastAsia" w:ascii="仿宋" w:hAnsi="仿宋" w:eastAsia="仿宋" w:cs="仿宋"/>
          <w:sz w:val="32"/>
          <w:szCs w:val="32"/>
        </w:rPr>
        <w:t>内容。</w:t>
      </w:r>
    </w:p>
    <w:p>
      <w:pPr>
        <w:ind w:firstLine="640"/>
        <w:rPr>
          <w:rStyle w:val="1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 w:cs="黑体"/>
          <w:b w:val="0"/>
          <w:spacing w:val="-4"/>
          <w:sz w:val="32"/>
          <w:szCs w:val="32"/>
        </w:rPr>
        <w:t>六、项目评价工作情况</w:t>
      </w:r>
    </w:p>
    <w:p>
      <w:pPr>
        <w:spacing w:line="54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次评价通过文件研读、实地调研、数据分析等方式，全面了解农产品质检中心运行检测“双认证”项目资金的使用效率和效果，项目管理过程是严格执行相关的管理办法，通过单位的工作人员的努力工作完成了预期绩效目标。同时，通过开展本项目的自我评价，发现单位在业务工作经费的支付管理还存在科学规范，合理规划降低成本的可能，为单位农产品质检中心运行检测“双认证”项目今后的开展提供参考建议。</w:t>
      </w:r>
    </w:p>
    <w:p>
      <w:pPr>
        <w:spacing w:line="540" w:lineRule="exact"/>
        <w:ind w:firstLine="640"/>
        <w:rPr>
          <w:rStyle w:val="1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 w:cs="黑体"/>
          <w:b w:val="0"/>
          <w:spacing w:val="-4"/>
          <w:sz w:val="32"/>
          <w:szCs w:val="32"/>
        </w:rPr>
        <w:t>七、附表</w:t>
      </w:r>
    </w:p>
    <w:p>
      <w:pPr>
        <w:spacing w:line="540" w:lineRule="exact"/>
        <w:ind w:firstLine="640"/>
        <w:rPr>
          <w:rStyle w:val="16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Style w:val="16"/>
          <w:rFonts w:hint="eastAsia" w:ascii="仿宋" w:hAnsi="仿宋" w:eastAsia="仿宋" w:cs="仿宋"/>
          <w:b w:val="0"/>
          <w:spacing w:val="-4"/>
          <w:sz w:val="32"/>
          <w:szCs w:val="32"/>
        </w:rPr>
        <w:t>《项目支出绩效目标自评表》</w:t>
      </w:r>
    </w:p>
    <w:sectPr>
      <w:footerReference r:id="rId5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w:pict>
        <v:shape id="_x0000_s2049" o:spid="_x0000_s2049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11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w:pict>
        <v:shape id="_x0000_s2050" o:spid="_x0000_s2050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11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000142"/>
    <w:rsid w:val="00067C7D"/>
    <w:rsid w:val="00177BCB"/>
    <w:rsid w:val="00410C53"/>
    <w:rsid w:val="005162F1"/>
    <w:rsid w:val="00535153"/>
    <w:rsid w:val="005F3639"/>
    <w:rsid w:val="007C2DB8"/>
    <w:rsid w:val="00855E3A"/>
    <w:rsid w:val="00922CB9"/>
    <w:rsid w:val="00A26421"/>
    <w:rsid w:val="00A4293B"/>
    <w:rsid w:val="00AE3863"/>
    <w:rsid w:val="00B41F61"/>
    <w:rsid w:val="00C56C72"/>
    <w:rsid w:val="00CA6457"/>
    <w:rsid w:val="00D17F2E"/>
    <w:rsid w:val="00E769FE"/>
    <w:rsid w:val="00EA2CBE"/>
    <w:rsid w:val="00F32FEE"/>
    <w:rsid w:val="0F020E1E"/>
    <w:rsid w:val="10B22B9C"/>
    <w:rsid w:val="16FD67FD"/>
    <w:rsid w:val="18EE72AC"/>
    <w:rsid w:val="1D373930"/>
    <w:rsid w:val="1E47009C"/>
    <w:rsid w:val="21BB6D62"/>
    <w:rsid w:val="242514F1"/>
    <w:rsid w:val="2EBD3004"/>
    <w:rsid w:val="31F14A8D"/>
    <w:rsid w:val="3474095B"/>
    <w:rsid w:val="4D3D7EF9"/>
    <w:rsid w:val="4DB467D7"/>
    <w:rsid w:val="4F4B3A75"/>
    <w:rsid w:val="528F24AC"/>
    <w:rsid w:val="566C3C7A"/>
    <w:rsid w:val="593064B2"/>
    <w:rsid w:val="5F81336F"/>
    <w:rsid w:val="606C0068"/>
    <w:rsid w:val="6F7E63E0"/>
    <w:rsid w:val="728425A9"/>
    <w:rsid w:val="7B42682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1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3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4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5">
    <w:name w:val="Default Paragraph Font"/>
    <w:unhideWhenUsed/>
    <w:qFormat/>
    <w:uiPriority w:val="1"/>
  </w:style>
  <w:style w:type="table" w:default="1" w:styleId="1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4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2">
    <w:name w:val="header"/>
    <w:basedOn w:val="1"/>
    <w:link w:val="4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3">
    <w:name w:val="Subtitle"/>
    <w:basedOn w:val="1"/>
    <w:next w:val="1"/>
    <w:link w:val="29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4">
    <w:name w:val="Title"/>
    <w:basedOn w:val="1"/>
    <w:next w:val="1"/>
    <w:link w:val="28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6">
    <w:name w:val="Strong"/>
    <w:basedOn w:val="15"/>
    <w:qFormat/>
    <w:uiPriority w:val="0"/>
    <w:rPr>
      <w:b/>
      <w:bCs/>
    </w:rPr>
  </w:style>
  <w:style w:type="character" w:styleId="17">
    <w:name w:val="Emphasis"/>
    <w:basedOn w:val="15"/>
    <w:qFormat/>
    <w:uiPriority w:val="20"/>
    <w:rPr>
      <w:rFonts w:asciiTheme="minorHAnsi" w:hAnsiTheme="minorHAnsi"/>
      <w:b/>
      <w:i/>
      <w:iCs/>
    </w:rPr>
  </w:style>
  <w:style w:type="character" w:customStyle="1" w:styleId="19">
    <w:name w:val="标题 1 Char"/>
    <w:basedOn w:val="15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0">
    <w:name w:val="标题 2 Char"/>
    <w:basedOn w:val="15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1">
    <w:name w:val="标题 3 Char"/>
    <w:basedOn w:val="15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2">
    <w:name w:val="标题 4 Char"/>
    <w:basedOn w:val="15"/>
    <w:link w:val="5"/>
    <w:semiHidden/>
    <w:qFormat/>
    <w:uiPriority w:val="9"/>
    <w:rPr>
      <w:b/>
      <w:bCs/>
      <w:sz w:val="28"/>
      <w:szCs w:val="28"/>
    </w:rPr>
  </w:style>
  <w:style w:type="character" w:customStyle="1" w:styleId="23">
    <w:name w:val="标题 5 Char"/>
    <w:basedOn w:val="15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4">
    <w:name w:val="标题 6 Char"/>
    <w:basedOn w:val="15"/>
    <w:link w:val="7"/>
    <w:semiHidden/>
    <w:qFormat/>
    <w:uiPriority w:val="9"/>
    <w:rPr>
      <w:b/>
      <w:bCs/>
    </w:rPr>
  </w:style>
  <w:style w:type="character" w:customStyle="1" w:styleId="25">
    <w:name w:val="标题 7 Char"/>
    <w:basedOn w:val="15"/>
    <w:link w:val="8"/>
    <w:semiHidden/>
    <w:qFormat/>
    <w:uiPriority w:val="9"/>
    <w:rPr>
      <w:sz w:val="24"/>
      <w:szCs w:val="24"/>
    </w:rPr>
  </w:style>
  <w:style w:type="character" w:customStyle="1" w:styleId="26">
    <w:name w:val="标题 8 Char"/>
    <w:basedOn w:val="15"/>
    <w:link w:val="9"/>
    <w:semiHidden/>
    <w:qFormat/>
    <w:uiPriority w:val="9"/>
    <w:rPr>
      <w:i/>
      <w:iCs/>
      <w:sz w:val="24"/>
      <w:szCs w:val="24"/>
    </w:rPr>
  </w:style>
  <w:style w:type="character" w:customStyle="1" w:styleId="27">
    <w:name w:val="标题 9 Char"/>
    <w:basedOn w:val="15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8">
    <w:name w:val="标题 Char"/>
    <w:basedOn w:val="15"/>
    <w:link w:val="14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29">
    <w:name w:val="副标题 Char"/>
    <w:basedOn w:val="15"/>
    <w:link w:val="13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0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1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2">
    <w:name w:val="Quote"/>
    <w:basedOn w:val="1"/>
    <w:next w:val="1"/>
    <w:link w:val="33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3">
    <w:name w:val="引用 Char"/>
    <w:basedOn w:val="15"/>
    <w:link w:val="32"/>
    <w:qFormat/>
    <w:uiPriority w:val="29"/>
    <w:rPr>
      <w:i/>
      <w:sz w:val="24"/>
      <w:szCs w:val="24"/>
    </w:rPr>
  </w:style>
  <w:style w:type="paragraph" w:customStyle="1" w:styleId="34">
    <w:name w:val="Intense Quote"/>
    <w:basedOn w:val="1"/>
    <w:next w:val="1"/>
    <w:link w:val="35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5">
    <w:name w:val="明显引用 Char"/>
    <w:basedOn w:val="15"/>
    <w:link w:val="34"/>
    <w:qFormat/>
    <w:uiPriority w:val="30"/>
    <w:rPr>
      <w:b/>
      <w:i/>
      <w:sz w:val="24"/>
    </w:rPr>
  </w:style>
  <w:style w:type="character" w:customStyle="1" w:styleId="36">
    <w:name w:val="不明显强调1"/>
    <w:qFormat/>
    <w:uiPriority w:val="19"/>
    <w:rPr>
      <w:i/>
      <w:color w:val="585858" w:themeColor="text1" w:themeTint="A6"/>
    </w:rPr>
  </w:style>
  <w:style w:type="character" w:customStyle="1" w:styleId="37">
    <w:name w:val="明显强调1"/>
    <w:basedOn w:val="15"/>
    <w:qFormat/>
    <w:uiPriority w:val="21"/>
    <w:rPr>
      <w:b/>
      <w:i/>
      <w:sz w:val="24"/>
      <w:szCs w:val="24"/>
      <w:u w:val="single"/>
    </w:rPr>
  </w:style>
  <w:style w:type="character" w:customStyle="1" w:styleId="38">
    <w:name w:val="不明显参考1"/>
    <w:basedOn w:val="15"/>
    <w:qFormat/>
    <w:uiPriority w:val="31"/>
    <w:rPr>
      <w:sz w:val="24"/>
      <w:szCs w:val="24"/>
      <w:u w:val="single"/>
    </w:rPr>
  </w:style>
  <w:style w:type="character" w:customStyle="1" w:styleId="39">
    <w:name w:val="明显参考1"/>
    <w:basedOn w:val="15"/>
    <w:qFormat/>
    <w:uiPriority w:val="32"/>
    <w:rPr>
      <w:b/>
      <w:sz w:val="24"/>
      <w:u w:val="single"/>
    </w:rPr>
  </w:style>
  <w:style w:type="character" w:customStyle="1" w:styleId="40">
    <w:name w:val="书籍标题1"/>
    <w:basedOn w:val="15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1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2">
    <w:name w:val="页眉 Char"/>
    <w:basedOn w:val="15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3">
    <w:name w:val="页脚 Char"/>
    <w:basedOn w:val="15"/>
    <w:link w:val="11"/>
    <w:qFormat/>
    <w:uiPriority w:val="99"/>
    <w:rPr>
      <w:rFonts w:ascii="Calibri" w:hAnsi="Calibri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379</Words>
  <Characters>2166</Characters>
  <Lines>18</Lines>
  <Paragraphs>5</Paragraphs>
  <TotalTime>0</TotalTime>
  <ScaleCrop>false</ScaleCrop>
  <LinksUpToDate>false</LinksUpToDate>
  <CharactersWithSpaces>2540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腊晓林</cp:lastModifiedBy>
  <cp:lastPrinted>2018-08-15T03:10:00Z</cp:lastPrinted>
  <dcterms:modified xsi:type="dcterms:W3CDTF">2019-08-28T14:59:57Z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