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方正仿宋简体" w:hAnsi="方正仿宋简体" w:eastAsia="方正仿宋简体" w:cs="方正仿宋简体"/>
          <w:kern w:val="0"/>
          <w:sz w:val="36"/>
          <w:szCs w:val="36"/>
        </w:rPr>
        <w:t xml:space="preserve">     </w:t>
      </w:r>
      <w:r>
        <w:rPr>
          <w:rFonts w:hint="eastAsia" w:ascii="仿宋" w:hAnsi="仿宋" w:eastAsia="仿宋" w:cs="仿宋"/>
          <w:kern w:val="0"/>
          <w:sz w:val="36"/>
          <w:szCs w:val="36"/>
        </w:rPr>
        <w:t>项目名称：工作经费项目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实施单位（公章）：喀什地区林业局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项目负责人（签章）：白玉龙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填报时间：2018年12月15日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br w:type="page"/>
      </w: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64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地区林业局成立于1981年，正县级行政机关，隶属于喀什行署，位于喀什市人民西路133号。主要职责有：贯彻执行党和国家关于林业及其生态建设的法律、法规、方针、政策。拟订全地区林业发展战略、中长期规划并组织实施；认真组织实施造林绿化，加强荒漠化防治和防沙治沙，营造良好的生态环境，组织实施林果业生产和市场建设，推进林业生态体系、林果产业体系和生态文化体系建设；承担森林、陆生野生动植物资源的保护和合理开发利用，依法打击涉林违法犯罪行为；指导大风、沙尘暴、低温冻害、林业有害生物等灾害预测预报和应急处置，加强林业灾害综合防控体系建设；组织实施科技兴林，加强林业人才队伍建设，提高林业科技支撑能力建设；负责林业行政执法及监督，推进依法治林；组织实施集体林权制度改革工作，加快推进国有林场（苗圃、林业站）改革，促进林业资源的合理化配置；负责林业系统自然保护区森林公园、湿地的监督管理；监督管理地区森林公安局队伍；指导全地区林业重大违法案件的查处；承办地委、行署交办的其他事项。</w:t>
      </w:r>
    </w:p>
    <w:p>
      <w:pPr>
        <w:spacing w:line="64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目前地区林业局内设办公室、林业产业管理科、森林资源保护管理科、科技与市场建设科、政策法规和林业改革发展科等5个职能科室，下辖地区绿化委员会办公室、护林防火办公室、森林公安局、林业管理站、林业有害生物防治检疫局、野生动植物保护管理站、林业勘察设计队、机关服务中心等9个单位。总编制数101，实有干部职工88名，其中工人6名。离休干部4人，退休干部35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1、项目预期目标及阶段性目标</w:t>
      </w:r>
    </w:p>
    <w:p>
      <w:pPr>
        <w:spacing w:line="70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喀什地区林业局在巴楚县琼库恰克乡有5个，通过更新村两委办公设施38个，建设群众大舞台1个，组织贫困户外出参观学习58人次，访贫问苦48人次，建交通劝导站1个，活动中心修缮1个，教育引导群众不断增强法制意识，有效遏制极端渗透，感党恩、听党话，跟党走，真正实现社会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和谐</w:t>
      </w:r>
      <w:r>
        <w:rPr>
          <w:rFonts w:hint="eastAsia" w:ascii="仿宋" w:hAnsi="仿宋" w:eastAsia="仿宋" w:cs="仿宋"/>
          <w:sz w:val="32"/>
          <w:szCs w:val="32"/>
        </w:rPr>
        <w:t>和长治久安的总目标。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7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本项目的主要用途是为民办实事，主要内容更新村两委办公设施、建设群众大舞台、组织贫困户外出参观学习58人次，、访贫问苦、建交通劝导站、活动中心修缮等。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758" w:firstLineChars="243"/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工作经费项目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预算安排总额为11.25万元，其中财政资金11.25万元，自筹资金0万元，2018年实际收到预</w:t>
      </w:r>
      <w:r>
        <w:rPr>
          <w:rFonts w:hint="eastAsia" w:ascii="仿宋" w:hAnsi="仿宋" w:eastAsia="仿宋"/>
          <w:spacing w:val="-4"/>
          <w:sz w:val="32"/>
          <w:szCs w:val="32"/>
        </w:rPr>
        <w:t>算资金</w:t>
      </w:r>
      <w:r>
        <w:rPr>
          <w:rFonts w:hint="eastAsia"/>
          <w:sz w:val="32"/>
          <w:szCs w:val="32"/>
        </w:rPr>
        <w:t>11.25万元</w:t>
      </w:r>
      <w:r>
        <w:rPr>
          <w:rFonts w:hint="eastAsia"/>
        </w:rPr>
        <w:t>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777" w:firstLineChars="243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工作经费实际支付资金11.25万元，预算执行率100%。项目资金主要用于支付支付更新村两委办公设备及一户一档档案柜2.43万元（购置10套办公桌椅、26个档案柜、2台饮水机）；活动中心修缮0.9万元；建一简易交通劝导站0.6万元；开展扶贫帮困慰问0.96万元；修建群众大舞台5.85万元；组织贫困户外出参观学习租车费0.51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支出符合新党发【2016】17号和新党办发【2016】56号文件关于深化开展工作的要求的使用范围，和地区林业局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为保证项目质量和成本控制，项目实施完成后，由本项目相关人员于2018年12月15日完成检查验收，检查验收合格后按合同规定支付款项。”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先行召开会议，确定实施内容，再自行组织招投标程序，对施工过程进行监督，工程完工后进行验收，验收合格后支付资金，项目的实施遵守相关法律法规和业务管理规定，项目资料齐全并及时归档。并且不定期对项目进度情况进行督导检查，对检查过程中发现的问题及时督促整改，确保了项目按时保质完成。</w:t>
      </w:r>
    </w:p>
    <w:p>
      <w:pPr>
        <w:spacing w:line="540" w:lineRule="exact"/>
        <w:ind w:firstLine="758" w:firstLineChars="243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18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18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经济性：通过参观学习，拓展贫困户创业思路，增加贫困户收入。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效率性：按时完成了主要建设内容，完成质量合格率95%。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效益性：通过</w:t>
      </w:r>
      <w:r>
        <w:rPr>
          <w:rFonts w:hint="eastAsia" w:ascii="仿宋" w:hAnsi="仿宋" w:eastAsia="仿宋" w:cs="仿宋"/>
          <w:sz w:val="32"/>
          <w:szCs w:val="32"/>
        </w:rPr>
        <w:t>参观学习，拓展贫困户创业思路，增加贫困户经济收入;通过扶贫帮困、建群众大舞台开展各类活动，摒弃旧思想，引导感党恩，增强中华民族共同体意识</w:t>
      </w:r>
      <w:r>
        <w:rPr>
          <w:rStyle w:val="17"/>
          <w:rFonts w:hint="eastAsia" w:ascii="仿宋" w:hAnsi="仿宋" w:eastAsia="仿宋"/>
          <w:b w:val="0"/>
          <w:color w:val="FF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758" w:firstLineChars="243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spacing w:line="540" w:lineRule="exact"/>
        <w:ind w:firstLine="758" w:firstLineChars="243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700" w:lineRule="exact"/>
        <w:jc w:val="left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 xml:space="preserve">    本单位属一次性项目，不存在后续管理工作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</w:t>
      </w:r>
    </w:p>
    <w:p>
      <w:pPr>
        <w:numPr>
          <w:ilvl w:val="0"/>
          <w:numId w:val="1"/>
        </w:num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</w:t>
      </w:r>
    </w:p>
    <w:p>
      <w:pPr>
        <w:spacing w:line="540" w:lineRule="exact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我单位工作经费根据每个村经费额度，由各自自行制度资金使用计划，实施资金，做到因村因需实施，使资金发挥了最大效益。</w:t>
      </w:r>
    </w:p>
    <w:p>
      <w:pPr>
        <w:spacing w:line="540" w:lineRule="exact"/>
        <w:ind w:firstLine="755" w:firstLineChars="242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2、存在的问题</w:t>
      </w:r>
    </w:p>
    <w:p>
      <w:pPr>
        <w:spacing w:line="540" w:lineRule="exact"/>
        <w:ind w:firstLine="755" w:firstLineChars="242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755" w:firstLineChars="242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3、建议</w:t>
      </w:r>
    </w:p>
    <w:p>
      <w:pPr>
        <w:spacing w:line="540" w:lineRule="exact"/>
        <w:ind w:firstLine="64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工作经费项目资金的使用效率和效果，项目管理过程规范，完成了预期绩效目标。同时，通过开展自我评价来总结经验和教训，为我区工作经费项目今后的开展提供参考建议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方正仿宋简体" w:hAnsi="方正仿宋简体" w:eastAsia="方正仿宋简体" w:cs="方正仿宋简体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文本框1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AFD"/>
    <w:rsid w:val="00151437"/>
    <w:rsid w:val="002A1E35"/>
    <w:rsid w:val="00BC0AFD"/>
    <w:rsid w:val="1BF8586E"/>
    <w:rsid w:val="4F742C54"/>
    <w:rsid w:val="6C34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4"/>
    <w:basedOn w:val="1"/>
    <w:next w:val="1"/>
    <w:link w:val="22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uiPriority w:val="0"/>
    <w:pPr>
      <w:widowControl/>
      <w:spacing w:before="240" w:after="60"/>
      <w:jc w:val="left"/>
      <w:outlineLvl w:val="6"/>
    </w:pPr>
    <w:rPr>
      <w:sz w:val="24"/>
    </w:rPr>
  </w:style>
  <w:style w:type="paragraph" w:styleId="9">
    <w:name w:val="heading 8"/>
    <w:basedOn w:val="1"/>
    <w:next w:val="1"/>
    <w:link w:val="26"/>
    <w:qFormat/>
    <w:uiPriority w:val="0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10">
    <w:name w:val="heading 9"/>
    <w:basedOn w:val="1"/>
    <w:next w:val="1"/>
    <w:link w:val="27"/>
    <w:qFormat/>
    <w:uiPriority w:val="0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2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30"/>
    <w:qFormat/>
    <w:uiPriority w:val="0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14">
    <w:name w:val="Title"/>
    <w:basedOn w:val="1"/>
    <w:next w:val="1"/>
    <w:link w:val="31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semiHidden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uiPriority w:val="0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0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0"/>
    <w:rPr>
      <w:sz w:val="24"/>
      <w:szCs w:val="24"/>
    </w:rPr>
  </w:style>
  <w:style w:type="character" w:customStyle="1" w:styleId="26">
    <w:name w:val="标题 8 Char"/>
    <w:basedOn w:val="16"/>
    <w:link w:val="9"/>
    <w:semiHidden/>
    <w:uiPriority w:val="0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0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29">
    <w:name w:val="页眉 Char"/>
    <w:basedOn w:val="16"/>
    <w:link w:val="12"/>
    <w:semiHidden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0">
    <w:name w:val="副标题 Char"/>
    <w:basedOn w:val="16"/>
    <w:link w:val="13"/>
    <w:semiHidden/>
    <w:uiPriority w:val="0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semiHidden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2">
    <w:name w:val="文本块1"/>
    <w:basedOn w:val="1"/>
    <w:next w:val="1"/>
    <w:link w:val="37"/>
    <w:uiPriority w:val="0"/>
    <w:pPr>
      <w:widowControl/>
      <w:jc w:val="left"/>
    </w:pPr>
    <w:rPr>
      <w:i/>
      <w:sz w:val="24"/>
    </w:rPr>
  </w:style>
  <w:style w:type="paragraph" w:customStyle="1" w:styleId="33">
    <w:name w:val="无间隔1"/>
    <w:basedOn w:val="1"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4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5">
    <w:name w:val="明显引用1"/>
    <w:basedOn w:val="1"/>
    <w:next w:val="1"/>
    <w:link w:val="38"/>
    <w:qFormat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6">
    <w:name w:val="TOC 标题1"/>
    <w:basedOn w:val="2"/>
    <w:next w:val="1"/>
    <w:uiPriority w:val="0"/>
    <w:pPr>
      <w:outlineLvl w:val="9"/>
    </w:pPr>
    <w:rPr>
      <w:lang w:eastAsia="en-US" w:bidi="en-US"/>
    </w:rPr>
  </w:style>
  <w:style w:type="character" w:customStyle="1" w:styleId="37">
    <w:name w:val="引用 Char"/>
    <w:basedOn w:val="16"/>
    <w:link w:val="32"/>
    <w:semiHidden/>
    <w:qFormat/>
    <w:uiPriority w:val="0"/>
    <w:rPr>
      <w:i/>
      <w:sz w:val="24"/>
      <w:szCs w:val="24"/>
    </w:rPr>
  </w:style>
  <w:style w:type="character" w:customStyle="1" w:styleId="38">
    <w:name w:val="明显引用 Char"/>
    <w:basedOn w:val="16"/>
    <w:link w:val="35"/>
    <w:semiHidden/>
    <w:uiPriority w:val="0"/>
    <w:rPr>
      <w:b/>
      <w:i/>
      <w:sz w:val="24"/>
    </w:rPr>
  </w:style>
  <w:style w:type="character" w:customStyle="1" w:styleId="39">
    <w:name w:val="不明显强调1"/>
    <w:uiPriority w:val="0"/>
    <w:rPr>
      <w:i/>
      <w:color w:val="565656"/>
    </w:rPr>
  </w:style>
  <w:style w:type="character" w:customStyle="1" w:styleId="40">
    <w:name w:val="明显强调1"/>
    <w:basedOn w:val="16"/>
    <w:qFormat/>
    <w:uiPriority w:val="0"/>
    <w:rPr>
      <w:b/>
      <w:i/>
      <w:sz w:val="24"/>
      <w:szCs w:val="24"/>
      <w:u w:val="single"/>
    </w:rPr>
  </w:style>
  <w:style w:type="character" w:customStyle="1" w:styleId="41">
    <w:name w:val="不明显参考1"/>
    <w:basedOn w:val="16"/>
    <w:qFormat/>
    <w:uiPriority w:val="0"/>
    <w:rPr>
      <w:sz w:val="24"/>
      <w:szCs w:val="24"/>
      <w:u w:val="single"/>
    </w:rPr>
  </w:style>
  <w:style w:type="character" w:customStyle="1" w:styleId="42">
    <w:name w:val="明显参考1"/>
    <w:basedOn w:val="16"/>
    <w:qFormat/>
    <w:uiPriority w:val="0"/>
    <w:rPr>
      <w:b/>
      <w:sz w:val="24"/>
      <w:u w:val="single"/>
    </w:rPr>
  </w:style>
  <w:style w:type="character" w:customStyle="1" w:styleId="43">
    <w:name w:val="书籍标题1"/>
    <w:basedOn w:val="16"/>
    <w:qFormat/>
    <w:uiPriority w:val="0"/>
    <w:rPr>
      <w:rFonts w:ascii="Cambria" w:hAnsi="Cambria" w:eastAsia="宋体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341</Words>
  <Characters>1947</Characters>
  <Lines>16</Lines>
  <Paragraphs>4</Paragraphs>
  <TotalTime>3</TotalTime>
  <ScaleCrop>false</ScaleCrop>
  <LinksUpToDate>false</LinksUpToDate>
  <CharactersWithSpaces>2284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2018-12-06T07:04:00Z</dcterms:created>
  <dc:creator>赵 恺（预算处）</dc:creator>
  <cp:lastModifiedBy>Administrator</cp:lastModifiedBy>
  <cp:lastPrinted>2018-12-24T21:46:00Z</cp:lastPrinted>
  <dcterms:modified xsi:type="dcterms:W3CDTF">2019-10-22T10:38:42Z</dcterms:modified>
  <dc:title>hulian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