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768" w:rsidRDefault="00B62768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62768" w:rsidRDefault="00B62768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62768" w:rsidRDefault="00B62768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62768" w:rsidRDefault="00B62768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62768" w:rsidRDefault="00B62768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62768" w:rsidRDefault="00B62768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62768" w:rsidRDefault="0072550D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B62768" w:rsidRDefault="00B62768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B62768" w:rsidRDefault="0072550D">
      <w:pPr>
        <w:spacing w:line="56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B62768" w:rsidRDefault="00B62768">
      <w:pPr>
        <w:spacing w:line="56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62768" w:rsidRDefault="00B62768">
      <w:pPr>
        <w:spacing w:line="56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62768" w:rsidRDefault="00B62768">
      <w:pPr>
        <w:spacing w:line="56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62768" w:rsidRDefault="00B62768">
      <w:pPr>
        <w:spacing w:line="56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62768" w:rsidRDefault="00B62768">
      <w:pPr>
        <w:spacing w:line="56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62768" w:rsidRDefault="00B62768">
      <w:pPr>
        <w:spacing w:line="56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B62768" w:rsidRDefault="00B62768">
      <w:pPr>
        <w:spacing w:line="560" w:lineRule="exact"/>
        <w:rPr>
          <w:rFonts w:eastAsia="仿宋_GB2312" w:hAnsi="宋体" w:cs="宋体"/>
          <w:kern w:val="0"/>
          <w:sz w:val="30"/>
          <w:szCs w:val="30"/>
        </w:rPr>
      </w:pPr>
    </w:p>
    <w:p w:rsidR="00B62768" w:rsidRDefault="0072550D">
      <w:pPr>
        <w:spacing w:line="56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项目名称：工作经费</w:t>
      </w:r>
    </w:p>
    <w:p w:rsidR="00B62768" w:rsidRDefault="0072550D">
      <w:pPr>
        <w:spacing w:line="56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实施单位（公章）：喀什地区林业局</w:t>
      </w:r>
    </w:p>
    <w:p w:rsidR="00B62768" w:rsidRDefault="0072550D" w:rsidP="00071F31">
      <w:pPr>
        <w:spacing w:line="56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自治区主管部门（公章）：</w:t>
      </w:r>
    </w:p>
    <w:p w:rsidR="00B62768" w:rsidRDefault="0072550D" w:rsidP="00071F31">
      <w:pPr>
        <w:spacing w:line="56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项目负责人（签章）：白玉龙</w:t>
      </w:r>
    </w:p>
    <w:p w:rsidR="00B62768" w:rsidRDefault="0072550D" w:rsidP="00071F31">
      <w:pPr>
        <w:spacing w:line="56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15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B62768" w:rsidRDefault="00B62768">
      <w:pPr>
        <w:spacing w:line="560" w:lineRule="exact"/>
      </w:pPr>
    </w:p>
    <w:p w:rsidR="00B62768" w:rsidRDefault="00B62768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  <w:sectPr w:rsidR="00B6276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62768" w:rsidRDefault="0072550D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B62768" w:rsidRDefault="0072550D">
      <w:pPr>
        <w:spacing w:line="560" w:lineRule="exact"/>
        <w:ind w:firstLine="64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B62768" w:rsidRDefault="0072550D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地区林业局成立于</w:t>
      </w:r>
      <w:r>
        <w:rPr>
          <w:rFonts w:ascii="仿宋" w:eastAsia="仿宋" w:hAnsi="仿宋" w:cs="仿宋" w:hint="eastAsia"/>
          <w:sz w:val="32"/>
          <w:szCs w:val="32"/>
        </w:rPr>
        <w:t>1981</w:t>
      </w:r>
      <w:r>
        <w:rPr>
          <w:rFonts w:ascii="仿宋" w:eastAsia="仿宋" w:hAnsi="仿宋" w:cs="仿宋" w:hint="eastAsia"/>
          <w:sz w:val="32"/>
          <w:szCs w:val="32"/>
        </w:rPr>
        <w:t>年，正县级行政机关，隶属于喀什行署，位于喀什市人民西路</w:t>
      </w:r>
      <w:r>
        <w:rPr>
          <w:rFonts w:ascii="仿宋" w:eastAsia="仿宋" w:hAnsi="仿宋" w:cs="仿宋" w:hint="eastAsia"/>
          <w:sz w:val="32"/>
          <w:szCs w:val="32"/>
        </w:rPr>
        <w:t>133</w:t>
      </w:r>
      <w:r>
        <w:rPr>
          <w:rFonts w:ascii="仿宋" w:eastAsia="仿宋" w:hAnsi="仿宋" w:cs="仿宋" w:hint="eastAsia"/>
          <w:sz w:val="32"/>
          <w:szCs w:val="32"/>
        </w:rPr>
        <w:t>号。主要职责有：贯彻执行党和国家关于林业及其生态建设的法律、法规、方针、政策。拟订全地区林业发展战略、中长期规划并组织实施；认真组织实施造林绿化，加强荒漠化防治和防沙治沙，营造良好的生态环境，组织实施林果业生产和市场建设，推进林业生态体系、林果产业体系和生态文化体系建设；承担森林、陆生野生动植物资源的保护和合理开发利用，依法打击涉林违法犯罪行为；指导大风、沙尘暴、低温冻害、林业有害生物等灾害预测预报和应急处置，加强林业灾害综</w:t>
      </w:r>
      <w:r>
        <w:rPr>
          <w:rFonts w:ascii="仿宋" w:eastAsia="仿宋" w:hAnsi="仿宋" w:cs="仿宋" w:hint="eastAsia"/>
          <w:sz w:val="32"/>
          <w:szCs w:val="32"/>
        </w:rPr>
        <w:t>合防控体系建设；组织实施科技兴林，加强林业人才队伍建设，提高林业科技支撑能力建设；负责林业行政执法及监督，推进依法治林；组织实施集体林权制度改革工作，加快推进国有林场（苗圃、林业站）改革，促进林业资源的合理化配置；负责林业系统自然保护区森林公园、湿地的监督管理；监督管理地区森林公安局队伍；指导全地区林业重大违法案件的查处；承办地委、行署交办的其他事项。</w:t>
      </w:r>
    </w:p>
    <w:p w:rsidR="00B62768" w:rsidRDefault="0072550D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目前地区林业局内设办公室、林业产业管理科、森林资源保护管理科、科技与市场建设科、政策法规和林业改革发展科等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个职能科室，下辖地区绿化委员会办公室、护林防火办公室、森林公安局、林业管理站、林业有害生物防治检疫局、野生动植物保护管理站、林业勘察设计队、机关服务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中心等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个单位。总编制数</w:t>
      </w:r>
      <w:r>
        <w:rPr>
          <w:rFonts w:ascii="仿宋" w:eastAsia="仿宋" w:hAnsi="仿宋" w:cs="仿宋" w:hint="eastAsia"/>
          <w:sz w:val="32"/>
          <w:szCs w:val="32"/>
        </w:rPr>
        <w:t>101</w:t>
      </w:r>
      <w:r>
        <w:rPr>
          <w:rFonts w:ascii="仿宋" w:eastAsia="仿宋" w:hAnsi="仿宋" w:cs="仿宋" w:hint="eastAsia"/>
          <w:sz w:val="32"/>
          <w:szCs w:val="32"/>
        </w:rPr>
        <w:t>，实有干部职工</w:t>
      </w:r>
      <w:r>
        <w:rPr>
          <w:rFonts w:ascii="仿宋" w:eastAsia="仿宋" w:hAnsi="仿宋" w:cs="仿宋" w:hint="eastAsia"/>
          <w:sz w:val="32"/>
          <w:szCs w:val="32"/>
        </w:rPr>
        <w:t>88</w:t>
      </w:r>
      <w:r>
        <w:rPr>
          <w:rFonts w:ascii="仿宋" w:eastAsia="仿宋" w:hAnsi="仿宋" w:cs="仿宋" w:hint="eastAsia"/>
          <w:sz w:val="32"/>
          <w:szCs w:val="32"/>
        </w:rPr>
        <w:t>名，其中工人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名。离休干部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人，退休干部</w:t>
      </w:r>
      <w:r>
        <w:rPr>
          <w:rFonts w:ascii="仿宋" w:eastAsia="仿宋" w:hAnsi="仿宋" w:cs="仿宋" w:hint="eastAsia"/>
          <w:sz w:val="32"/>
          <w:szCs w:val="32"/>
        </w:rPr>
        <w:t>35</w:t>
      </w:r>
      <w:r>
        <w:rPr>
          <w:rFonts w:ascii="仿宋" w:eastAsia="仿宋" w:hAnsi="仿宋" w:cs="仿宋" w:hint="eastAsia"/>
          <w:sz w:val="32"/>
          <w:szCs w:val="32"/>
        </w:rPr>
        <w:t>人。</w:t>
      </w:r>
    </w:p>
    <w:p w:rsidR="00B62768" w:rsidRDefault="0072550D">
      <w:pPr>
        <w:numPr>
          <w:ilvl w:val="0"/>
          <w:numId w:val="1"/>
        </w:num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项目预算</w:t>
      </w:r>
      <w:r>
        <w:rPr>
          <w:rStyle w:val="a7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B62768" w:rsidRDefault="0072550D">
      <w:pPr>
        <w:spacing w:line="560" w:lineRule="exact"/>
        <w:rPr>
          <w:rStyle w:val="a7"/>
          <w:rFonts w:ascii="仿宋" w:eastAsia="仿宋" w:hAnsi="仿宋" w:cs="仿宋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spacing w:val="-4"/>
          <w:sz w:val="32"/>
          <w:szCs w:val="32"/>
        </w:rPr>
        <w:t xml:space="preserve">    1</w:t>
      </w:r>
      <w:r>
        <w:rPr>
          <w:rStyle w:val="a7"/>
          <w:rFonts w:ascii="仿宋" w:eastAsia="仿宋" w:hAnsi="仿宋" w:cs="仿宋" w:hint="eastAsia"/>
          <w:spacing w:val="-4"/>
          <w:sz w:val="32"/>
          <w:szCs w:val="32"/>
        </w:rPr>
        <w:t>、项目预期目标及阶段性目标</w:t>
      </w:r>
    </w:p>
    <w:p w:rsidR="00B62768" w:rsidRDefault="0072550D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喀什地区林业局在巴楚县琼库恰克乡有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个，通过访贫问苦，扶贫帮困慰问困难群众，为群众送信息、送服</w:t>
      </w:r>
      <w:r>
        <w:rPr>
          <w:rFonts w:ascii="仿宋" w:eastAsia="仿宋" w:hAnsi="仿宋" w:cs="仿宋" w:hint="eastAsia"/>
          <w:sz w:val="32"/>
          <w:szCs w:val="32"/>
        </w:rPr>
        <w:t>务、送温暖；组织贫困户</w:t>
      </w:r>
      <w:r>
        <w:rPr>
          <w:rFonts w:ascii="仿宋" w:eastAsia="仿宋" w:hAnsi="仿宋" w:cs="仿宋" w:hint="eastAsia"/>
          <w:sz w:val="32"/>
          <w:szCs w:val="32"/>
        </w:rPr>
        <w:t>99</w:t>
      </w:r>
      <w:r>
        <w:rPr>
          <w:rFonts w:ascii="仿宋" w:eastAsia="仿宋" w:hAnsi="仿宋" w:cs="仿宋" w:hint="eastAsia"/>
          <w:sz w:val="32"/>
          <w:szCs w:val="32"/>
        </w:rPr>
        <w:t>人参观学习，维修村两委办公室</w:t>
      </w:r>
      <w:r>
        <w:rPr>
          <w:rFonts w:ascii="仿宋" w:eastAsia="仿宋" w:hAnsi="仿宋" w:cs="仿宋" w:hint="eastAsia"/>
          <w:sz w:val="32"/>
          <w:szCs w:val="32"/>
        </w:rPr>
        <w:t>300</w:t>
      </w:r>
      <w:r>
        <w:rPr>
          <w:rFonts w:ascii="仿宋" w:eastAsia="仿宋" w:hAnsi="仿宋" w:cs="仿宋" w:hint="eastAsia"/>
          <w:sz w:val="32"/>
          <w:szCs w:val="32"/>
        </w:rPr>
        <w:t>平米、修建村民活动广场</w:t>
      </w:r>
      <w:r>
        <w:rPr>
          <w:rFonts w:ascii="仿宋" w:eastAsia="仿宋" w:hAnsi="仿宋" w:cs="仿宋" w:hint="eastAsia"/>
          <w:sz w:val="32"/>
          <w:szCs w:val="32"/>
        </w:rPr>
        <w:t>400</w:t>
      </w:r>
      <w:r>
        <w:rPr>
          <w:rFonts w:ascii="仿宋" w:eastAsia="仿宋" w:hAnsi="仿宋" w:cs="仿宋" w:hint="eastAsia"/>
          <w:sz w:val="32"/>
          <w:szCs w:val="32"/>
        </w:rPr>
        <w:t>平方、建设便民服务中心、开展各类活动等工作，教育引导群众不断增强法制意识，有效遏制极端渗透，感党恩、听党话，跟党走，真正实现社会和长治久安的总目标。通过帮助</w:t>
      </w:r>
      <w:r>
        <w:rPr>
          <w:rFonts w:ascii="仿宋" w:eastAsia="仿宋" w:hAnsi="仿宋" w:cs="仿宋" w:hint="eastAsia"/>
          <w:sz w:val="32"/>
          <w:szCs w:val="32"/>
        </w:rPr>
        <w:t>95</w:t>
      </w:r>
      <w:r>
        <w:rPr>
          <w:rFonts w:ascii="仿宋" w:eastAsia="仿宋" w:hAnsi="仿宋" w:cs="仿宋" w:hint="eastAsia"/>
          <w:sz w:val="32"/>
          <w:szCs w:val="32"/>
        </w:rPr>
        <w:t>户贫困户嫁接核桃、维修水渠等工作，带领贫困户脱贫致富，走上幸福生活道路。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本项目性质为新增项目。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:rsidR="00B62768" w:rsidRDefault="0072550D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本项目的主要用途是为民办实事，主要内容扶贫帮困慰问困难群众，为群众送信息、送服务、送温暖；组织贫困户参观学习，维修村两委办公室、</w:t>
      </w:r>
      <w:r>
        <w:rPr>
          <w:rFonts w:ascii="仿宋" w:eastAsia="仿宋" w:hAnsi="仿宋" w:cs="仿宋" w:hint="eastAsia"/>
          <w:sz w:val="32"/>
          <w:szCs w:val="32"/>
        </w:rPr>
        <w:t>修建村民活动广场、建设便民服务中心、开展各类活动等。</w:t>
      </w:r>
    </w:p>
    <w:p w:rsidR="00B62768" w:rsidRDefault="0072550D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B62768" w:rsidRDefault="0072550D">
      <w:pPr>
        <w:spacing w:line="560" w:lineRule="exact"/>
        <w:ind w:firstLineChars="243" w:firstLine="761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B62768" w:rsidRDefault="0072550D">
      <w:pPr>
        <w:spacing w:line="560" w:lineRule="exact"/>
        <w:ind w:firstLineChars="243" w:firstLine="758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工作经费项目预算安排总额为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12.97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万元，其中财政资金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12.97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万元，自筹资金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年实际收到预算资金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12.97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万元。</w:t>
      </w:r>
    </w:p>
    <w:p w:rsidR="00B62768" w:rsidRDefault="0072550D">
      <w:pPr>
        <w:spacing w:line="560" w:lineRule="exact"/>
        <w:ind w:firstLineChars="243" w:firstLine="761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lastRenderedPageBreak/>
        <w:t>（二）项目资金实际使用情况分析</w:t>
      </w:r>
    </w:p>
    <w:p w:rsidR="00B62768" w:rsidRDefault="0072550D">
      <w:pPr>
        <w:spacing w:line="560" w:lineRule="exact"/>
        <w:ind w:firstLineChars="243" w:firstLine="758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工作经费实际支付资金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12.97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预算执行率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100%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。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项目资金主要用于支付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维修村两委办公室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0.4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300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平方）；帮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94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户贫困户核桃嫁接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1.9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3800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株）；</w:t>
      </w:r>
      <w:r>
        <w:rPr>
          <w:rFonts w:ascii="仿宋_GB2312" w:eastAsia="仿宋_GB2312" w:hAnsi="仿宋_GB2312" w:cs="仿宋_GB2312" w:hint="eastAsia"/>
          <w:sz w:val="32"/>
          <w:szCs w:val="32"/>
        </w:rPr>
        <w:t>开展扶贫帮困慰问</w:t>
      </w:r>
      <w:r>
        <w:rPr>
          <w:rFonts w:ascii="仿宋_GB2312" w:eastAsia="仿宋_GB2312" w:hAnsi="仿宋_GB2312" w:cs="仿宋_GB2312" w:hint="eastAsia"/>
          <w:sz w:val="32"/>
          <w:szCs w:val="32"/>
        </w:rPr>
        <w:t>2.87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万元（</w:t>
      </w:r>
      <w:r>
        <w:rPr>
          <w:rFonts w:ascii="仿宋_GB2312" w:eastAsia="仿宋_GB2312" w:hAnsi="仿宋_GB2312" w:cs="仿宋_GB2312" w:hint="eastAsia"/>
          <w:sz w:val="32"/>
          <w:szCs w:val="32"/>
        </w:rPr>
        <w:t>349</w:t>
      </w:r>
      <w:r>
        <w:rPr>
          <w:rFonts w:ascii="仿宋_GB2312" w:eastAsia="仿宋_GB2312" w:hAnsi="仿宋_GB2312" w:cs="仿宋_GB2312" w:hint="eastAsia"/>
          <w:sz w:val="32"/>
          <w:szCs w:val="32"/>
        </w:rPr>
        <w:t>人次）；</w:t>
      </w:r>
      <w:r>
        <w:rPr>
          <w:rStyle w:val="a7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修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建村民活动广场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1.7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400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平方）；村民服务中心建设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1.52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150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平方）；水渠维修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1.3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1500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米）；对发展生产、</w:t>
      </w:r>
      <w:r w:rsidR="00071F31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国家通用语言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学习、三新活动、先进示范户奖励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1.31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35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人次），组织贫困户外出参观学习租车费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0.61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92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人次），补充村级工作经费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1.36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7"/>
        <w:outlineLvl w:val="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  <w:bookmarkStart w:id="0" w:name="_GoBack"/>
      <w:bookmarkEnd w:id="0"/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本项目支出符合新党发【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2016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17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号和新党办发【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2016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56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号文件关于深化开展工作的要求的使用范围，和地区林业局相关财务管理制度，包括会计人员集中核算工作管理制度、财务收支审批制度、财务稽核制度、财务牵制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制度、会计主管岗位职责等制度规定，资金的拨付有完整的审批程序和手续，不存在截留、挤占、挪用等情况。</w:t>
      </w:r>
    </w:p>
    <w:p w:rsidR="00B62768" w:rsidRDefault="0072550D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B62768" w:rsidRDefault="0072550D">
      <w:pPr>
        <w:spacing w:line="560" w:lineRule="exact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该项目属于经常性零星项目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,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没有达到招投标限额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,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本项目不存在调整情况。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为保证项目质量和成本控制，项目实施完成后，由本项目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相关人员于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15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日完成检查验收，检查验收合格后按合同规定支付款项。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7"/>
        <w:outlineLvl w:val="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项目实施过程中，先行召开会议，确定实施内容，再自行组织招投标程序，对施工过程进行监督，工程完工后进行验收，验收合格后支付资金，项目的实施遵守相关法律法规和业务管理规定，项目资料齐全并及时归档。并且不定期对项目进度情况进行督导检查，对检查过程中发现的问题及时督促整改，确保了项目按时保质完成。</w:t>
      </w:r>
    </w:p>
    <w:p w:rsidR="00B62768" w:rsidRDefault="0072550D">
      <w:pPr>
        <w:spacing w:line="560" w:lineRule="exact"/>
        <w:ind w:firstLineChars="243" w:firstLine="758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B62768" w:rsidRDefault="0072550D">
      <w:pPr>
        <w:spacing w:line="560" w:lineRule="exact"/>
        <w:ind w:firstLineChars="243" w:firstLine="76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/>
          <w:bCs/>
          <w:spacing w:val="-4"/>
          <w:sz w:val="32"/>
          <w:szCs w:val="32"/>
        </w:rPr>
        <w:t>本项目共设置一级指标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二级指标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9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24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，其中</w:t>
      </w:r>
      <w:r>
        <w:rPr>
          <w:rFonts w:ascii="仿宋" w:eastAsia="仿宋" w:hAnsi="仿宋"/>
          <w:bCs/>
          <w:spacing w:val="-4"/>
          <w:sz w:val="32"/>
          <w:szCs w:val="32"/>
        </w:rPr>
        <w:t>已完成三级指标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24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，指标完成率为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100%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经济性：通过参观学习，拓展贫困户创业思路，维修水渠，嫁接核桃，增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加贫困户收入。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效率性：按时完成了主要建设内容，完成质量合格率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95%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color w:val="FF000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效益性：通过</w:t>
      </w:r>
      <w:r>
        <w:rPr>
          <w:rFonts w:ascii="仿宋" w:eastAsia="仿宋" w:hAnsi="仿宋" w:cs="仿宋" w:hint="eastAsia"/>
          <w:sz w:val="32"/>
          <w:szCs w:val="32"/>
        </w:rPr>
        <w:t>参观学习，拓展贫困户创业思路，维修水渠，嫁接核桃，增加贫困户经济收入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通过扶贫帮困、建群众大舞台开展各类活动，摒弃旧思想，引导感党恩，增强中华民族共同体意识</w:t>
      </w:r>
      <w:r>
        <w:rPr>
          <w:rStyle w:val="a7"/>
          <w:rFonts w:ascii="仿宋" w:eastAsia="仿宋" w:hAnsi="仿宋" w:hint="eastAsia"/>
          <w:b w:val="0"/>
          <w:color w:val="FF0000"/>
          <w:spacing w:val="-4"/>
          <w:sz w:val="32"/>
          <w:szCs w:val="32"/>
        </w:rPr>
        <w:t>。</w:t>
      </w:r>
    </w:p>
    <w:p w:rsidR="00B62768" w:rsidRDefault="0072550D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B62768" w:rsidRDefault="0072550D">
      <w:pPr>
        <w:spacing w:line="560" w:lineRule="exact"/>
        <w:ind w:firstLineChars="243" w:firstLine="758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spacing w:val="-4"/>
          <w:sz w:val="32"/>
          <w:szCs w:val="32"/>
        </w:rPr>
        <w:t>年本项目绩效目标全部达成，不存在未完成原因分析。</w:t>
      </w:r>
    </w:p>
    <w:p w:rsidR="00B62768" w:rsidRDefault="0072550D">
      <w:pPr>
        <w:spacing w:line="560" w:lineRule="exact"/>
        <w:ind w:firstLineChars="243" w:firstLine="758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B62768" w:rsidRDefault="0072550D">
      <w:pPr>
        <w:spacing w:line="56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lastRenderedPageBreak/>
        <w:t>（一）后续工作计划</w:t>
      </w:r>
    </w:p>
    <w:p w:rsidR="00B62768" w:rsidRDefault="0072550D">
      <w:pPr>
        <w:spacing w:line="560" w:lineRule="exact"/>
        <w:ind w:firstLineChars="200" w:firstLine="624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本单位属一次性项目，不存在后续管理工作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。</w:t>
      </w:r>
    </w:p>
    <w:p w:rsidR="00B62768" w:rsidRDefault="0072550D">
      <w:pPr>
        <w:numPr>
          <w:ilvl w:val="0"/>
          <w:numId w:val="2"/>
        </w:numPr>
        <w:spacing w:line="56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主要经验及做法、存在问题和建议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、主要经验及做法</w:t>
      </w:r>
    </w:p>
    <w:p w:rsidR="00B62768" w:rsidRDefault="0072550D">
      <w:pPr>
        <w:spacing w:line="560" w:lineRule="exact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我单位工作经费根据每个村经费额度，由各自自行制度资金使用计划，实施资金，做到因村因需实施，使资金发挥了最大效益。</w:t>
      </w:r>
    </w:p>
    <w:p w:rsidR="00B62768" w:rsidRDefault="0072550D">
      <w:pPr>
        <w:spacing w:line="560" w:lineRule="exact"/>
        <w:ind w:firstLineChars="242" w:firstLine="75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2</w:t>
      </w:r>
      <w:r>
        <w:rPr>
          <w:rFonts w:ascii="仿宋_GB2312" w:eastAsia="仿宋_GB2312" w:hint="eastAsia"/>
          <w:spacing w:val="-4"/>
          <w:sz w:val="32"/>
          <w:szCs w:val="32"/>
        </w:rPr>
        <w:t>、存在的问题</w:t>
      </w:r>
    </w:p>
    <w:p w:rsidR="00B62768" w:rsidRDefault="0072550D">
      <w:pPr>
        <w:spacing w:line="560" w:lineRule="exact"/>
        <w:ind w:firstLineChars="242" w:firstLine="75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B62768" w:rsidRDefault="0072550D">
      <w:pPr>
        <w:spacing w:line="560" w:lineRule="exact"/>
        <w:ind w:firstLineChars="242" w:firstLine="75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3</w:t>
      </w:r>
      <w:r>
        <w:rPr>
          <w:rFonts w:ascii="仿宋_GB2312" w:eastAsia="仿宋_GB2312" w:hint="eastAsia"/>
          <w:spacing w:val="-4"/>
          <w:sz w:val="32"/>
          <w:szCs w:val="32"/>
        </w:rPr>
        <w:t>、建议</w:t>
      </w:r>
    </w:p>
    <w:p w:rsidR="00B62768" w:rsidRDefault="0072550D">
      <w:pPr>
        <w:spacing w:line="560" w:lineRule="exact"/>
        <w:ind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B62768" w:rsidRDefault="0072550D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无其他说明内容</w:t>
      </w:r>
    </w:p>
    <w:p w:rsidR="00B62768" w:rsidRDefault="0072550D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本次评价通过文件研读、实地调研、数据分析等方式，全面了解工作经费项目资金的使用效率和效果，项目管理过程规范，完成了预期绩效目标。同时，通过开展自我评价来总结经验和教训，为我局工作经费项目今后的开展提供参考建议。</w:t>
      </w:r>
    </w:p>
    <w:p w:rsidR="00B62768" w:rsidRDefault="0072550D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B62768" w:rsidRDefault="0072550D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p w:rsidR="00B62768" w:rsidRDefault="00B62768">
      <w:pPr>
        <w:spacing w:line="56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sectPr w:rsidR="00B62768"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50D" w:rsidRDefault="0072550D">
      <w:r>
        <w:separator/>
      </w:r>
    </w:p>
  </w:endnote>
  <w:endnote w:type="continuationSeparator" w:id="0">
    <w:p w:rsidR="0072550D" w:rsidRDefault="0072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768" w:rsidRDefault="0072550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1;mso-wrap-style:none;mso-position-horizontal:center;mso-position-horizontal-relative:margin;mso-width-relative:page;mso-height-relative:page" filled="f" stroked="f" strokeweight="1.25pt">
          <v:textbox style="mso-fit-shape-to-text:t" inset="0,0,0,0">
            <w:txbxContent>
              <w:p w:rsidR="00B62768" w:rsidRDefault="0072550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71F31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50D" w:rsidRDefault="0072550D">
      <w:r>
        <w:separator/>
      </w:r>
    </w:p>
  </w:footnote>
  <w:footnote w:type="continuationSeparator" w:id="0">
    <w:p w:rsidR="0072550D" w:rsidRDefault="0072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2"/>
      <w:numFmt w:val="chineseCounting"/>
      <w:suff w:val="nothing"/>
      <w:lvlText w:val="（%1）"/>
      <w:lvlJc w:val="left"/>
    </w:lvl>
  </w:abstractNum>
  <w:abstractNum w:abstractNumId="1">
    <w:nsid w:val="0000000B"/>
    <w:multiLevelType w:val="singleLevel"/>
    <w:tmpl w:val="0000000B"/>
    <w:lvl w:ilvl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58C"/>
    <w:rsid w:val="00071F31"/>
    <w:rsid w:val="00503AD9"/>
    <w:rsid w:val="005C680C"/>
    <w:rsid w:val="0072550D"/>
    <w:rsid w:val="009549CB"/>
    <w:rsid w:val="00A7258C"/>
    <w:rsid w:val="00B62768"/>
    <w:rsid w:val="0B742CBA"/>
    <w:rsid w:val="169E1F42"/>
    <w:rsid w:val="1BAA5290"/>
    <w:rsid w:val="5649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4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qFormat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Char"/>
    <w:qFormat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qFormat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a6">
    <w:name w:val="Title"/>
    <w:basedOn w:val="a"/>
    <w:next w:val="a"/>
    <w:link w:val="Char2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qFormat/>
    <w:rPr>
      <w:b/>
      <w:bCs/>
    </w:rPr>
  </w:style>
  <w:style w:type="character" w:styleId="a8">
    <w:name w:val="Emphasis"/>
    <w:qFormat/>
    <w:rPr>
      <w:rFonts w:ascii="Calibri" w:hAnsi="Calibri"/>
      <w:b/>
      <w:i/>
      <w:iCs/>
    </w:rPr>
  </w:style>
  <w:style w:type="character" w:customStyle="1" w:styleId="1Char">
    <w:name w:val="标题 1 Char"/>
    <w:link w:val="1"/>
    <w:semiHidden/>
    <w:qFormat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link w:val="2"/>
    <w:semiHidden/>
    <w:qFormat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link w:val="3"/>
    <w:semiHidden/>
    <w:qFormat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link w:val="4"/>
    <w:semiHidden/>
    <w:qFormat/>
    <w:rPr>
      <w:b/>
      <w:bCs/>
      <w:sz w:val="28"/>
      <w:szCs w:val="28"/>
    </w:rPr>
  </w:style>
  <w:style w:type="character" w:customStyle="1" w:styleId="5Char">
    <w:name w:val="标题 5 Char"/>
    <w:link w:val="5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link w:val="6"/>
    <w:semiHidden/>
    <w:qFormat/>
    <w:rPr>
      <w:b/>
      <w:bCs/>
    </w:rPr>
  </w:style>
  <w:style w:type="character" w:customStyle="1" w:styleId="7Char">
    <w:name w:val="标题 7 Char"/>
    <w:link w:val="7"/>
    <w:semiHidden/>
    <w:qFormat/>
    <w:rPr>
      <w:sz w:val="24"/>
      <w:szCs w:val="24"/>
    </w:rPr>
  </w:style>
  <w:style w:type="character" w:customStyle="1" w:styleId="8Char">
    <w:name w:val="标题 8 Char"/>
    <w:link w:val="8"/>
    <w:semiHidden/>
    <w:qFormat/>
    <w:rPr>
      <w:i/>
      <w:iCs/>
      <w:sz w:val="24"/>
      <w:szCs w:val="24"/>
    </w:rPr>
  </w:style>
  <w:style w:type="character" w:customStyle="1" w:styleId="9Char">
    <w:name w:val="标题 9 Char"/>
    <w:link w:val="9"/>
    <w:semiHidden/>
    <w:qFormat/>
    <w:rPr>
      <w:rFonts w:ascii="Cambria" w:eastAsia="宋体" w:hAnsi="Cambria"/>
    </w:rPr>
  </w:style>
  <w:style w:type="character" w:customStyle="1" w:styleId="Char">
    <w:name w:val="页脚 Char"/>
    <w:link w:val="a3"/>
    <w:semiHidden/>
    <w:qFormat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眉 Char"/>
    <w:link w:val="a4"/>
    <w:semiHidden/>
    <w:qFormat/>
    <w:rPr>
      <w:rFonts w:ascii="Calibri" w:eastAsia="宋体" w:hAnsi="Calibri"/>
      <w:kern w:val="2"/>
      <w:sz w:val="18"/>
      <w:szCs w:val="18"/>
    </w:rPr>
  </w:style>
  <w:style w:type="character" w:customStyle="1" w:styleId="Char1">
    <w:name w:val="副标题 Char"/>
    <w:link w:val="a5"/>
    <w:semiHidden/>
    <w:qFormat/>
    <w:rPr>
      <w:rFonts w:ascii="Cambria" w:eastAsia="宋体" w:hAnsi="Cambria"/>
      <w:sz w:val="24"/>
      <w:szCs w:val="24"/>
    </w:rPr>
  </w:style>
  <w:style w:type="character" w:customStyle="1" w:styleId="Char2">
    <w:name w:val="标题 Char"/>
    <w:link w:val="a6"/>
    <w:semiHidden/>
    <w:qFormat/>
    <w:rPr>
      <w:rFonts w:ascii="Cambria" w:eastAsia="宋体" w:hAnsi="Cambria"/>
      <w:b/>
      <w:bCs/>
      <w:kern w:val="28"/>
      <w:sz w:val="32"/>
      <w:szCs w:val="32"/>
    </w:rPr>
  </w:style>
  <w:style w:type="paragraph" w:customStyle="1" w:styleId="10">
    <w:name w:val="文本块1"/>
    <w:basedOn w:val="a"/>
    <w:next w:val="a"/>
    <w:link w:val="Char3"/>
    <w:qFormat/>
    <w:pPr>
      <w:widowControl/>
      <w:jc w:val="left"/>
    </w:pPr>
    <w:rPr>
      <w:i/>
      <w:sz w:val="24"/>
    </w:rPr>
  </w:style>
  <w:style w:type="paragraph" w:customStyle="1" w:styleId="11">
    <w:name w:val="无间隔1"/>
    <w:basedOn w:val="a"/>
    <w:qFormat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qFormat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3">
    <w:name w:val="明显引用1"/>
    <w:basedOn w:val="a"/>
    <w:next w:val="a"/>
    <w:link w:val="Char4"/>
    <w:qFormat/>
    <w:pPr>
      <w:widowControl/>
      <w:ind w:left="720" w:right="720"/>
      <w:jc w:val="left"/>
    </w:pPr>
    <w:rPr>
      <w:b/>
      <w:i/>
      <w:sz w:val="24"/>
    </w:rPr>
  </w:style>
  <w:style w:type="paragraph" w:customStyle="1" w:styleId="TOC1">
    <w:name w:val="TOC 标题1"/>
    <w:basedOn w:val="1"/>
    <w:next w:val="a"/>
    <w:qFormat/>
    <w:pPr>
      <w:outlineLvl w:val="9"/>
    </w:pPr>
    <w:rPr>
      <w:lang w:eastAsia="en-US" w:bidi="en-US"/>
    </w:rPr>
  </w:style>
  <w:style w:type="character" w:customStyle="1" w:styleId="Char3">
    <w:name w:val="引用 Char"/>
    <w:link w:val="10"/>
    <w:semiHidden/>
    <w:qFormat/>
    <w:rPr>
      <w:i/>
      <w:sz w:val="24"/>
      <w:szCs w:val="24"/>
    </w:rPr>
  </w:style>
  <w:style w:type="character" w:customStyle="1" w:styleId="Char4">
    <w:name w:val="明显引用 Char"/>
    <w:link w:val="13"/>
    <w:semiHidden/>
    <w:qFormat/>
    <w:rPr>
      <w:b/>
      <w:i/>
      <w:sz w:val="24"/>
    </w:rPr>
  </w:style>
  <w:style w:type="character" w:customStyle="1" w:styleId="14">
    <w:name w:val="不明显强调1"/>
    <w:qFormat/>
    <w:rPr>
      <w:i/>
      <w:color w:val="565656"/>
    </w:rPr>
  </w:style>
  <w:style w:type="character" w:customStyle="1" w:styleId="15">
    <w:name w:val="明显强调1"/>
    <w:qFormat/>
    <w:rPr>
      <w:b/>
      <w:i/>
      <w:sz w:val="24"/>
      <w:szCs w:val="24"/>
      <w:u w:val="single"/>
    </w:rPr>
  </w:style>
  <w:style w:type="character" w:customStyle="1" w:styleId="16">
    <w:name w:val="不明显参考1"/>
    <w:qFormat/>
    <w:rPr>
      <w:sz w:val="24"/>
      <w:szCs w:val="24"/>
      <w:u w:val="single"/>
    </w:rPr>
  </w:style>
  <w:style w:type="character" w:customStyle="1" w:styleId="17">
    <w:name w:val="明显参考1"/>
    <w:qFormat/>
    <w:rPr>
      <w:b/>
      <w:sz w:val="24"/>
      <w:u w:val="single"/>
    </w:rPr>
  </w:style>
  <w:style w:type="character" w:customStyle="1" w:styleId="18">
    <w:name w:val="书籍标题1"/>
    <w:qFormat/>
    <w:rPr>
      <w:rFonts w:ascii="Cambria" w:eastAsia="宋体" w:hAnsi="Cambria"/>
      <w:b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hulian</dc:title>
  <dc:creator>赵 恺（预算处）</dc:creator>
  <cp:lastModifiedBy>Windows User</cp:lastModifiedBy>
  <cp:revision>5</cp:revision>
  <cp:lastPrinted>2018-12-24T22:06:00Z</cp:lastPrinted>
  <dcterms:created xsi:type="dcterms:W3CDTF">2018-12-06T07:04:00Z</dcterms:created>
  <dcterms:modified xsi:type="dcterms:W3CDTF">2019-11-05T10:55:00Z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