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47" w:rsidRDefault="00D91B47">
      <w:pPr>
        <w:spacing w:line="540" w:lineRule="exact"/>
        <w:jc w:val="center"/>
        <w:rPr>
          <w:rFonts w:ascii="华文中宋" w:eastAsia="华文中宋" w:hAnsi="华文中宋" w:cs="宋体" w:hint="eastAsia"/>
          <w:b/>
          <w:kern w:val="0"/>
          <w:sz w:val="52"/>
          <w:szCs w:val="52"/>
        </w:rPr>
      </w:pPr>
      <w:bookmarkStart w:id="0" w:name="_GoBack"/>
      <w:bookmarkEnd w:id="0"/>
    </w:p>
    <w:p w:rsidR="00D91B47" w:rsidRDefault="00D91B4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91B47" w:rsidRDefault="00D91B4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91B47" w:rsidRDefault="00D91B4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91B47" w:rsidRDefault="00AD6393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ascii="华文中宋" w:eastAsia="华文中宋" w:hAnsi="华文中宋" w:cs="宋体" w:hint="eastAsia"/>
          <w:b/>
          <w:kern w:val="0"/>
          <w:sz w:val="52"/>
          <w:szCs w:val="52"/>
        </w:rPr>
        <w:t>新疆财政支出绩效自评报告</w:t>
      </w:r>
    </w:p>
    <w:p w:rsidR="00D91B47" w:rsidRDefault="00D91B4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91B47" w:rsidRDefault="00AD6393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D91B47" w:rsidRDefault="00D91B4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91B47" w:rsidRDefault="00D91B4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91B47" w:rsidRDefault="00D91B4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91B47" w:rsidRDefault="00D91B4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91B47" w:rsidRDefault="00D91B4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91B47" w:rsidRDefault="00D91B4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91B47" w:rsidRDefault="00D91B4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91B47" w:rsidRDefault="00D91B47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D91B47" w:rsidRDefault="00AD6393">
      <w:pPr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项目名称：</w:t>
      </w:r>
      <w:r>
        <w:rPr>
          <w:rFonts w:ascii="仿宋" w:eastAsia="仿宋" w:hAnsi="仿宋" w:cs="仿宋" w:hint="eastAsia"/>
          <w:sz w:val="36"/>
          <w:szCs w:val="36"/>
        </w:rPr>
        <w:t>林果简约化栽培和低产</w:t>
      </w:r>
      <w:proofErr w:type="gramStart"/>
      <w:r>
        <w:rPr>
          <w:rFonts w:ascii="仿宋" w:eastAsia="仿宋" w:hAnsi="仿宋" w:cs="仿宋" w:hint="eastAsia"/>
          <w:sz w:val="36"/>
          <w:szCs w:val="36"/>
        </w:rPr>
        <w:t>低效园</w:t>
      </w:r>
      <w:proofErr w:type="gramEnd"/>
      <w:r>
        <w:rPr>
          <w:rFonts w:ascii="仿宋" w:eastAsia="仿宋" w:hAnsi="仿宋" w:cs="仿宋" w:hint="eastAsia"/>
          <w:sz w:val="36"/>
          <w:szCs w:val="36"/>
        </w:rPr>
        <w:t>改造项目</w:t>
      </w:r>
    </w:p>
    <w:p w:rsidR="00D91B47" w:rsidRDefault="00AD6393">
      <w:pPr>
        <w:spacing w:line="700" w:lineRule="exact"/>
        <w:jc w:val="left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实施单位（公章）：喀什</w:t>
      </w:r>
      <w:r>
        <w:rPr>
          <w:rFonts w:ascii="仿宋" w:eastAsia="仿宋" w:hAnsi="仿宋" w:cs="仿宋" w:hint="eastAsia"/>
          <w:sz w:val="36"/>
          <w:szCs w:val="36"/>
        </w:rPr>
        <w:t>地区林业局</w:t>
      </w:r>
    </w:p>
    <w:p w:rsidR="00D91B47" w:rsidRDefault="00AD6393">
      <w:pPr>
        <w:spacing w:line="700" w:lineRule="exact"/>
        <w:jc w:val="left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自治区主管部门（公章）：</w:t>
      </w:r>
    </w:p>
    <w:p w:rsidR="00D91B47" w:rsidRDefault="00AD6393">
      <w:pPr>
        <w:spacing w:line="700" w:lineRule="exact"/>
        <w:jc w:val="left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项目负责人（签章）：白玉龙</w:t>
      </w:r>
    </w:p>
    <w:p w:rsidR="00D91B47" w:rsidRDefault="00AD6393">
      <w:pPr>
        <w:spacing w:line="700" w:lineRule="exact"/>
        <w:jc w:val="left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填报时间：</w:t>
      </w:r>
      <w:r>
        <w:rPr>
          <w:rFonts w:ascii="仿宋" w:eastAsia="仿宋" w:hAnsi="仿宋" w:cs="仿宋" w:hint="eastAsia"/>
          <w:kern w:val="0"/>
          <w:sz w:val="36"/>
          <w:szCs w:val="36"/>
        </w:rPr>
        <w:t>2018</w:t>
      </w:r>
      <w:r>
        <w:rPr>
          <w:rFonts w:ascii="仿宋" w:eastAsia="仿宋" w:hAnsi="仿宋" w:cs="仿宋" w:hint="eastAsia"/>
          <w:kern w:val="0"/>
          <w:sz w:val="36"/>
          <w:szCs w:val="36"/>
        </w:rPr>
        <w:t>年</w:t>
      </w:r>
      <w:r>
        <w:rPr>
          <w:rFonts w:ascii="仿宋" w:eastAsia="仿宋" w:hAnsi="仿宋" w:cs="仿宋" w:hint="eastAsia"/>
          <w:kern w:val="0"/>
          <w:sz w:val="36"/>
          <w:szCs w:val="36"/>
        </w:rPr>
        <w:t>12</w:t>
      </w:r>
      <w:r>
        <w:rPr>
          <w:rFonts w:ascii="仿宋" w:eastAsia="仿宋" w:hAnsi="仿宋" w:cs="仿宋" w:hint="eastAsia"/>
          <w:kern w:val="0"/>
          <w:sz w:val="36"/>
          <w:szCs w:val="36"/>
        </w:rPr>
        <w:t>月</w:t>
      </w:r>
      <w:r>
        <w:rPr>
          <w:rFonts w:ascii="仿宋" w:eastAsia="仿宋" w:hAnsi="仿宋" w:cs="仿宋" w:hint="eastAsia"/>
          <w:kern w:val="0"/>
          <w:sz w:val="36"/>
          <w:szCs w:val="36"/>
        </w:rPr>
        <w:t>15</w:t>
      </w:r>
      <w:r>
        <w:rPr>
          <w:rFonts w:ascii="仿宋" w:eastAsia="仿宋" w:hAnsi="仿宋" w:cs="仿宋" w:hint="eastAsia"/>
          <w:kern w:val="0"/>
          <w:sz w:val="36"/>
          <w:szCs w:val="36"/>
        </w:rPr>
        <w:t>日</w:t>
      </w:r>
    </w:p>
    <w:p w:rsidR="00D91B47" w:rsidRDefault="00AD6393">
      <w:pPr>
        <w:adjustRightInd w:val="0"/>
        <w:snapToGrid w:val="0"/>
        <w:spacing w:line="560" w:lineRule="exact"/>
        <w:ind w:firstLineChars="200" w:firstLine="723"/>
        <w:jc w:val="left"/>
        <w:rPr>
          <w:rStyle w:val="a8"/>
          <w:rFonts w:ascii="黑体" w:eastAsia="黑体" w:hAnsi="黑体"/>
          <w:b w:val="0"/>
          <w:color w:val="000000"/>
          <w:spacing w:val="-4"/>
          <w:sz w:val="32"/>
          <w:szCs w:val="32"/>
        </w:rPr>
      </w:pPr>
      <w:r>
        <w:rPr>
          <w:rFonts w:ascii="黑体" w:eastAsia="黑体" w:hAnsi="黑体" w:cs="宋体"/>
          <w:b/>
          <w:color w:val="000000"/>
          <w:kern w:val="0"/>
          <w:sz w:val="36"/>
          <w:szCs w:val="36"/>
        </w:rPr>
        <w:br w:type="page"/>
      </w:r>
      <w:r>
        <w:rPr>
          <w:rStyle w:val="a8"/>
          <w:rFonts w:ascii="黑体" w:eastAsia="黑体" w:hAnsi="黑体" w:hint="eastAsia"/>
          <w:b w:val="0"/>
          <w:color w:val="000000"/>
          <w:spacing w:val="-4"/>
          <w:sz w:val="32"/>
          <w:szCs w:val="32"/>
        </w:rPr>
        <w:lastRenderedPageBreak/>
        <w:t>一、项目概况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rPr>
          <w:rStyle w:val="a8"/>
          <w:rFonts w:ascii="楷体" w:eastAsia="楷体" w:hAnsi="楷体"/>
          <w:color w:val="000000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color w:val="000000"/>
          <w:spacing w:val="-4"/>
          <w:sz w:val="32"/>
          <w:szCs w:val="32"/>
        </w:rPr>
        <w:t>（一）项目单位基本情况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color w:val="00000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地区林业局成立于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1981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年，正县级行政机关，隶属于喀什行署，位于喀什市人民西路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133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号。主要职责有：贯彻执行党和国家关于林业及其生态建设的法律、法规、方针、政策。拟订全地区林业发展战略、中长期规划并组织实施；认真组织实施造林绿化，加强荒漠化防治和防沙治沙，营造良好的生态环境，组织实施林果业生产和市场建设，推进林业生态体系、林果产业体系和生态文化体系建设；承担森林、陆生野生动植物资源的保护和合理开发利用，依法打击涉林违法犯罪行为；指导大风、沙尘暴、低温冻害、林业有害生物等灾害预测预报和应急处置，加强林业灾害综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合防控体系建设；组织实施科技兴林，加强林业人才队伍建设，提高林业科技支撑能力建设；负责林业行政执法及监督，推进依法治林；组织实施集体林权制度改革工作，加快推进国有林场（苗圃、林业站）改革，促进林业资源的合理化配置；负责林业系统自然保护区森林公园、湿地的监督管理；监督管理地区森林公安局队伍；</w:t>
      </w:r>
      <w:proofErr w:type="gramStart"/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指导全</w:t>
      </w:r>
      <w:proofErr w:type="gramEnd"/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地区林业重大违法案件的查处；承办地委、行署交办的其他事项。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color w:val="00000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目前地区林业局内设办公室、林业产业管理科、森林资源保护管理科、科技与市场建设科、政策法规和林业改革发展科等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5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个职能科室，下辖地区绿化委员会办公室、护林防火办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公室、森林公安局、林业管理站、林业有害生物防治检疫局、野生动植物保护管理站、林业勘察设计队、机关服务中心等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9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个单位。总编制数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101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，实有干部职工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88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名，其中工人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6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名。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lastRenderedPageBreak/>
        <w:t>离休干部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4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人，退休干部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35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人。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rPr>
          <w:rStyle w:val="a8"/>
          <w:rFonts w:ascii="楷体" w:eastAsia="楷体" w:hAnsi="楷体"/>
          <w:color w:val="000000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color w:val="000000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color w:val="000000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color w:val="000000"/>
          <w:spacing w:val="-4"/>
          <w:sz w:val="32"/>
          <w:szCs w:val="32"/>
        </w:rPr>
        <w:t>设定情况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color w:val="000000"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/>
          <w:bCs/>
          <w:color w:val="000000"/>
          <w:spacing w:val="-4"/>
          <w:sz w:val="32"/>
          <w:szCs w:val="32"/>
        </w:rPr>
        <w:t>、项目预期目标及阶段性目标</w:t>
      </w:r>
    </w:p>
    <w:p w:rsidR="00D91B47" w:rsidRDefault="00AD639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通过购买优质新梅等经济林苗木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 w:hint="eastAsia"/>
          <w:sz w:val="32"/>
          <w:szCs w:val="32"/>
        </w:rPr>
        <w:t>万株，采购化肥</w:t>
      </w:r>
      <w:r>
        <w:rPr>
          <w:rFonts w:ascii="仿宋" w:eastAsia="仿宋" w:hAnsi="仿宋" w:cs="仿宋" w:hint="eastAsia"/>
          <w:sz w:val="32"/>
          <w:szCs w:val="32"/>
        </w:rPr>
        <w:t>127.5</w:t>
      </w:r>
      <w:r>
        <w:rPr>
          <w:rFonts w:ascii="仿宋" w:eastAsia="仿宋" w:hAnsi="仿宋" w:cs="仿宋" w:hint="eastAsia"/>
          <w:sz w:val="32"/>
          <w:szCs w:val="32"/>
        </w:rPr>
        <w:t>吨，购买整形修剪工具</w:t>
      </w:r>
      <w:r>
        <w:rPr>
          <w:rFonts w:ascii="仿宋" w:eastAsia="仿宋" w:hAnsi="仿宋" w:cs="仿宋" w:hint="eastAsia"/>
          <w:sz w:val="32"/>
          <w:szCs w:val="32"/>
        </w:rPr>
        <w:t>221</w:t>
      </w:r>
      <w:r>
        <w:rPr>
          <w:rFonts w:ascii="仿宋" w:eastAsia="仿宋" w:hAnsi="仿宋" w:cs="仿宋" w:hint="eastAsia"/>
          <w:sz w:val="32"/>
          <w:szCs w:val="32"/>
        </w:rPr>
        <w:t>个，指导当地农民在大田或自家庭院中种植新梅这一树形美观、见效快、效益好的经济林树种。进一步提高农民庭院收入，加快农民脱贫致富奔小康的步伐，同时促进乡村绿化、美化，提高项目</w:t>
      </w:r>
      <w:r>
        <w:rPr>
          <w:rFonts w:ascii="仿宋" w:eastAsia="仿宋" w:hAnsi="仿宋" w:cs="仿宋" w:hint="eastAsia"/>
          <w:sz w:val="32"/>
          <w:szCs w:val="32"/>
        </w:rPr>
        <w:t>区人民生活质量。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color w:val="000000"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/>
          <w:bCs/>
          <w:color w:val="000000"/>
          <w:spacing w:val="-4"/>
          <w:sz w:val="32"/>
          <w:szCs w:val="32"/>
        </w:rPr>
        <w:t>、项目基本性质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林果简约化栽培和低产</w:t>
      </w:r>
      <w:proofErr w:type="gramStart"/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低效园改造目性质</w:t>
      </w:r>
      <w:proofErr w:type="gramEnd"/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为新增项目。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color w:val="000000"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color w:val="000000"/>
          <w:spacing w:val="-4"/>
          <w:sz w:val="32"/>
          <w:szCs w:val="32"/>
        </w:rPr>
        <w:t>、项目用途及范围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 w:cs="仿宋"/>
          <w:bCs/>
          <w:color w:val="000000"/>
          <w:spacing w:val="-4"/>
          <w:sz w:val="32"/>
          <w:szCs w:val="32"/>
        </w:rPr>
      </w:pPr>
      <w:r>
        <w:rPr>
          <w:rStyle w:val="a8"/>
          <w:rFonts w:ascii="仿宋" w:eastAsia="仿宋" w:hAnsi="仿宋" w:cs="仿宋" w:hint="eastAsia"/>
          <w:b w:val="0"/>
          <w:color w:val="000000"/>
          <w:spacing w:val="-4"/>
          <w:sz w:val="32"/>
          <w:szCs w:val="32"/>
        </w:rPr>
        <w:t>财政局从我局上年结余结转的自治区林业重点项目补助资金中安排</w:t>
      </w:r>
      <w:r>
        <w:rPr>
          <w:rFonts w:ascii="仿宋" w:eastAsia="仿宋" w:hAnsi="仿宋" w:cs="仿宋" w:hint="eastAsia"/>
          <w:sz w:val="32"/>
          <w:szCs w:val="32"/>
        </w:rPr>
        <w:t>林果简约化栽培和低产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低效园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改造费</w:t>
      </w:r>
      <w:r>
        <w:rPr>
          <w:rFonts w:ascii="仿宋" w:eastAsia="仿宋" w:hAnsi="仿宋" w:cs="仿宋" w:hint="eastAsia"/>
          <w:sz w:val="32"/>
          <w:szCs w:val="32"/>
        </w:rPr>
        <w:t>230.64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万元，主要购买优质新梅等经济林苗木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万株，采购化肥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127.5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吨，购买整形修剪工具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221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个，及购买服务队服装数量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套，指导当地农民在大田或自家庭院中种植新梅，形美观、见效快、效益好的经济林树种，提高农民庭院经济收入，助力脱贫攻坚。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outlineLvl w:val="0"/>
        <w:rPr>
          <w:rStyle w:val="a8"/>
          <w:rFonts w:ascii="黑体" w:eastAsia="黑体" w:hAnsi="黑体"/>
          <w:b w:val="0"/>
          <w:color w:val="00000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color w:val="000000"/>
          <w:spacing w:val="-4"/>
          <w:sz w:val="32"/>
          <w:szCs w:val="32"/>
        </w:rPr>
        <w:t>二、项目资金使用及管理情况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outlineLvl w:val="0"/>
        <w:rPr>
          <w:rStyle w:val="a8"/>
          <w:rFonts w:ascii="楷体" w:eastAsia="楷体" w:hAnsi="楷体"/>
          <w:color w:val="000000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color w:val="000000"/>
          <w:spacing w:val="-4"/>
          <w:sz w:val="32"/>
          <w:szCs w:val="32"/>
        </w:rPr>
        <w:t>（一）项目资金安排落实、总投入等情况分析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林果简约化栽培和低产</w:t>
      </w:r>
      <w:proofErr w:type="gramStart"/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低效园</w:t>
      </w:r>
      <w:proofErr w:type="gramEnd"/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改造项目</w:t>
      </w:r>
      <w:r>
        <w:rPr>
          <w:rFonts w:ascii="仿宋" w:eastAsia="仿宋" w:hAnsi="仿宋" w:hint="eastAsia"/>
          <w:color w:val="000000"/>
          <w:sz w:val="32"/>
          <w:szCs w:val="32"/>
        </w:rPr>
        <w:t>预算安排总额为</w:t>
      </w:r>
      <w:r>
        <w:rPr>
          <w:rFonts w:ascii="仿宋" w:eastAsia="仿宋" w:hAnsi="仿宋" w:cs="仿宋" w:hint="eastAsia"/>
          <w:sz w:val="32"/>
          <w:szCs w:val="32"/>
        </w:rPr>
        <w:t>230.64</w:t>
      </w:r>
      <w:r>
        <w:rPr>
          <w:rFonts w:ascii="仿宋" w:eastAsia="仿宋" w:hAnsi="仿宋" w:hint="eastAsia"/>
          <w:color w:val="000000"/>
          <w:sz w:val="32"/>
          <w:szCs w:val="32"/>
        </w:rPr>
        <w:t>万元，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其中财政资金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230.64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万元，自筹资金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0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万元，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2018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年实际收到预算资金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230.64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万元。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outlineLvl w:val="0"/>
        <w:rPr>
          <w:rStyle w:val="a8"/>
          <w:rFonts w:ascii="楷体" w:eastAsia="楷体" w:hAnsi="楷体"/>
          <w:color w:val="000000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color w:val="000000"/>
          <w:spacing w:val="-4"/>
          <w:sz w:val="32"/>
          <w:szCs w:val="32"/>
        </w:rPr>
        <w:t>（二）项目资金实际使用情况分析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 w:cs="仿宋"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林果简约化栽培和低产</w:t>
      </w:r>
      <w:proofErr w:type="gramStart"/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低效园</w:t>
      </w:r>
      <w:proofErr w:type="gramEnd"/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改造</w:t>
      </w:r>
      <w:r>
        <w:rPr>
          <w:rFonts w:ascii="仿宋" w:eastAsia="仿宋" w:hAnsi="仿宋" w:hint="eastAsia"/>
          <w:color w:val="000000"/>
          <w:sz w:val="32"/>
          <w:szCs w:val="32"/>
        </w:rPr>
        <w:t>项目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实际支付资金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230.64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万元，预算执行率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100</w:t>
      </w:r>
      <w:r>
        <w:rPr>
          <w:rFonts w:ascii="仿宋" w:eastAsia="仿宋" w:hAnsi="仿宋"/>
          <w:bCs/>
          <w:color w:val="000000"/>
          <w:spacing w:val="-4"/>
          <w:sz w:val="32"/>
          <w:szCs w:val="32"/>
        </w:rPr>
        <w:t>%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。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主要购买优质新梅等经济林苗木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177.51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万元，采购化肥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44.59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万元，购买整形修剪工具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4.24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万元及购买服务队服装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4.3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outlineLvl w:val="0"/>
        <w:rPr>
          <w:rStyle w:val="a8"/>
          <w:rFonts w:ascii="楷体" w:eastAsia="楷体" w:hAnsi="楷体"/>
          <w:color w:val="000000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color w:val="000000"/>
          <w:spacing w:val="-4"/>
          <w:sz w:val="32"/>
          <w:szCs w:val="32"/>
        </w:rPr>
        <w:t>（三）项目资金管理情况分析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林果简约化栽培和低产</w:t>
      </w:r>
      <w:proofErr w:type="gramStart"/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低效园</w:t>
      </w:r>
      <w:proofErr w:type="gramEnd"/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改造项目支出符合喀什地区林业局相关财务管理制度，符合《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新疆维吾尔自治区林业改革发展资金管理实施细则》，资金拨付有完整的审批程序和手续，坚决做到专款专用，无截留、挤占、挪用、虚列支出等情况。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outlineLvl w:val="0"/>
        <w:rPr>
          <w:rStyle w:val="a8"/>
          <w:rFonts w:ascii="黑体" w:eastAsia="黑体" w:hAnsi="黑体"/>
          <w:b w:val="0"/>
          <w:color w:val="00000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color w:val="000000"/>
          <w:spacing w:val="-4"/>
          <w:sz w:val="32"/>
          <w:szCs w:val="32"/>
        </w:rPr>
        <w:t>三、项目组织实施情况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outlineLvl w:val="0"/>
        <w:rPr>
          <w:rStyle w:val="a8"/>
          <w:rFonts w:ascii="楷体" w:eastAsia="楷体" w:hAnsi="楷体"/>
          <w:color w:val="000000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color w:val="000000"/>
          <w:spacing w:val="-4"/>
          <w:sz w:val="32"/>
          <w:szCs w:val="32"/>
        </w:rPr>
        <w:t>（一）项目组织情况分析</w:t>
      </w:r>
    </w:p>
    <w:p w:rsidR="00D91B47" w:rsidRDefault="00AD6393">
      <w:pPr>
        <w:adjustRightInd w:val="0"/>
        <w:snapToGrid w:val="0"/>
        <w:spacing w:line="560" w:lineRule="exact"/>
        <w:ind w:firstLineChars="200" w:firstLine="640"/>
        <w:rPr>
          <w:rStyle w:val="a8"/>
          <w:rFonts w:ascii="仿宋" w:eastAsia="仿宋" w:hAnsi="仿宋"/>
          <w:b w:val="0"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林果简约化栽培和低产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低效园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改造项目严格按照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招投标法和相关程序进行公开招标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,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做到公平、公开、公正，目前项目招投标程序全部完成，并通过验收。</w:t>
      </w:r>
    </w:p>
    <w:p w:rsidR="00D91B47" w:rsidRDefault="00AD6393">
      <w:pPr>
        <w:adjustRightInd w:val="0"/>
        <w:snapToGrid w:val="0"/>
        <w:spacing w:line="560" w:lineRule="exact"/>
        <w:ind w:firstLineChars="200" w:firstLine="640"/>
        <w:rPr>
          <w:rStyle w:val="a8"/>
          <w:rFonts w:ascii="仿宋" w:eastAsia="仿宋" w:hAnsi="仿宋"/>
          <w:b w:val="0"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本项目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不存在调整情况。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color w:val="00000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为保证项目质量和成本控制，</w:t>
      </w:r>
      <w:r>
        <w:rPr>
          <w:rFonts w:ascii="仿宋" w:eastAsia="仿宋" w:hAnsi="仿宋" w:hint="eastAsia"/>
          <w:color w:val="000000"/>
          <w:sz w:val="32"/>
          <w:szCs w:val="32"/>
        </w:rPr>
        <w:t>林果简约化栽培和低产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低效园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改造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项目实施完成后，由本项目相关人员于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2018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年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11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月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30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日完成检查验收，检查验收合格后按合同规定支付款项。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outlineLvl w:val="0"/>
        <w:rPr>
          <w:rStyle w:val="a8"/>
          <w:rFonts w:ascii="楷体" w:eastAsia="楷体" w:hAnsi="楷体"/>
          <w:color w:val="000000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color w:val="000000"/>
          <w:spacing w:val="-4"/>
          <w:sz w:val="32"/>
          <w:szCs w:val="32"/>
        </w:rPr>
        <w:t>（二）项目管理情况分析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项目实施过程中，严格按照招投标法执行，保障采购手续正常有序进行，后期资料齐全并及时进行了归档，以便不定期对项目进度情况进行督导检查，对检查过程中发现的问题及时督促整改，确保了项目按时保质完成。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outlineLvl w:val="0"/>
        <w:rPr>
          <w:rStyle w:val="a8"/>
          <w:rFonts w:ascii="黑体" w:eastAsia="黑体" w:hAnsi="黑体"/>
          <w:color w:val="000000"/>
        </w:rPr>
      </w:pPr>
      <w:r>
        <w:rPr>
          <w:rStyle w:val="a8"/>
          <w:rFonts w:ascii="黑体" w:eastAsia="黑体" w:hAnsi="黑体" w:hint="eastAsia"/>
          <w:b w:val="0"/>
          <w:color w:val="000000"/>
          <w:spacing w:val="-4"/>
          <w:sz w:val="32"/>
          <w:szCs w:val="32"/>
        </w:rPr>
        <w:t>四、项目绩效情况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outlineLvl w:val="0"/>
        <w:rPr>
          <w:rStyle w:val="a8"/>
          <w:rFonts w:ascii="楷体" w:eastAsia="楷体" w:hAnsi="楷体"/>
          <w:bCs w:val="0"/>
          <w:color w:val="00000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color w:val="000000"/>
          <w:spacing w:val="-4"/>
          <w:sz w:val="32"/>
          <w:szCs w:val="32"/>
        </w:rPr>
        <w:t>（一）项目绩效目标完成情况分析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/>
          <w:bCs/>
          <w:color w:val="000000"/>
          <w:spacing w:val="-4"/>
          <w:sz w:val="32"/>
          <w:szCs w:val="32"/>
        </w:rPr>
        <w:t>本项目共设置一级指标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3</w:t>
      </w:r>
      <w:r>
        <w:rPr>
          <w:rFonts w:ascii="仿宋" w:eastAsia="仿宋" w:hAnsi="仿宋"/>
          <w:bCs/>
          <w:color w:val="000000"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color w:val="000000"/>
          <w:spacing w:val="-4"/>
          <w:sz w:val="32"/>
          <w:szCs w:val="32"/>
        </w:rPr>
        <w:t>二级指标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8</w:t>
      </w:r>
      <w:r>
        <w:rPr>
          <w:rFonts w:ascii="仿宋" w:eastAsia="仿宋" w:hAnsi="仿宋"/>
          <w:bCs/>
          <w:color w:val="000000"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color w:val="000000"/>
          <w:spacing w:val="-4"/>
          <w:sz w:val="32"/>
          <w:szCs w:val="32"/>
        </w:rPr>
        <w:t>三级指标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17</w:t>
      </w:r>
      <w:r>
        <w:rPr>
          <w:rFonts w:ascii="仿宋" w:eastAsia="仿宋" w:hAnsi="仿宋"/>
          <w:bCs/>
          <w:color w:val="000000"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，其中</w:t>
      </w:r>
      <w:r>
        <w:rPr>
          <w:rFonts w:ascii="仿宋" w:eastAsia="仿宋" w:hAnsi="仿宋"/>
          <w:bCs/>
          <w:color w:val="000000"/>
          <w:spacing w:val="-4"/>
          <w:sz w:val="32"/>
          <w:szCs w:val="32"/>
        </w:rPr>
        <w:t>已完成三级指标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17</w:t>
      </w:r>
      <w:r>
        <w:rPr>
          <w:rFonts w:ascii="仿宋" w:eastAsia="仿宋" w:hAnsi="仿宋"/>
          <w:bCs/>
          <w:color w:val="000000"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，指标完成率为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100.00%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。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color w:val="00000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经济性：年初制定的</w:t>
      </w:r>
      <w:r>
        <w:rPr>
          <w:rFonts w:ascii="仿宋" w:eastAsia="仿宋" w:hAnsi="仿宋" w:hint="eastAsia"/>
          <w:color w:val="000000"/>
          <w:sz w:val="32"/>
          <w:szCs w:val="32"/>
        </w:rPr>
        <w:t>林果简约化栽培和低产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低效园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改造总投资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小于等于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230.64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万元，后期实际全部采购费用为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230.64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万元，与年初相对比严格控制了项目成本。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color w:val="00000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效率性：</w:t>
      </w:r>
      <w:r>
        <w:rPr>
          <w:rFonts w:ascii="仿宋" w:eastAsia="仿宋" w:hAnsi="仿宋" w:hint="eastAsia"/>
          <w:color w:val="000000"/>
          <w:sz w:val="32"/>
          <w:szCs w:val="32"/>
        </w:rPr>
        <w:t>林果简约化栽培和低产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低效园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改造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严格按照年初制定的时间，并且保质保量完成。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color w:val="00000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效益性：项目实施后，果树盛果期每亩增收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5000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元，发展了</w:t>
      </w:r>
      <w:proofErr w:type="gramStart"/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庭院庭院</w:t>
      </w:r>
      <w:proofErr w:type="gramEnd"/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经济，促进乡村绿化、美化，有效改善了人居环境，提高了项目区人民生活质量。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outlineLvl w:val="0"/>
        <w:rPr>
          <w:rFonts w:ascii="楷体" w:eastAsia="楷体" w:hAnsi="楷体"/>
          <w:b/>
          <w:color w:val="00000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color w:val="000000"/>
          <w:spacing w:val="-4"/>
          <w:sz w:val="32"/>
          <w:szCs w:val="32"/>
        </w:rPr>
        <w:t>（二）项目绩效目标完成情况分析</w:t>
      </w:r>
    </w:p>
    <w:p w:rsidR="00D91B47" w:rsidRDefault="00AD6393">
      <w:pPr>
        <w:spacing w:line="540" w:lineRule="exact"/>
        <w:ind w:firstLineChars="243" w:firstLine="758"/>
        <w:rPr>
          <w:rFonts w:ascii="仿宋" w:eastAsia="仿宋" w:hAnsi="仿宋" w:cs="仿宋"/>
          <w:color w:val="FF0000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林果简约化栽培和低产</w:t>
      </w:r>
      <w:proofErr w:type="gramStart"/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低效园</w:t>
      </w:r>
      <w:proofErr w:type="gramEnd"/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改造项目严格按照程序采购苗木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30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万株、化肥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127.5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吨、采购修枝剪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221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个，全部分发给农户，并指导农民种植，提高农民收入，改善居住环境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，促进乡村绿化、美化，目前项目已全部实施完毕，本年度绩效目标全部完成。</w:t>
      </w:r>
    </w:p>
    <w:p w:rsidR="00D91B47" w:rsidRDefault="00AD6393">
      <w:pPr>
        <w:adjustRightInd w:val="0"/>
        <w:snapToGrid w:val="0"/>
        <w:spacing w:line="560" w:lineRule="exact"/>
        <w:ind w:firstLineChars="300" w:firstLine="936"/>
        <w:outlineLvl w:val="0"/>
        <w:rPr>
          <w:rStyle w:val="a8"/>
          <w:rFonts w:ascii="黑体" w:eastAsia="黑体" w:hAnsi="黑体"/>
          <w:b w:val="0"/>
          <w:color w:val="00000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color w:val="000000"/>
          <w:spacing w:val="-4"/>
          <w:sz w:val="32"/>
          <w:szCs w:val="32"/>
        </w:rPr>
        <w:t>五、其他需要说明的问题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outlineLvl w:val="0"/>
        <w:rPr>
          <w:rFonts w:ascii="楷体" w:eastAsia="楷体" w:hAnsi="楷体"/>
          <w:b/>
          <w:color w:val="00000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color w:val="000000"/>
          <w:spacing w:val="-4"/>
          <w:sz w:val="32"/>
          <w:szCs w:val="32"/>
        </w:rPr>
        <w:t>（一）后续工作计划</w:t>
      </w:r>
    </w:p>
    <w:p w:rsidR="00D91B47" w:rsidRDefault="00AD6393">
      <w:pPr>
        <w:spacing w:line="540" w:lineRule="exact"/>
        <w:ind w:firstLineChars="243" w:firstLine="758"/>
        <w:rPr>
          <w:rFonts w:ascii="仿宋" w:eastAsia="仿宋" w:hAnsi="仿宋" w:cs="仿宋"/>
          <w:color w:val="00000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4"/>
          <w:sz w:val="32"/>
          <w:szCs w:val="32"/>
        </w:rPr>
        <w:t>根据地区的工作安排部署，发挥行业优势，进一步做好</w:t>
      </w:r>
      <w:proofErr w:type="gramStart"/>
      <w:r>
        <w:rPr>
          <w:rFonts w:ascii="仿宋" w:eastAsia="仿宋" w:hAnsi="仿宋" w:cs="仿宋" w:hint="eastAsia"/>
          <w:color w:val="000000"/>
          <w:spacing w:val="-4"/>
          <w:sz w:val="32"/>
          <w:szCs w:val="32"/>
        </w:rPr>
        <w:t>林果业提质</w:t>
      </w:r>
      <w:proofErr w:type="gramEnd"/>
      <w:r>
        <w:rPr>
          <w:rFonts w:ascii="仿宋" w:eastAsia="仿宋" w:hAnsi="仿宋" w:cs="仿宋" w:hint="eastAsia"/>
          <w:color w:val="000000"/>
          <w:spacing w:val="-4"/>
          <w:sz w:val="32"/>
          <w:szCs w:val="32"/>
        </w:rPr>
        <w:t>增效工作。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outlineLvl w:val="0"/>
        <w:rPr>
          <w:rFonts w:ascii="楷体" w:eastAsia="楷体" w:hAnsi="楷体"/>
          <w:b/>
          <w:color w:val="00000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color w:val="000000"/>
          <w:spacing w:val="-4"/>
          <w:sz w:val="32"/>
          <w:szCs w:val="32"/>
        </w:rPr>
        <w:t>（二）主要经验及做法、存在问题和建议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、主要经验及做法</w:t>
      </w:r>
    </w:p>
    <w:p w:rsidR="00D91B47" w:rsidRDefault="00AD6393">
      <w:pPr>
        <w:adjustRightInd w:val="0"/>
        <w:snapToGrid w:val="0"/>
        <w:spacing w:line="560" w:lineRule="exact"/>
        <w:ind w:firstLineChars="200" w:firstLine="640"/>
        <w:rPr>
          <w:rStyle w:val="a8"/>
          <w:rFonts w:ascii="仿宋" w:eastAsia="仿宋" w:hAnsi="仿宋"/>
          <w:b w:val="0"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林果简约化栽培和低产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低效园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改造项目严格按照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招投标法和相关程序进行公开招标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,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采购物资通过验收后，及时</w:t>
      </w: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发放到农民手中，完成对低产</w:t>
      </w:r>
      <w:proofErr w:type="gramStart"/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低效园</w:t>
      </w:r>
      <w:proofErr w:type="gramEnd"/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的改造工作。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、存在的问题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无</w:t>
      </w:r>
    </w:p>
    <w:p w:rsidR="00D91B47" w:rsidRDefault="00AD6393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建议</w:t>
      </w:r>
    </w:p>
    <w:p w:rsidR="00D91B47" w:rsidRDefault="00AD6393">
      <w:pPr>
        <w:adjustRightInd w:val="0"/>
        <w:snapToGrid w:val="0"/>
        <w:spacing w:line="560" w:lineRule="exact"/>
        <w:rPr>
          <w:rFonts w:ascii="仿宋" w:eastAsia="仿宋" w:hAnsi="仿宋"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无</w:t>
      </w:r>
    </w:p>
    <w:p w:rsidR="00D91B47" w:rsidRDefault="00AD6393" w:rsidP="00D91B47">
      <w:pPr>
        <w:adjustRightInd w:val="0"/>
        <w:snapToGrid w:val="0"/>
        <w:spacing w:line="560" w:lineRule="exact"/>
        <w:ind w:firstLineChars="200" w:firstLine="624"/>
        <w:outlineLvl w:val="0"/>
        <w:rPr>
          <w:rFonts w:ascii="楷体" w:eastAsia="楷体" w:hAnsi="楷体"/>
          <w:b/>
          <w:color w:val="00000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color w:val="000000"/>
          <w:spacing w:val="-4"/>
          <w:sz w:val="32"/>
          <w:szCs w:val="32"/>
        </w:rPr>
        <w:t>（三）其他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color w:val="000000"/>
          <w:spacing w:val="-4"/>
          <w:sz w:val="32"/>
          <w:szCs w:val="32"/>
        </w:rPr>
        <w:t>无其他说明内容。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outlineLvl w:val="0"/>
        <w:rPr>
          <w:rFonts w:ascii="黑体" w:eastAsia="黑体" w:hAnsi="黑体"/>
          <w:bCs/>
          <w:color w:val="00000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color w:val="000000"/>
          <w:spacing w:val="-4"/>
          <w:sz w:val="32"/>
          <w:szCs w:val="32"/>
        </w:rPr>
        <w:t>六、项目评价工作情况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color w:val="000000"/>
          <w:spacing w:val="-4"/>
          <w:sz w:val="32"/>
          <w:szCs w:val="32"/>
        </w:rPr>
      </w:pPr>
      <w:r>
        <w:rPr>
          <w:rFonts w:ascii="仿宋" w:eastAsia="仿宋" w:hAnsi="仿宋" w:hint="eastAsia"/>
          <w:color w:val="000000"/>
          <w:spacing w:val="-4"/>
          <w:sz w:val="32"/>
          <w:szCs w:val="32"/>
        </w:rPr>
        <w:t>本次评价通过文件研读、实地调研、数据分析等方式，全面了解成活率检查验收项目资金的使用效率和效果，项目管理过程规范，完成了预期绩效目标等。同时，通过开展自我评价来总结经验和教训，为喀什地区成</w:t>
      </w:r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林果简约化栽培和低产</w:t>
      </w:r>
      <w:proofErr w:type="gramStart"/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低效园</w:t>
      </w:r>
      <w:proofErr w:type="gramEnd"/>
      <w:r>
        <w:rPr>
          <w:rFonts w:ascii="仿宋" w:eastAsia="仿宋" w:hAnsi="仿宋" w:hint="eastAsia"/>
          <w:bCs/>
          <w:color w:val="000000"/>
          <w:spacing w:val="-4"/>
          <w:sz w:val="32"/>
          <w:szCs w:val="32"/>
        </w:rPr>
        <w:t>改造项目</w:t>
      </w:r>
      <w:r>
        <w:rPr>
          <w:rFonts w:ascii="仿宋" w:eastAsia="仿宋" w:hAnsi="仿宋" w:hint="eastAsia"/>
          <w:color w:val="000000"/>
          <w:spacing w:val="-4"/>
          <w:sz w:val="32"/>
          <w:szCs w:val="32"/>
        </w:rPr>
        <w:t>今后的开展提供参考建议。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outlineLvl w:val="0"/>
        <w:rPr>
          <w:rStyle w:val="a8"/>
          <w:rFonts w:ascii="黑体" w:eastAsia="黑体" w:hAnsi="黑体"/>
          <w:b w:val="0"/>
          <w:color w:val="00000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color w:val="000000"/>
          <w:spacing w:val="-4"/>
          <w:sz w:val="32"/>
          <w:szCs w:val="32"/>
        </w:rPr>
        <w:t>七、附表</w:t>
      </w:r>
    </w:p>
    <w:p w:rsidR="00D91B47" w:rsidRDefault="00AD6393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color w:val="00000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color w:val="000000"/>
          <w:spacing w:val="-4"/>
          <w:sz w:val="32"/>
          <w:szCs w:val="32"/>
        </w:rPr>
        <w:t>《项目支出绩效目标自评表》</w:t>
      </w:r>
    </w:p>
    <w:p w:rsidR="00D91B47" w:rsidRDefault="00D91B47" w:rsidP="00D91B47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color w:val="000000"/>
          <w:spacing w:val="-4"/>
          <w:sz w:val="32"/>
          <w:szCs w:val="32"/>
        </w:rPr>
      </w:pPr>
    </w:p>
    <w:sectPr w:rsidR="00D91B47" w:rsidSect="00D91B47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B47" w:rsidRDefault="00D91B47" w:rsidP="00D91B47">
      <w:r>
        <w:separator/>
      </w:r>
    </w:p>
  </w:endnote>
  <w:endnote w:type="continuationSeparator" w:id="1">
    <w:p w:rsidR="00D91B47" w:rsidRDefault="00D91B47" w:rsidP="00D91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auto"/>
    <w:pitch w:val="default"/>
    <w:sig w:usb0="00000000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B47" w:rsidRDefault="00D91B47">
    <w:pPr>
      <w:pStyle w:val="a4"/>
      <w:jc w:val="center"/>
    </w:pPr>
    <w:r>
      <w:fldChar w:fldCharType="begin"/>
    </w:r>
    <w:r w:rsidR="00AD6393">
      <w:instrText>PAGE   \* MERGEFORMAT</w:instrText>
    </w:r>
    <w:r>
      <w:fldChar w:fldCharType="separate"/>
    </w:r>
    <w:r w:rsidR="00AD6393" w:rsidRPr="00AD6393">
      <w:rPr>
        <w:noProof/>
        <w:lang w:val="zh-CN"/>
      </w:rPr>
      <w:t>6</w:t>
    </w:r>
    <w:r>
      <w:fldChar w:fldCharType="end"/>
    </w:r>
  </w:p>
  <w:p w:rsidR="00D91B47" w:rsidRDefault="00D91B4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B47" w:rsidRDefault="00D91B47" w:rsidP="00D91B47">
      <w:r>
        <w:separator/>
      </w:r>
    </w:p>
  </w:footnote>
  <w:footnote w:type="continuationSeparator" w:id="1">
    <w:p w:rsidR="00D91B47" w:rsidRDefault="00D91B47" w:rsidP="00D91B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1B47"/>
    <w:rsid w:val="005B73CB"/>
    <w:rsid w:val="00AD6393"/>
    <w:rsid w:val="00CC7261"/>
    <w:rsid w:val="00D91B47"/>
    <w:rsid w:val="45CF0B72"/>
    <w:rsid w:val="59485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3" w:qFormat="1"/>
    <w:lsdException w:name="heading 4" w:qFormat="1"/>
    <w:lsdException w:name="heading 5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91B4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rsid w:val="00D91B47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rsid w:val="00D91B47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D91B47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D91B47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D91B47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rsid w:val="00D91B47"/>
    <w:pPr>
      <w:widowControl/>
      <w:spacing w:before="240" w:after="60"/>
      <w:jc w:val="left"/>
      <w:outlineLvl w:val="5"/>
    </w:pPr>
    <w:rPr>
      <w:b/>
      <w:bCs/>
    </w:rPr>
  </w:style>
  <w:style w:type="paragraph" w:styleId="7">
    <w:name w:val="heading 7"/>
    <w:basedOn w:val="a"/>
    <w:next w:val="a"/>
    <w:link w:val="7Char"/>
    <w:qFormat/>
    <w:rsid w:val="00D91B47"/>
    <w:pPr>
      <w:widowControl/>
      <w:spacing w:before="240" w:after="60"/>
      <w:jc w:val="left"/>
      <w:outlineLvl w:val="6"/>
    </w:pPr>
    <w:rPr>
      <w:sz w:val="24"/>
    </w:rPr>
  </w:style>
  <w:style w:type="paragraph" w:styleId="8">
    <w:name w:val="heading 8"/>
    <w:basedOn w:val="a"/>
    <w:next w:val="a"/>
    <w:link w:val="8Char"/>
    <w:qFormat/>
    <w:rsid w:val="00D91B47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9">
    <w:name w:val="heading 9"/>
    <w:basedOn w:val="a"/>
    <w:next w:val="a"/>
    <w:link w:val="9Char"/>
    <w:qFormat/>
    <w:rsid w:val="00D91B47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D91B47"/>
    <w:pPr>
      <w:jc w:val="left"/>
    </w:pPr>
  </w:style>
  <w:style w:type="paragraph" w:styleId="a4">
    <w:name w:val="footer"/>
    <w:basedOn w:val="a"/>
    <w:link w:val="Char0"/>
    <w:qFormat/>
    <w:rsid w:val="00D91B4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qFormat/>
    <w:rsid w:val="00D91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qFormat/>
    <w:rsid w:val="00D91B47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a7">
    <w:name w:val="Title"/>
    <w:basedOn w:val="a"/>
    <w:next w:val="a"/>
    <w:link w:val="Char3"/>
    <w:qFormat/>
    <w:rsid w:val="00D91B47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8">
    <w:name w:val="Strong"/>
    <w:basedOn w:val="a0"/>
    <w:qFormat/>
    <w:rsid w:val="00D91B47"/>
    <w:rPr>
      <w:b/>
      <w:bCs/>
    </w:rPr>
  </w:style>
  <w:style w:type="character" w:styleId="a9">
    <w:name w:val="Emphasis"/>
    <w:basedOn w:val="a0"/>
    <w:qFormat/>
    <w:rsid w:val="00D91B47"/>
    <w:rPr>
      <w:rFonts w:ascii="Calibri" w:hAnsi="Calibri"/>
      <w:b/>
      <w:i/>
      <w:iCs/>
    </w:rPr>
  </w:style>
  <w:style w:type="character" w:customStyle="1" w:styleId="1Char">
    <w:name w:val="标题 1 Char"/>
    <w:basedOn w:val="a0"/>
    <w:link w:val="1"/>
    <w:semiHidden/>
    <w:qFormat/>
    <w:rsid w:val="00D91B47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semiHidden/>
    <w:qFormat/>
    <w:rsid w:val="00D91B47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semiHidden/>
    <w:qFormat/>
    <w:rsid w:val="00D91B47"/>
    <w:rPr>
      <w:rFonts w:ascii="Cambria" w:eastAsia="宋体" w:hAnsi="Cambria"/>
      <w:b/>
      <w:bCs/>
      <w:sz w:val="26"/>
      <w:szCs w:val="26"/>
    </w:rPr>
  </w:style>
  <w:style w:type="character" w:customStyle="1" w:styleId="4Char">
    <w:name w:val="标题 4 Char"/>
    <w:basedOn w:val="a0"/>
    <w:link w:val="4"/>
    <w:semiHidden/>
    <w:qFormat/>
    <w:rsid w:val="00D91B47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semiHidden/>
    <w:qFormat/>
    <w:rsid w:val="00D91B47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semiHidden/>
    <w:qFormat/>
    <w:rsid w:val="00D91B47"/>
    <w:rPr>
      <w:b/>
      <w:bCs/>
    </w:rPr>
  </w:style>
  <w:style w:type="character" w:customStyle="1" w:styleId="7Char">
    <w:name w:val="标题 7 Char"/>
    <w:basedOn w:val="a0"/>
    <w:link w:val="7"/>
    <w:semiHidden/>
    <w:qFormat/>
    <w:rsid w:val="00D91B47"/>
    <w:rPr>
      <w:sz w:val="24"/>
      <w:szCs w:val="24"/>
    </w:rPr>
  </w:style>
  <w:style w:type="character" w:customStyle="1" w:styleId="8Char">
    <w:name w:val="标题 8 Char"/>
    <w:basedOn w:val="a0"/>
    <w:link w:val="8"/>
    <w:semiHidden/>
    <w:qFormat/>
    <w:rsid w:val="00D91B47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semiHidden/>
    <w:qFormat/>
    <w:rsid w:val="00D91B47"/>
    <w:rPr>
      <w:rFonts w:ascii="Cambria" w:eastAsia="宋体" w:hAnsi="Cambria"/>
    </w:rPr>
  </w:style>
  <w:style w:type="character" w:customStyle="1" w:styleId="Char4">
    <w:name w:val="批注主题 Char"/>
    <w:basedOn w:val="Char"/>
    <w:link w:val="10"/>
    <w:semiHidden/>
    <w:qFormat/>
    <w:rsid w:val="00D91B47"/>
    <w:rPr>
      <w:b/>
      <w:bCs/>
    </w:rPr>
  </w:style>
  <w:style w:type="character" w:customStyle="1" w:styleId="Char">
    <w:name w:val="批注文字 Char"/>
    <w:basedOn w:val="a0"/>
    <w:link w:val="a3"/>
    <w:semiHidden/>
    <w:qFormat/>
    <w:rsid w:val="00D91B47"/>
    <w:rPr>
      <w:kern w:val="2"/>
      <w:sz w:val="21"/>
      <w:szCs w:val="24"/>
    </w:rPr>
  </w:style>
  <w:style w:type="paragraph" w:customStyle="1" w:styleId="10">
    <w:name w:val="批注主题1"/>
    <w:basedOn w:val="a3"/>
    <w:next w:val="a3"/>
    <w:link w:val="Char4"/>
    <w:qFormat/>
    <w:rsid w:val="00D91B47"/>
    <w:rPr>
      <w:b/>
      <w:bCs/>
    </w:rPr>
  </w:style>
  <w:style w:type="character" w:customStyle="1" w:styleId="Char5">
    <w:name w:val="文档结构图 Char"/>
    <w:basedOn w:val="a0"/>
    <w:link w:val="11"/>
    <w:semiHidden/>
    <w:qFormat/>
    <w:rsid w:val="00D91B47"/>
    <w:rPr>
      <w:rFonts w:ascii="宋体" w:eastAsia="宋体" w:hAnsi="Times New Roman"/>
      <w:kern w:val="2"/>
      <w:sz w:val="18"/>
      <w:szCs w:val="18"/>
    </w:rPr>
  </w:style>
  <w:style w:type="paragraph" w:customStyle="1" w:styleId="11">
    <w:name w:val="文档结构图1"/>
    <w:basedOn w:val="a"/>
    <w:link w:val="Char5"/>
    <w:qFormat/>
    <w:rsid w:val="00D91B47"/>
    <w:rPr>
      <w:rFonts w:ascii="宋体"/>
      <w:sz w:val="18"/>
      <w:szCs w:val="18"/>
    </w:rPr>
  </w:style>
  <w:style w:type="character" w:customStyle="1" w:styleId="Char6">
    <w:name w:val="文本块 Char"/>
    <w:basedOn w:val="a0"/>
    <w:link w:val="12"/>
    <w:semiHidden/>
    <w:qFormat/>
    <w:rsid w:val="00D91B47"/>
    <w:rPr>
      <w:i/>
      <w:sz w:val="24"/>
      <w:szCs w:val="24"/>
    </w:rPr>
  </w:style>
  <w:style w:type="paragraph" w:customStyle="1" w:styleId="12">
    <w:name w:val="文本块1"/>
    <w:basedOn w:val="a"/>
    <w:next w:val="a"/>
    <w:link w:val="Char6"/>
    <w:qFormat/>
    <w:rsid w:val="00D91B47"/>
    <w:pPr>
      <w:widowControl/>
      <w:jc w:val="left"/>
    </w:pPr>
    <w:rPr>
      <w:i/>
      <w:sz w:val="24"/>
    </w:rPr>
  </w:style>
  <w:style w:type="paragraph" w:customStyle="1" w:styleId="13">
    <w:name w:val="批注框文本1"/>
    <w:basedOn w:val="a"/>
    <w:link w:val="Char7"/>
    <w:qFormat/>
    <w:rsid w:val="00D91B47"/>
    <w:rPr>
      <w:sz w:val="18"/>
      <w:szCs w:val="18"/>
    </w:rPr>
  </w:style>
  <w:style w:type="character" w:customStyle="1" w:styleId="Char7">
    <w:name w:val="批注框文本 Char"/>
    <w:basedOn w:val="a0"/>
    <w:link w:val="13"/>
    <w:semiHidden/>
    <w:qFormat/>
    <w:rsid w:val="00D91B47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semiHidden/>
    <w:qFormat/>
    <w:rsid w:val="00D91B47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页眉 Char"/>
    <w:basedOn w:val="a0"/>
    <w:link w:val="a5"/>
    <w:semiHidden/>
    <w:qFormat/>
    <w:rsid w:val="00D91B47"/>
    <w:rPr>
      <w:rFonts w:ascii="Calibri" w:eastAsia="宋体" w:hAnsi="Calibri"/>
      <w:kern w:val="2"/>
      <w:sz w:val="18"/>
      <w:szCs w:val="18"/>
    </w:rPr>
  </w:style>
  <w:style w:type="character" w:customStyle="1" w:styleId="Char2">
    <w:name w:val="副标题 Char"/>
    <w:basedOn w:val="a0"/>
    <w:link w:val="a6"/>
    <w:semiHidden/>
    <w:qFormat/>
    <w:rsid w:val="00D91B47"/>
    <w:rPr>
      <w:rFonts w:ascii="Cambria" w:eastAsia="宋体" w:hAnsi="Cambria"/>
      <w:sz w:val="24"/>
      <w:szCs w:val="24"/>
    </w:rPr>
  </w:style>
  <w:style w:type="character" w:customStyle="1" w:styleId="Char3">
    <w:name w:val="标题 Char"/>
    <w:basedOn w:val="a0"/>
    <w:link w:val="a7"/>
    <w:semiHidden/>
    <w:qFormat/>
    <w:rsid w:val="00D91B47"/>
    <w:rPr>
      <w:rFonts w:ascii="Cambria" w:eastAsia="宋体" w:hAnsi="Cambria"/>
      <w:b/>
      <w:bCs/>
      <w:kern w:val="28"/>
      <w:sz w:val="32"/>
      <w:szCs w:val="32"/>
    </w:rPr>
  </w:style>
  <w:style w:type="paragraph" w:customStyle="1" w:styleId="CharChar">
    <w:name w:val="批注框文本 Char Char"/>
    <w:basedOn w:val="a"/>
    <w:link w:val="CharCharCharChar"/>
    <w:qFormat/>
    <w:rsid w:val="00D91B47"/>
    <w:rPr>
      <w:sz w:val="18"/>
      <w:szCs w:val="18"/>
    </w:rPr>
  </w:style>
  <w:style w:type="paragraph" w:customStyle="1" w:styleId="14">
    <w:name w:val="无间隔1"/>
    <w:basedOn w:val="a"/>
    <w:qFormat/>
    <w:rsid w:val="00D91B47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15">
    <w:name w:val="列出段落1"/>
    <w:basedOn w:val="a"/>
    <w:qFormat/>
    <w:rsid w:val="00D91B47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16">
    <w:name w:val="明显引用1"/>
    <w:basedOn w:val="a"/>
    <w:next w:val="a"/>
    <w:link w:val="Char8"/>
    <w:qFormat/>
    <w:rsid w:val="00D91B47"/>
    <w:pPr>
      <w:widowControl/>
      <w:ind w:left="720" w:right="720"/>
      <w:jc w:val="left"/>
    </w:pPr>
    <w:rPr>
      <w:b/>
      <w:i/>
      <w:sz w:val="24"/>
    </w:rPr>
  </w:style>
  <w:style w:type="paragraph" w:customStyle="1" w:styleId="TOC1">
    <w:name w:val="TOC 标题1"/>
    <w:basedOn w:val="1"/>
    <w:next w:val="a"/>
    <w:qFormat/>
    <w:rsid w:val="00D91B47"/>
    <w:pPr>
      <w:outlineLvl w:val="9"/>
    </w:pPr>
    <w:rPr>
      <w:lang w:eastAsia="en-US" w:bidi="en-US"/>
    </w:rPr>
  </w:style>
  <w:style w:type="character" w:customStyle="1" w:styleId="CharCharCharChar">
    <w:name w:val="批注框文本 Char Char Char Char"/>
    <w:basedOn w:val="a0"/>
    <w:link w:val="CharChar"/>
    <w:semiHidden/>
    <w:qFormat/>
    <w:rsid w:val="00D91B47"/>
    <w:rPr>
      <w:rFonts w:ascii="Times New Roman" w:eastAsia="宋体" w:hAnsi="Times New Roman"/>
      <w:kern w:val="2"/>
      <w:sz w:val="18"/>
      <w:szCs w:val="18"/>
    </w:rPr>
  </w:style>
  <w:style w:type="character" w:customStyle="1" w:styleId="Char8">
    <w:name w:val="明显引用 Char"/>
    <w:basedOn w:val="a0"/>
    <w:link w:val="16"/>
    <w:semiHidden/>
    <w:qFormat/>
    <w:rsid w:val="00D91B47"/>
    <w:rPr>
      <w:b/>
      <w:i/>
      <w:sz w:val="24"/>
    </w:rPr>
  </w:style>
  <w:style w:type="character" w:customStyle="1" w:styleId="17">
    <w:name w:val="不明显强调1"/>
    <w:qFormat/>
    <w:rsid w:val="00D91B47"/>
    <w:rPr>
      <w:i/>
      <w:color w:val="595959"/>
    </w:rPr>
  </w:style>
  <w:style w:type="character" w:customStyle="1" w:styleId="18">
    <w:name w:val="明显强调1"/>
    <w:basedOn w:val="a0"/>
    <w:qFormat/>
    <w:rsid w:val="00D91B47"/>
    <w:rPr>
      <w:b/>
      <w:i/>
      <w:sz w:val="24"/>
      <w:szCs w:val="24"/>
      <w:u w:val="single"/>
    </w:rPr>
  </w:style>
  <w:style w:type="character" w:customStyle="1" w:styleId="19">
    <w:name w:val="不明显参考1"/>
    <w:basedOn w:val="a0"/>
    <w:qFormat/>
    <w:rsid w:val="00D91B47"/>
    <w:rPr>
      <w:sz w:val="24"/>
      <w:szCs w:val="24"/>
      <w:u w:val="single"/>
    </w:rPr>
  </w:style>
  <w:style w:type="character" w:customStyle="1" w:styleId="1a">
    <w:name w:val="明显参考1"/>
    <w:basedOn w:val="a0"/>
    <w:qFormat/>
    <w:rsid w:val="00D91B47"/>
    <w:rPr>
      <w:b/>
      <w:sz w:val="24"/>
      <w:u w:val="single"/>
    </w:rPr>
  </w:style>
  <w:style w:type="character" w:customStyle="1" w:styleId="1b">
    <w:name w:val="书籍标题1"/>
    <w:basedOn w:val="a0"/>
    <w:qFormat/>
    <w:rsid w:val="00D91B47"/>
    <w:rPr>
      <w:rFonts w:ascii="Cambria" w:eastAsia="宋体" w:hAnsi="Cambria"/>
      <w:b/>
      <w:i/>
      <w:sz w:val="24"/>
      <w:szCs w:val="24"/>
    </w:rPr>
  </w:style>
  <w:style w:type="character" w:customStyle="1" w:styleId="1c">
    <w:name w:val="批注引用1"/>
    <w:basedOn w:val="a0"/>
    <w:qFormat/>
    <w:rsid w:val="00D91B47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376</Words>
  <Characters>2148</Characters>
  <Application>Microsoft Office Word</Application>
  <DocSecurity>0</DocSecurity>
  <Lines>17</Lines>
  <Paragraphs>5</Paragraphs>
  <ScaleCrop>false</ScaleCrop>
  <Company>微软中国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Administrator</dc:title>
  <dc:creator>赵 恺（预算处）</dc:creator>
  <cp:lastModifiedBy>微软用户</cp:lastModifiedBy>
  <cp:revision>4</cp:revision>
  <cp:lastPrinted>2018-12-26T07:32:00Z</cp:lastPrinted>
  <dcterms:created xsi:type="dcterms:W3CDTF">2018-12-19T02:14:00Z</dcterms:created>
  <dcterms:modified xsi:type="dcterms:W3CDTF">2019-10-26T13:19:00Z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