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topLinePunct w:val="0"/>
        <w:autoSpaceDE/>
        <w:autoSpaceDN/>
        <w:bidi w:val="0"/>
        <w:spacing w:line="560" w:lineRule="exact"/>
        <w:ind w:firstLine="0" w:firstLineChars="0"/>
        <w:jc w:val="both"/>
        <w:rPr>
          <w:rFonts w:hint="eastAsia" w:ascii="Times New Roman" w:hAnsi="Times New Roman" w:eastAsia="方正仿宋_GBK" w:cs="方正仿宋_GBK"/>
          <w:b/>
          <w:kern w:val="0"/>
          <w:sz w:val="32"/>
          <w:szCs w:val="32"/>
          <w:lang w:bidi="en-US"/>
        </w:rPr>
      </w:pPr>
    </w:p>
    <w:p>
      <w:pPr>
        <w:pageBreakBefore w:val="0"/>
        <w:tabs>
          <w:tab w:val="left" w:pos="1680"/>
        </w:tabs>
        <w:kinsoku/>
        <w:wordWrap/>
        <w:topLinePunct w:val="0"/>
        <w:autoSpaceDE/>
        <w:autoSpaceDN/>
        <w:bidi w:val="0"/>
        <w:spacing w:before="120" w:after="120" w:line="560" w:lineRule="exact"/>
        <w:ind w:firstLine="643"/>
        <w:jc w:val="center"/>
        <w:outlineLvl w:val="0"/>
        <w:rPr>
          <w:rFonts w:hint="eastAsia" w:ascii="Times New Roman" w:hAnsi="Times New Roman" w:eastAsia="方正仿宋_GBK" w:cs="方正仿宋_GBK"/>
          <w:b/>
          <w:sz w:val="40"/>
          <w:szCs w:val="40"/>
        </w:rPr>
      </w:pPr>
      <w:r>
        <w:rPr>
          <w:rFonts w:hint="eastAsia" w:ascii="Times New Roman" w:hAnsi="Times New Roman" w:eastAsia="方正仿宋_GBK" w:cs="方正仿宋_GBK"/>
          <w:b/>
          <w:sz w:val="40"/>
          <w:szCs w:val="40"/>
        </w:rPr>
        <w:t>项目支出绩效评价报告</w:t>
      </w:r>
    </w:p>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b/>
          <w:kern w:val="0"/>
          <w:sz w:val="32"/>
          <w:szCs w:val="32"/>
          <w:lang w:bidi="en-US"/>
        </w:rPr>
      </w:pPr>
    </w:p>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b/>
          <w:kern w:val="0"/>
          <w:sz w:val="32"/>
          <w:szCs w:val="32"/>
          <w:lang w:bidi="en-US"/>
        </w:rPr>
      </w:pPr>
      <w:bookmarkStart w:id="22" w:name="_GoBack"/>
      <w:bookmarkEnd w:id="22"/>
    </w:p>
    <w:p>
      <w:pPr>
        <w:pStyle w:val="2"/>
        <w:pageBreakBefore w:val="0"/>
        <w:kinsoku/>
        <w:wordWrap/>
        <w:topLinePunct w:val="0"/>
        <w:autoSpaceDE/>
        <w:autoSpaceDN/>
        <w:bidi w:val="0"/>
        <w:spacing w:line="560" w:lineRule="exact"/>
        <w:rPr>
          <w:rFonts w:hint="eastAsia" w:ascii="Times New Roman" w:hAnsi="Times New Roman" w:eastAsia="方正仿宋_GBK" w:cs="方正仿宋_GBK"/>
          <w:b/>
          <w:kern w:val="0"/>
          <w:sz w:val="32"/>
          <w:szCs w:val="32"/>
          <w:lang w:bidi="en-US"/>
        </w:rPr>
      </w:pPr>
    </w:p>
    <w:p>
      <w:pPr>
        <w:pageBreakBefore w:val="0"/>
        <w:kinsoku/>
        <w:wordWrap/>
        <w:topLinePunct w:val="0"/>
        <w:autoSpaceDE/>
        <w:autoSpaceDN/>
        <w:bidi w:val="0"/>
        <w:spacing w:line="560" w:lineRule="exact"/>
        <w:rPr>
          <w:rFonts w:hint="eastAsia"/>
        </w:rPr>
      </w:pPr>
    </w:p>
    <w:p>
      <w:pPr>
        <w:pageBreakBefore w:val="0"/>
        <w:kinsoku/>
        <w:wordWrap/>
        <w:topLinePunct w:val="0"/>
        <w:autoSpaceDE/>
        <w:autoSpaceDN/>
        <w:bidi w:val="0"/>
        <w:spacing w:line="560" w:lineRule="exact"/>
        <w:ind w:firstLine="0" w:firstLineChars="0"/>
        <w:jc w:val="both"/>
        <w:rPr>
          <w:rFonts w:hint="eastAsia" w:ascii="Times New Roman" w:hAnsi="Times New Roman" w:eastAsia="方正仿宋_GBK" w:cs="方正仿宋_GBK"/>
          <w:kern w:val="0"/>
          <w:sz w:val="32"/>
          <w:szCs w:val="32"/>
          <w:lang w:bidi="en-US"/>
        </w:rPr>
      </w:pPr>
    </w:p>
    <w:p>
      <w:pPr>
        <w:pageBreakBefore w:val="0"/>
        <w:kinsoku/>
        <w:wordWrap/>
        <w:topLinePunct w:val="0"/>
        <w:autoSpaceDE/>
        <w:autoSpaceDN/>
        <w:bidi w:val="0"/>
        <w:spacing w:line="560" w:lineRule="exact"/>
        <w:ind w:firstLine="1411" w:firstLineChars="441"/>
        <w:jc w:val="left"/>
        <w:rPr>
          <w:rFonts w:hint="eastAsia" w:ascii="Times New Roman" w:hAnsi="Times New Roman" w:eastAsia="方正仿宋_GBK" w:cs="方正仿宋_GBK"/>
          <w:color w:val="000000" w:themeColor="text1"/>
          <w:kern w:val="0"/>
          <w:sz w:val="32"/>
          <w:szCs w:val="32"/>
          <w:lang w:bidi="en-US"/>
        </w:rPr>
      </w:pPr>
      <w:r>
        <w:rPr>
          <w:rFonts w:hint="eastAsia" w:ascii="Times New Roman" w:hAnsi="Times New Roman" w:eastAsia="方正仿宋_GBK" w:cs="方正仿宋_GBK"/>
          <w:color w:val="auto"/>
          <w:kern w:val="0"/>
          <w:sz w:val="32"/>
          <w:szCs w:val="32"/>
          <w:lang w:bidi="en-US"/>
        </w:rPr>
        <w:t>项目名称：</w:t>
      </w:r>
      <w:r>
        <w:rPr>
          <w:rFonts w:hint="eastAsia" w:ascii="Times New Roman" w:hAnsi="Times New Roman" w:eastAsia="方正仿宋_GBK" w:cs="方正仿宋_GBK"/>
          <w:color w:val="000000" w:themeColor="text1"/>
          <w:kern w:val="0"/>
          <w:sz w:val="32"/>
          <w:szCs w:val="32"/>
          <w:lang w:eastAsia="zh-CN" w:bidi="en-US"/>
        </w:rPr>
        <w:t>畜产品质量安全检测</w:t>
      </w:r>
      <w:r>
        <w:rPr>
          <w:rFonts w:hint="eastAsia" w:ascii="Times New Roman" w:hAnsi="Times New Roman" w:eastAsia="方正仿宋_GBK" w:cs="方正仿宋_GBK"/>
          <w:color w:val="000000" w:themeColor="text1"/>
          <w:kern w:val="0"/>
          <w:sz w:val="32"/>
          <w:szCs w:val="32"/>
          <w:lang w:bidi="en-US"/>
        </w:rPr>
        <w:t>项目</w:t>
      </w:r>
    </w:p>
    <w:p>
      <w:pPr>
        <w:pageBreakBefore w:val="0"/>
        <w:kinsoku/>
        <w:wordWrap/>
        <w:topLinePunct w:val="0"/>
        <w:autoSpaceDE/>
        <w:autoSpaceDN/>
        <w:bidi w:val="0"/>
        <w:spacing w:line="560" w:lineRule="exact"/>
        <w:ind w:firstLine="1411" w:firstLineChars="441"/>
        <w:jc w:val="left"/>
        <w:rPr>
          <w:rFonts w:hint="eastAsia" w:ascii="Times New Roman" w:hAnsi="Times New Roman" w:eastAsia="方正仿宋_GBK" w:cs="方正仿宋_GBK"/>
          <w:color w:val="000000" w:themeColor="text1"/>
          <w:kern w:val="0"/>
          <w:sz w:val="32"/>
          <w:szCs w:val="32"/>
          <w:lang w:bidi="en-US"/>
        </w:rPr>
      </w:pPr>
      <w:r>
        <w:rPr>
          <w:rFonts w:hint="eastAsia" w:ascii="Times New Roman" w:hAnsi="Times New Roman" w:eastAsia="方正仿宋_GBK" w:cs="方正仿宋_GBK"/>
          <w:color w:val="auto"/>
          <w:kern w:val="0"/>
          <w:sz w:val="32"/>
          <w:szCs w:val="32"/>
          <w:lang w:bidi="en-US"/>
        </w:rPr>
        <w:t>项目单位：</w:t>
      </w:r>
      <w:r>
        <w:rPr>
          <w:rFonts w:hint="eastAsia" w:ascii="Times New Roman" w:hAnsi="Times New Roman" w:eastAsia="方正仿宋_GBK" w:cs="方正仿宋_GBK"/>
          <w:color w:val="000000" w:themeColor="text1"/>
          <w:kern w:val="0"/>
          <w:sz w:val="32"/>
          <w:szCs w:val="32"/>
          <w:lang w:val="en-US" w:eastAsia="zh-CN" w:bidi="en-US"/>
        </w:rPr>
        <w:t>喀什地区畜牧兽医</w:t>
      </w:r>
      <w:r>
        <w:rPr>
          <w:rFonts w:hint="eastAsia" w:ascii="Times New Roman" w:hAnsi="Times New Roman" w:eastAsia="方正仿宋_GBK" w:cs="方正仿宋_GBK"/>
          <w:color w:val="000000" w:themeColor="text1"/>
          <w:kern w:val="0"/>
          <w:sz w:val="32"/>
          <w:szCs w:val="32"/>
          <w:lang w:bidi="en-US"/>
        </w:rPr>
        <w:t>局</w:t>
      </w:r>
    </w:p>
    <w:p>
      <w:pPr>
        <w:pageBreakBefore w:val="0"/>
        <w:kinsoku/>
        <w:wordWrap/>
        <w:topLinePunct w:val="0"/>
        <w:autoSpaceDE/>
        <w:autoSpaceDN/>
        <w:bidi w:val="0"/>
        <w:spacing w:line="560" w:lineRule="exact"/>
        <w:ind w:firstLine="1411" w:firstLineChars="441"/>
        <w:jc w:val="left"/>
        <w:rPr>
          <w:rFonts w:hint="eastAsia" w:ascii="Times New Roman" w:hAnsi="Times New Roman" w:eastAsia="方正仿宋_GBK" w:cs="方正仿宋_GBK"/>
          <w:color w:val="FF0000"/>
          <w:kern w:val="0"/>
          <w:sz w:val="32"/>
          <w:szCs w:val="32"/>
          <w:lang w:bidi="en-US"/>
        </w:rPr>
      </w:pPr>
      <w:r>
        <w:rPr>
          <w:rFonts w:hint="eastAsia" w:ascii="Times New Roman" w:hAnsi="Times New Roman" w:eastAsia="方正仿宋_GBK" w:cs="方正仿宋_GBK"/>
          <w:color w:val="000000" w:themeColor="text1"/>
          <w:kern w:val="0"/>
          <w:sz w:val="32"/>
          <w:szCs w:val="32"/>
          <w:lang w:bidi="en-US"/>
        </w:rPr>
        <w:t>主管部门：</w:t>
      </w:r>
      <w:r>
        <w:rPr>
          <w:rFonts w:hint="eastAsia" w:ascii="Times New Roman" w:hAnsi="Times New Roman" w:eastAsia="方正仿宋_GBK" w:cs="方正仿宋_GBK"/>
          <w:color w:val="000000" w:themeColor="text1"/>
          <w:kern w:val="0"/>
          <w:sz w:val="32"/>
          <w:szCs w:val="32"/>
          <w:lang w:val="en-US" w:eastAsia="zh-CN" w:bidi="en-US"/>
        </w:rPr>
        <w:t>喀什地区畜牧兽医</w:t>
      </w:r>
      <w:r>
        <w:rPr>
          <w:rFonts w:hint="eastAsia" w:ascii="Times New Roman" w:hAnsi="Times New Roman" w:eastAsia="方正仿宋_GBK" w:cs="方正仿宋_GBK"/>
          <w:color w:val="000000" w:themeColor="text1"/>
          <w:kern w:val="0"/>
          <w:sz w:val="32"/>
          <w:szCs w:val="32"/>
          <w:lang w:bidi="en-US"/>
        </w:rPr>
        <w:t>局（本级）</w:t>
      </w:r>
    </w:p>
    <w:p>
      <w:pPr>
        <w:pageBreakBefore w:val="0"/>
        <w:kinsoku/>
        <w:wordWrap/>
        <w:topLinePunct w:val="0"/>
        <w:autoSpaceDE/>
        <w:autoSpaceDN/>
        <w:bidi w:val="0"/>
        <w:spacing w:line="560" w:lineRule="exact"/>
        <w:ind w:firstLine="1411" w:firstLineChars="441"/>
        <w:jc w:val="left"/>
        <w:rPr>
          <w:rFonts w:hint="eastAsia" w:ascii="Times New Roman" w:hAnsi="Times New Roman" w:eastAsia="方正仿宋_GBK" w:cs="方正仿宋_GBK"/>
          <w:color w:val="auto"/>
          <w:kern w:val="0"/>
          <w:sz w:val="32"/>
          <w:szCs w:val="32"/>
          <w:lang w:eastAsia="zh-CN" w:bidi="en-US"/>
        </w:rPr>
      </w:pPr>
      <w:r>
        <w:rPr>
          <w:rFonts w:hint="eastAsia" w:ascii="Times New Roman" w:hAnsi="Times New Roman" w:eastAsia="方正仿宋_GBK" w:cs="方正仿宋_GBK"/>
          <w:color w:val="auto"/>
          <w:kern w:val="0"/>
          <w:sz w:val="32"/>
          <w:szCs w:val="32"/>
          <w:lang w:eastAsia="zh-CN" w:bidi="en-US"/>
        </w:rPr>
        <w:t>项目负责人：李欣兆</w:t>
      </w:r>
    </w:p>
    <w:p>
      <w:pPr>
        <w:pageBreakBefore w:val="0"/>
        <w:kinsoku/>
        <w:wordWrap/>
        <w:topLinePunct w:val="0"/>
        <w:autoSpaceDE/>
        <w:autoSpaceDN/>
        <w:bidi w:val="0"/>
        <w:spacing w:line="560" w:lineRule="exact"/>
        <w:ind w:firstLine="1411" w:firstLineChars="441"/>
        <w:jc w:val="left"/>
        <w:rPr>
          <w:rFonts w:hint="eastAsia" w:ascii="Times New Roman" w:hAnsi="Times New Roman" w:eastAsia="方正仿宋_GBK" w:cs="方正仿宋_GBK"/>
          <w:color w:val="auto"/>
          <w:kern w:val="0"/>
          <w:sz w:val="32"/>
          <w:szCs w:val="32"/>
          <w:lang w:val="en-US" w:eastAsia="zh-CN" w:bidi="en-US"/>
        </w:rPr>
      </w:pPr>
      <w:r>
        <w:rPr>
          <w:rFonts w:hint="eastAsia" w:ascii="Times New Roman" w:hAnsi="Times New Roman" w:eastAsia="方正仿宋_GBK" w:cs="方正仿宋_GBK"/>
          <w:color w:val="auto"/>
          <w:kern w:val="0"/>
          <w:sz w:val="32"/>
          <w:szCs w:val="32"/>
          <w:lang w:eastAsia="zh-CN" w:bidi="en-US"/>
        </w:rPr>
        <w:t>填报时间：</w:t>
      </w:r>
      <w:r>
        <w:rPr>
          <w:rFonts w:hint="eastAsia" w:ascii="Times New Roman" w:hAnsi="Times New Roman" w:eastAsia="方正仿宋_GBK" w:cs="方正仿宋_GBK"/>
          <w:color w:val="auto"/>
          <w:kern w:val="0"/>
          <w:sz w:val="32"/>
          <w:szCs w:val="32"/>
          <w:lang w:val="en-US" w:eastAsia="zh-CN" w:bidi="en-US"/>
        </w:rPr>
        <w:t xml:space="preserve">    2023</w:t>
      </w:r>
      <w:r>
        <w:rPr>
          <w:rFonts w:hint="eastAsia" w:ascii="Times New Roman" w:hAnsi="Times New Roman" w:eastAsia="方正仿宋_GBK" w:cs="方正仿宋_GBK"/>
          <w:color w:val="auto"/>
          <w:kern w:val="0"/>
          <w:sz w:val="32"/>
          <w:szCs w:val="32"/>
          <w:lang w:eastAsia="zh-CN" w:bidi="en-US"/>
        </w:rPr>
        <w:t>年</w:t>
      </w:r>
      <w:r>
        <w:rPr>
          <w:rFonts w:hint="eastAsia" w:ascii="Times New Roman" w:hAnsi="Times New Roman" w:eastAsia="方正仿宋_GBK" w:cs="方正仿宋_GBK"/>
          <w:color w:val="auto"/>
          <w:kern w:val="0"/>
          <w:sz w:val="32"/>
          <w:szCs w:val="32"/>
          <w:lang w:val="en-US" w:eastAsia="zh-CN" w:bidi="en-US"/>
        </w:rPr>
        <w:t xml:space="preserve">  2</w:t>
      </w:r>
      <w:r>
        <w:rPr>
          <w:rFonts w:hint="eastAsia" w:ascii="Times New Roman" w:hAnsi="Times New Roman" w:eastAsia="方正仿宋_GBK" w:cs="方正仿宋_GBK"/>
          <w:color w:val="auto"/>
          <w:kern w:val="0"/>
          <w:sz w:val="32"/>
          <w:szCs w:val="32"/>
          <w:lang w:eastAsia="zh-CN" w:bidi="en-US"/>
        </w:rPr>
        <w:t>月</w:t>
      </w:r>
      <w:r>
        <w:rPr>
          <w:rFonts w:hint="eastAsia" w:ascii="Times New Roman" w:hAnsi="Times New Roman" w:eastAsia="方正仿宋_GBK" w:cs="方正仿宋_GBK"/>
          <w:color w:val="auto"/>
          <w:kern w:val="0"/>
          <w:sz w:val="32"/>
          <w:szCs w:val="32"/>
          <w:lang w:val="en-US" w:eastAsia="zh-CN" w:bidi="en-US"/>
        </w:rPr>
        <w:t xml:space="preserve"> 13日</w:t>
      </w:r>
    </w:p>
    <w:p>
      <w:pPr>
        <w:pStyle w:val="9"/>
        <w:pageBreakBefore w:val="0"/>
        <w:kinsoku/>
        <w:wordWrap/>
        <w:topLinePunct w:val="0"/>
        <w:autoSpaceDE/>
        <w:autoSpaceDN/>
        <w:bidi w:val="0"/>
        <w:spacing w:line="560" w:lineRule="exact"/>
        <w:rPr>
          <w:rFonts w:hint="eastAsia" w:ascii="Times New Roman" w:hAnsi="Times New Roman" w:eastAsia="方正仿宋_GBK" w:cs="方正仿宋_GBK"/>
          <w:lang w:eastAsia="zh-CN"/>
        </w:rPr>
      </w:pPr>
    </w:p>
    <w:p>
      <w:pPr>
        <w:pStyle w:val="2"/>
        <w:rPr>
          <w:rFonts w:hint="eastAsia"/>
        </w:rPr>
      </w:pPr>
    </w:p>
    <w:p>
      <w:pPr>
        <w:rPr>
          <w:rFonts w:hint="eastAsia"/>
        </w:rPr>
      </w:pP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方正黑体_GBK" w:hAnsi="方正黑体_GBK" w:eastAsia="方正黑体_GBK" w:cs="方正黑体_GBK"/>
        </w:rPr>
      </w:pPr>
      <w:bookmarkStart w:id="0" w:name="_Toc68364657"/>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方正黑体_GBK" w:hAnsi="方正黑体_GBK" w:eastAsia="方正黑体_GBK" w:cs="方正黑体_GBK"/>
        </w:rPr>
      </w:pPr>
      <w:r>
        <w:rPr>
          <w:rFonts w:hint="eastAsia" w:ascii="方正黑体_GBK" w:hAnsi="方正黑体_GBK" w:eastAsia="方正黑体_GBK" w:cs="方正黑体_GBK"/>
        </w:rPr>
        <w:t>一、基本情况</w:t>
      </w:r>
      <w:bookmarkEnd w:id="0"/>
    </w:p>
    <w:p>
      <w:pPr>
        <w:pStyle w:val="15"/>
        <w:keepNext/>
        <w:keepLines/>
        <w:pageBreakBefore w:val="0"/>
        <w:widowControl w:val="0"/>
        <w:kinsoku/>
        <w:wordWrap/>
        <w:overflowPunct/>
        <w:topLinePunct w:val="0"/>
        <w:autoSpaceDE/>
        <w:autoSpaceDN/>
        <w:bidi w:val="0"/>
        <w:adjustRightInd/>
        <w:snapToGrid/>
        <w:spacing w:line="560" w:lineRule="exact"/>
        <w:ind w:left="560"/>
        <w:textAlignment w:val="auto"/>
        <w:rPr>
          <w:rFonts w:hint="eastAsia" w:ascii="方正楷体_GBK" w:hAnsi="方正楷体_GBK" w:eastAsia="方正楷体_GBK" w:cs="方正楷体_GBK"/>
          <w:sz w:val="32"/>
        </w:rPr>
      </w:pPr>
      <w:bookmarkStart w:id="1" w:name="_Toc68364658"/>
      <w:r>
        <w:rPr>
          <w:rFonts w:hint="eastAsia" w:ascii="方正楷体_GBK" w:hAnsi="方正楷体_GBK" w:eastAsia="方正楷体_GBK" w:cs="方正楷体_GBK"/>
          <w:sz w:val="32"/>
        </w:rPr>
        <w:t>（一）项目概况</w:t>
      </w:r>
      <w:bookmarkEnd w:id="1"/>
    </w:p>
    <w:p>
      <w:pPr>
        <w:pStyle w:val="16"/>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2"/>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1. 项目背景</w:t>
      </w:r>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b/>
          <w:bCs/>
          <w:color w:val="FF0000"/>
          <w:sz w:val="32"/>
          <w:szCs w:val="32"/>
        </w:rPr>
      </w:pPr>
      <w:r>
        <w:rPr>
          <w:rFonts w:hint="eastAsia" w:ascii="Times New Roman" w:hAnsi="Times New Roman" w:eastAsia="方正仿宋_GBK" w:cs="方正仿宋_GBK"/>
          <w:color w:val="auto"/>
          <w:sz w:val="32"/>
          <w:szCs w:val="32"/>
        </w:rPr>
        <w:t>本项目遵循财政部《项目支出绩效评价管理办法》（财预〔2020〕10号）和自治区财政厅《自治区财政支出绩效评价管理暂行办法》（新财预〔2018〕189号）等相关政策文件与规定，旨加大地、县（市）农产品检测工作力度，及时掌握地区农产品质量安全整体情况，保障全地区各族人民群众“舌尖上的安全”。通过该项目的实施，过项目实施，全年实际监测畜产品样未有不合格现象的出现，及时掌握了地区畜产品质量安全整体情况，促进了养殖环节科学合理用药，保障了全地区各族人民群众“舌尖上的安全”</w:t>
      </w:r>
      <w:r>
        <w:rPr>
          <w:rFonts w:hint="eastAsia" w:ascii="仿宋_GB2312" w:eastAsia="仿宋_GB2312"/>
          <w:sz w:val="32"/>
          <w:szCs w:val="32"/>
        </w:rPr>
        <w:t>。</w:t>
      </w:r>
    </w:p>
    <w:p>
      <w:pPr>
        <w:pStyle w:val="16"/>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2"/>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2. 主要内容及实施情况</w:t>
      </w:r>
    </w:p>
    <w:p>
      <w:pPr>
        <w:spacing w:after="0" w:line="560" w:lineRule="exact"/>
        <w:ind w:firstLine="480" w:firstLineChars="150"/>
        <w:jc w:val="both"/>
        <w:rPr>
          <w:rFonts w:hint="eastAsia" w:ascii="Times New Roman" w:hAnsi="Times New Roman" w:eastAsia="方正仿宋_GBK" w:cs="方正仿宋_GBK"/>
          <w:color w:val="auto"/>
          <w:kern w:val="0"/>
          <w:sz w:val="32"/>
          <w:szCs w:val="32"/>
          <w:lang w:val="en-US" w:eastAsia="zh-CN" w:bidi="ar-SA"/>
        </w:rPr>
      </w:pPr>
      <w:r>
        <w:rPr>
          <w:rFonts w:hint="eastAsia" w:ascii="Times New Roman" w:hAnsi="Times New Roman" w:eastAsia="方正仿宋_GBK" w:cs="方正仿宋_GBK"/>
          <w:color w:val="auto"/>
          <w:kern w:val="0"/>
          <w:sz w:val="32"/>
          <w:szCs w:val="32"/>
          <w:lang w:val="en-US" w:eastAsia="zh-CN" w:bidi="ar-SA"/>
        </w:rPr>
        <w:t>地区畜牧兽医局根据地区农业农村局的工作要求，制定畜产品质量安全例行监测和监督抽检工作计划，采取招投标的方式委托第三方检测机构进行检测。受委托的第三方检测机构严格执行《官方取样程序》和《兽药残留抽样和检测技术操作要点进行抽样、检测和培训，并按要求填报抽样信息。按照《2022年畜产品质量安全抽检计划表》中安排的抽样数量平均分配到抽检月份内，保持数量合理，种类齐全。</w:t>
      </w:r>
    </w:p>
    <w:p>
      <w:pPr>
        <w:spacing w:after="0" w:line="560" w:lineRule="exact"/>
        <w:ind w:firstLine="480" w:firstLineChars="150"/>
        <w:jc w:val="both"/>
        <w:rPr>
          <w:rFonts w:hint="eastAsia" w:ascii="Times New Roman" w:hAnsi="Times New Roman" w:eastAsia="方正仿宋_GBK" w:cs="方正仿宋_GBK"/>
          <w:color w:val="auto"/>
          <w:kern w:val="0"/>
          <w:sz w:val="32"/>
          <w:szCs w:val="32"/>
          <w:lang w:val="en-US" w:eastAsia="zh-CN" w:bidi="ar-SA"/>
        </w:rPr>
      </w:pPr>
      <w:r>
        <w:rPr>
          <w:rFonts w:hint="eastAsia" w:ascii="Times New Roman" w:hAnsi="Times New Roman" w:eastAsia="方正仿宋_GBK" w:cs="方正仿宋_GBK"/>
          <w:color w:val="auto"/>
          <w:kern w:val="0"/>
          <w:sz w:val="32"/>
          <w:szCs w:val="32"/>
          <w:lang w:val="en-US" w:eastAsia="zh-CN" w:bidi="ar-SA"/>
        </w:rPr>
        <w:t>（1）畜禽产品监测。全年监测辖区内生猪、肉牛、肉羊、蛋鸡及肉鸡模养殖场及养殖小区、养殖场（户）、畜禽屠宰场畜产品样330批次，其中：猪肉39批次、牛肉66批次、羊肉66批次、鸡肉60批次、鸡蛋99批次。检测内容：氯霉素、磺胺类、恩诺沙星、氧氟沙星、环丙沙星、盐酸克伦特罗和氟苯尼考。</w:t>
      </w:r>
    </w:p>
    <w:p>
      <w:pPr>
        <w:spacing w:after="0" w:line="560" w:lineRule="exact"/>
        <w:ind w:firstLine="480" w:firstLineChars="150"/>
        <w:jc w:val="both"/>
        <w:rPr>
          <w:rFonts w:hint="eastAsia" w:ascii="Times New Roman" w:hAnsi="Times New Roman" w:eastAsia="方正仿宋_GBK" w:cs="方正仿宋_GBK"/>
          <w:color w:val="auto"/>
          <w:kern w:val="0"/>
          <w:sz w:val="32"/>
          <w:szCs w:val="32"/>
          <w:lang w:val="en-US" w:eastAsia="zh-CN" w:bidi="ar-SA"/>
        </w:rPr>
      </w:pPr>
      <w:r>
        <w:rPr>
          <w:rFonts w:hint="eastAsia" w:ascii="Times New Roman" w:hAnsi="Times New Roman" w:eastAsia="方正仿宋_GBK" w:cs="方正仿宋_GBK"/>
          <w:color w:val="auto"/>
          <w:kern w:val="0"/>
          <w:sz w:val="32"/>
          <w:szCs w:val="32"/>
          <w:lang w:val="en-US" w:eastAsia="zh-CN" w:bidi="ar-SA"/>
        </w:rPr>
        <w:t>（2）举办培训班。第三方检测机构采取现场培训的方式对各县市进行畜产品质量安全培训，培训对象为各县市农业农村（畜牧兽医）局畜产品质量安全监管人员、兽药经营管理人员及规模养殖场负责人等，每个县市培训20人次，共计培训220人次。</w:t>
      </w:r>
    </w:p>
    <w:p>
      <w:pPr>
        <w:pStyle w:val="16"/>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2"/>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3</w:t>
      </w:r>
      <w:r>
        <w:rPr>
          <w:rFonts w:hint="eastAsia" w:ascii="方正仿宋_GBK" w:hAnsi="方正仿宋_GBK" w:eastAsia="方正仿宋_GBK" w:cs="方正仿宋_GBK"/>
          <w:b/>
          <w:bCs/>
          <w:sz w:val="32"/>
          <w:szCs w:val="32"/>
        </w:rPr>
        <w:t>.</w:t>
      </w:r>
      <w:r>
        <w:rPr>
          <w:rFonts w:hint="eastAsia" w:ascii="方正仿宋_GBK" w:hAnsi="方正仿宋_GBK" w:eastAsia="方正仿宋_GBK" w:cs="方正仿宋_GBK"/>
          <w:b/>
          <w:bCs/>
          <w:sz w:val="32"/>
          <w:szCs w:val="32"/>
          <w:lang w:val="en-US" w:eastAsia="zh-CN"/>
        </w:rPr>
        <w:t>项目实施主体</w:t>
      </w:r>
    </w:p>
    <w:p>
      <w:pPr>
        <w:spacing w:after="0" w:line="560" w:lineRule="exact"/>
        <w:ind w:firstLine="480" w:firstLineChars="150"/>
        <w:jc w:val="both"/>
        <w:rPr>
          <w:rFonts w:hint="eastAsia" w:ascii="Times New Roman" w:hAnsi="Times New Roman" w:eastAsia="方正仿宋_GBK" w:cs="方正仿宋_GBK"/>
          <w:color w:val="auto"/>
          <w:kern w:val="0"/>
          <w:sz w:val="32"/>
          <w:szCs w:val="32"/>
          <w:lang w:val="en-US" w:eastAsia="zh-CN" w:bidi="ar-SA"/>
        </w:rPr>
      </w:pPr>
      <w:r>
        <w:rPr>
          <w:rFonts w:hint="eastAsia" w:ascii="Times New Roman" w:hAnsi="Times New Roman" w:eastAsia="方正仿宋_GBK" w:cs="方正仿宋_GBK"/>
          <w:color w:val="auto"/>
          <w:kern w:val="0"/>
          <w:sz w:val="32"/>
          <w:szCs w:val="32"/>
          <w:lang w:val="en-US" w:eastAsia="zh-CN" w:bidi="ar-SA"/>
        </w:rPr>
        <w:t>喀什地区畜牧兽医局为行政单位，纳入2021年部门决算编制范围的有3个科室：办公室、畜牧科、兽医科。</w:t>
      </w:r>
    </w:p>
    <w:p>
      <w:pPr>
        <w:spacing w:after="0" w:line="560" w:lineRule="exact"/>
        <w:ind w:firstLine="480" w:firstLineChars="150"/>
        <w:jc w:val="both"/>
        <w:rPr>
          <w:rFonts w:hint="eastAsia" w:ascii="Times New Roman" w:hAnsi="Times New Roman" w:eastAsia="方正仿宋_GBK" w:cs="方正仿宋_GBK"/>
          <w:color w:val="auto"/>
          <w:kern w:val="0"/>
          <w:sz w:val="32"/>
          <w:szCs w:val="32"/>
          <w:lang w:val="en-US" w:eastAsia="zh-CN" w:bidi="ar-SA"/>
        </w:rPr>
      </w:pPr>
      <w:r>
        <w:rPr>
          <w:rFonts w:hint="eastAsia" w:ascii="Times New Roman" w:hAnsi="Times New Roman" w:eastAsia="方正仿宋_GBK" w:cs="方正仿宋_GBK"/>
          <w:color w:val="auto"/>
          <w:kern w:val="0"/>
          <w:sz w:val="32"/>
          <w:szCs w:val="32"/>
          <w:lang w:val="en-US" w:eastAsia="zh-CN" w:bidi="ar-SA"/>
        </w:rPr>
        <w:t>经地区编委核定，本单位行政编制11人，下属单位局机关服务中心全额拨款的事业编制10人，地区兽药饲料监察站参照公务员管理编制数6人，地区良种繁育中心全额事业编制7人，地区畜牧研究中心差额拨款的事业编制数12人，编制人数合计46人，下属单位财务与局财务统一核算。截止2022年12月，本单位在职职工数为31人，其中：行政在职9人，参照公务员在职2人，事业在职10人，差额事业在职10人。与上年相比减少2人，原因：人员调配增加1人，新招录1人，退休4人，年末减少2人。</w:t>
      </w:r>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FF0000"/>
          <w:sz w:val="32"/>
          <w:szCs w:val="32"/>
        </w:rPr>
      </w:pPr>
    </w:p>
    <w:p>
      <w:pPr>
        <w:pStyle w:val="16"/>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2"/>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val="en-US" w:eastAsia="zh-CN"/>
        </w:rPr>
        <w:t>4</w:t>
      </w:r>
      <w:r>
        <w:rPr>
          <w:rFonts w:hint="eastAsia" w:ascii="方正仿宋_GBK" w:hAnsi="方正仿宋_GBK" w:eastAsia="方正仿宋_GBK" w:cs="方正仿宋_GBK"/>
          <w:b/>
          <w:bCs/>
          <w:sz w:val="32"/>
          <w:szCs w:val="32"/>
        </w:rPr>
        <w:t>. 资金投入和使用情况</w:t>
      </w:r>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auto"/>
          <w:sz w:val="32"/>
          <w:szCs w:val="32"/>
        </w:rPr>
      </w:pPr>
      <w:r>
        <w:rPr>
          <w:rFonts w:hint="eastAsia" w:eastAsia="方正仿宋_GBK" w:cs="方正仿宋_GBK"/>
          <w:color w:val="auto"/>
          <w:sz w:val="32"/>
          <w:szCs w:val="32"/>
          <w:lang w:eastAsia="zh-CN"/>
        </w:rPr>
        <w:t>喀地财发</w:t>
      </w:r>
      <w:r>
        <w:rPr>
          <w:rFonts w:hint="eastAsia" w:ascii="Times New Roman" w:hAnsi="Times New Roman" w:eastAsia="方正仿宋_GBK" w:cs="方正仿宋_GBK"/>
          <w:color w:val="auto"/>
          <w:sz w:val="32"/>
          <w:szCs w:val="32"/>
        </w:rPr>
        <w:t>【202</w:t>
      </w:r>
      <w:r>
        <w:rPr>
          <w:rFonts w:hint="eastAsia" w:eastAsia="方正仿宋_GBK" w:cs="方正仿宋_GBK"/>
          <w:color w:val="auto"/>
          <w:sz w:val="32"/>
          <w:szCs w:val="32"/>
          <w:lang w:val="en-US" w:eastAsia="zh-CN"/>
        </w:rPr>
        <w:t>2</w:t>
      </w:r>
      <w:r>
        <w:rPr>
          <w:rFonts w:hint="eastAsia" w:ascii="Times New Roman" w:hAnsi="Times New Roman" w:eastAsia="方正仿宋_GBK" w:cs="方正仿宋_GBK"/>
          <w:color w:val="auto"/>
          <w:sz w:val="32"/>
          <w:szCs w:val="32"/>
        </w:rPr>
        <w:t>】1号共安排下达资金</w:t>
      </w:r>
      <w:r>
        <w:rPr>
          <w:rFonts w:hint="eastAsia" w:eastAsia="方正仿宋_GBK" w:cs="方正仿宋_GBK"/>
          <w:color w:val="auto"/>
          <w:sz w:val="32"/>
          <w:szCs w:val="32"/>
          <w:lang w:val="en-US" w:eastAsia="zh-CN"/>
        </w:rPr>
        <w:t>20</w:t>
      </w:r>
      <w:r>
        <w:rPr>
          <w:rFonts w:hint="eastAsia" w:ascii="Times New Roman" w:hAnsi="Times New Roman" w:eastAsia="方正仿宋_GBK" w:cs="方正仿宋_GBK"/>
          <w:color w:val="auto"/>
          <w:sz w:val="32"/>
          <w:szCs w:val="32"/>
          <w:lang w:eastAsia="zh-CN"/>
        </w:rPr>
        <w:t>万元</w:t>
      </w:r>
      <w:r>
        <w:rPr>
          <w:rFonts w:hint="eastAsia" w:ascii="Times New Roman" w:hAnsi="Times New Roman" w:eastAsia="方正仿宋_GBK" w:cs="方正仿宋_GBK"/>
          <w:color w:val="auto"/>
          <w:sz w:val="32"/>
          <w:szCs w:val="32"/>
        </w:rPr>
        <w:t>，为本级批复部门预算资金</w:t>
      </w:r>
      <w:r>
        <w:rPr>
          <w:rFonts w:hint="eastAsia" w:ascii="Times New Roman" w:hAnsi="Times New Roman" w:eastAsia="方正仿宋_GBK" w:cs="方正仿宋_GBK"/>
          <w:color w:val="auto"/>
          <w:sz w:val="32"/>
          <w:szCs w:val="32"/>
          <w:lang w:eastAsia="zh-CN"/>
        </w:rPr>
        <w:t>，</w:t>
      </w:r>
      <w:r>
        <w:rPr>
          <w:rFonts w:hint="eastAsia" w:ascii="Times New Roman" w:hAnsi="Times New Roman" w:eastAsia="方正仿宋_GBK" w:cs="方正仿宋_GBK"/>
          <w:color w:val="auto"/>
          <w:sz w:val="32"/>
          <w:szCs w:val="32"/>
        </w:rPr>
        <w:t>最终确定项目资金总数为</w:t>
      </w:r>
      <w:r>
        <w:rPr>
          <w:rFonts w:hint="eastAsia" w:ascii="Times New Roman" w:hAnsi="Times New Roman" w:eastAsia="方正仿宋_GBK" w:cs="方正仿宋_GBK"/>
          <w:color w:val="auto"/>
          <w:sz w:val="32"/>
          <w:szCs w:val="32"/>
          <w:lang w:val="en-US" w:eastAsia="zh-CN"/>
        </w:rPr>
        <w:t>20</w:t>
      </w:r>
      <w:r>
        <w:rPr>
          <w:rFonts w:hint="eastAsia" w:ascii="Times New Roman" w:hAnsi="Times New Roman" w:eastAsia="方正仿宋_GBK" w:cs="方正仿宋_GBK"/>
          <w:color w:val="auto"/>
          <w:sz w:val="32"/>
          <w:szCs w:val="32"/>
          <w:lang w:eastAsia="zh-CN"/>
        </w:rPr>
        <w:t>万元</w:t>
      </w:r>
      <w:r>
        <w:rPr>
          <w:rFonts w:hint="eastAsia" w:ascii="Times New Roman" w:hAnsi="Times New Roman" w:eastAsia="方正仿宋_GBK" w:cs="方正仿宋_GBK"/>
          <w:color w:val="auto"/>
          <w:sz w:val="32"/>
          <w:szCs w:val="32"/>
        </w:rPr>
        <w:t>。</w:t>
      </w:r>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FF0000"/>
          <w:sz w:val="32"/>
          <w:szCs w:val="32"/>
          <w:lang w:eastAsia="zh-CN"/>
        </w:rPr>
      </w:pPr>
      <w:r>
        <w:rPr>
          <w:rFonts w:hint="eastAsia" w:ascii="Times New Roman" w:hAnsi="Times New Roman" w:eastAsia="方正仿宋_GBK" w:cs="方正仿宋_GBK"/>
          <w:color w:val="auto"/>
          <w:sz w:val="32"/>
          <w:szCs w:val="32"/>
        </w:rPr>
        <w:t>截至202</w:t>
      </w:r>
      <w:r>
        <w:rPr>
          <w:rFonts w:hint="eastAsia" w:ascii="Times New Roman" w:hAnsi="Times New Roman" w:eastAsia="方正仿宋_GBK" w:cs="方正仿宋_GBK"/>
          <w:color w:val="auto"/>
          <w:sz w:val="32"/>
          <w:szCs w:val="32"/>
          <w:lang w:val="en-US" w:eastAsia="zh-CN"/>
        </w:rPr>
        <w:t>2</w:t>
      </w:r>
      <w:r>
        <w:rPr>
          <w:rFonts w:hint="eastAsia" w:ascii="Times New Roman" w:hAnsi="Times New Roman" w:eastAsia="方正仿宋_GBK" w:cs="方正仿宋_GBK"/>
          <w:color w:val="auto"/>
          <w:sz w:val="32"/>
          <w:szCs w:val="32"/>
        </w:rPr>
        <w:t>年12月31日，实际支出</w:t>
      </w:r>
      <w:r>
        <w:rPr>
          <w:rFonts w:hint="eastAsia" w:eastAsia="方正仿宋_GBK" w:cs="方正仿宋_GBK"/>
          <w:color w:val="auto"/>
          <w:sz w:val="32"/>
          <w:szCs w:val="32"/>
          <w:lang w:val="en-US" w:eastAsia="zh-CN"/>
        </w:rPr>
        <w:t>19.7</w:t>
      </w:r>
      <w:r>
        <w:rPr>
          <w:rFonts w:hint="eastAsia" w:ascii="Times New Roman" w:hAnsi="Times New Roman" w:eastAsia="方正仿宋_GBK" w:cs="方正仿宋_GBK"/>
          <w:color w:val="auto"/>
          <w:sz w:val="32"/>
          <w:szCs w:val="32"/>
          <w:lang w:eastAsia="zh-CN"/>
        </w:rPr>
        <w:t>万元</w:t>
      </w:r>
      <w:r>
        <w:rPr>
          <w:rFonts w:hint="eastAsia" w:ascii="Times New Roman" w:hAnsi="Times New Roman" w:eastAsia="方正仿宋_GBK" w:cs="方正仿宋_GBK"/>
          <w:color w:val="auto"/>
          <w:sz w:val="32"/>
          <w:szCs w:val="32"/>
        </w:rPr>
        <w:t>，预算执行率</w:t>
      </w:r>
      <w:r>
        <w:rPr>
          <w:rFonts w:hint="eastAsia" w:eastAsia="方正仿宋_GBK" w:cs="方正仿宋_GBK"/>
          <w:color w:val="auto"/>
          <w:sz w:val="32"/>
          <w:szCs w:val="32"/>
          <w:lang w:val="en-US" w:eastAsia="zh-CN"/>
        </w:rPr>
        <w:t>98.5</w:t>
      </w:r>
      <w:r>
        <w:rPr>
          <w:rFonts w:hint="eastAsia" w:ascii="Times New Roman" w:hAnsi="Times New Roman" w:eastAsia="方正仿宋_GBK" w:cs="方正仿宋_GBK"/>
          <w:color w:val="auto"/>
          <w:sz w:val="32"/>
          <w:szCs w:val="32"/>
        </w:rPr>
        <w:t>%。</w:t>
      </w:r>
      <w:r>
        <w:rPr>
          <w:rFonts w:hint="eastAsia" w:eastAsia="方正仿宋_GBK" w:cs="方正仿宋_GBK"/>
          <w:color w:val="auto"/>
          <w:sz w:val="32"/>
          <w:szCs w:val="32"/>
          <w:lang w:eastAsia="zh-CN"/>
        </w:rPr>
        <w:t>原因：政采云检测成本成交价为535元/批次，比原计划成本低44元，用差价续签了34批次（包含赠送五批次）；受疫情影响人员未产生差旅费，3</w:t>
      </w:r>
      <w:r>
        <w:rPr>
          <w:rFonts w:hint="eastAsia" w:eastAsia="方正仿宋_GBK" w:cs="方正仿宋_GBK"/>
          <w:color w:val="auto"/>
          <w:sz w:val="32"/>
          <w:szCs w:val="32"/>
          <w:lang w:val="en-US" w:eastAsia="zh-CN"/>
        </w:rPr>
        <w:t>000</w:t>
      </w:r>
      <w:r>
        <w:rPr>
          <w:rFonts w:hint="eastAsia" w:eastAsia="方正仿宋_GBK" w:cs="方正仿宋_GBK"/>
          <w:color w:val="auto"/>
          <w:sz w:val="32"/>
          <w:szCs w:val="32"/>
          <w:lang w:eastAsia="zh-CN"/>
        </w:rPr>
        <w:t>元差旅费未执行。</w:t>
      </w:r>
    </w:p>
    <w:p>
      <w:pPr>
        <w:pStyle w:val="15"/>
        <w:keepNext/>
        <w:keepLines/>
        <w:pageBreakBefore w:val="0"/>
        <w:widowControl w:val="0"/>
        <w:kinsoku/>
        <w:wordWrap/>
        <w:overflowPunct/>
        <w:topLinePunct w:val="0"/>
        <w:autoSpaceDE/>
        <w:autoSpaceDN/>
        <w:bidi w:val="0"/>
        <w:adjustRightInd/>
        <w:snapToGrid/>
        <w:spacing w:line="560" w:lineRule="exact"/>
        <w:ind w:left="560"/>
        <w:textAlignment w:val="auto"/>
        <w:rPr>
          <w:rFonts w:hint="eastAsia" w:ascii="方正楷体_GBK" w:hAnsi="方正楷体_GBK" w:eastAsia="方正楷体_GBK" w:cs="方正楷体_GBK"/>
          <w:b/>
          <w:bCs/>
          <w:sz w:val="32"/>
        </w:rPr>
      </w:pPr>
      <w:bookmarkStart w:id="2" w:name="_Toc68364659"/>
      <w:r>
        <w:rPr>
          <w:rFonts w:hint="eastAsia" w:ascii="方正楷体_GBK" w:hAnsi="方正楷体_GBK" w:eastAsia="方正楷体_GBK" w:cs="方正楷体_GBK"/>
          <w:b/>
          <w:bCs/>
          <w:sz w:val="32"/>
        </w:rPr>
        <w:t>（二）项目绩效目标</w:t>
      </w:r>
      <w:bookmarkEnd w:id="2"/>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项目绩效目标包括项目绩效总目标和阶段性目标。</w:t>
      </w:r>
    </w:p>
    <w:p>
      <w:pPr>
        <w:pStyle w:val="16"/>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2"/>
        <w:rPr>
          <w:rFonts w:hint="eastAsia" w:ascii="Times New Roman" w:hAnsi="Times New Roman" w:eastAsia="方正仿宋_GBK" w:cs="方正仿宋_GBK"/>
          <w:b/>
          <w:bCs/>
          <w:sz w:val="32"/>
          <w:szCs w:val="32"/>
        </w:rPr>
      </w:pPr>
      <w:r>
        <w:rPr>
          <w:rFonts w:hint="eastAsia" w:ascii="Times New Roman" w:hAnsi="Times New Roman" w:eastAsia="方正仿宋_GBK" w:cs="方正仿宋_GBK"/>
          <w:b/>
          <w:bCs/>
          <w:sz w:val="32"/>
          <w:szCs w:val="32"/>
        </w:rPr>
        <w:t>1.项目绩效总目标</w:t>
      </w:r>
    </w:p>
    <w:p>
      <w:pPr>
        <w:pStyle w:val="8"/>
        <w:pageBreakBefore w:val="0"/>
        <w:kinsoku/>
        <w:wordWrap/>
        <w:topLinePunct w:val="0"/>
        <w:autoSpaceDE/>
        <w:autoSpaceDN/>
        <w:bidi w:val="0"/>
        <w:spacing w:line="560" w:lineRule="exact"/>
        <w:ind w:firstLine="640" w:firstLineChars="200"/>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贯彻落实中央、自治区、地区农村工作会议要求，按照习近平总书记关于农产品质量和食品安全提出的“四个最严”指示，牢牢守住农产品质量安全底线，为巩固拓展脱贫攻坚成果同乡村振兴有效衔接和全面建成小康社会保驾护航。监测养殖场中畜产品和禽蛋产品，抽检量不低于全年监测量的3%即3</w:t>
      </w:r>
      <w:r>
        <w:rPr>
          <w:rFonts w:hint="eastAsia" w:ascii="Times New Roman" w:hAnsi="Times New Roman" w:eastAsia="方正仿宋_GBK" w:cs="方正仿宋_GBK"/>
          <w:color w:val="auto"/>
          <w:sz w:val="32"/>
          <w:szCs w:val="32"/>
          <w:lang w:val="en-US" w:eastAsia="zh-CN"/>
        </w:rPr>
        <w:t>3</w:t>
      </w:r>
      <w:r>
        <w:rPr>
          <w:rFonts w:hint="eastAsia" w:ascii="Times New Roman" w:hAnsi="Times New Roman" w:eastAsia="方正仿宋_GBK" w:cs="方正仿宋_GBK"/>
          <w:color w:val="auto"/>
          <w:sz w:val="32"/>
          <w:szCs w:val="32"/>
        </w:rPr>
        <w:t>0个批次。</w:t>
      </w:r>
    </w:p>
    <w:p>
      <w:pPr>
        <w:pStyle w:val="16"/>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2"/>
        <w:rPr>
          <w:rFonts w:hint="eastAsia" w:ascii="Times New Roman" w:hAnsi="Times New Roman" w:eastAsia="方正仿宋_GBK" w:cs="方正仿宋_GBK"/>
          <w:b/>
          <w:bCs/>
          <w:sz w:val="32"/>
          <w:szCs w:val="32"/>
        </w:rPr>
      </w:pPr>
      <w:r>
        <w:rPr>
          <w:rFonts w:hint="eastAsia" w:ascii="Times New Roman" w:hAnsi="Times New Roman" w:eastAsia="方正仿宋_GBK" w:cs="方正仿宋_GBK"/>
          <w:b/>
          <w:bCs/>
          <w:sz w:val="32"/>
          <w:szCs w:val="32"/>
        </w:rPr>
        <w:t>2.阶段性目标</w:t>
      </w:r>
    </w:p>
    <w:p>
      <w:pPr>
        <w:pStyle w:val="8"/>
        <w:pageBreakBefore w:val="0"/>
        <w:kinsoku/>
        <w:wordWrap/>
        <w:topLinePunct w:val="0"/>
        <w:autoSpaceDE/>
        <w:autoSpaceDN/>
        <w:bidi w:val="0"/>
        <w:spacing w:line="560" w:lineRule="exact"/>
        <w:ind w:firstLine="640" w:firstLineChars="20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color w:val="auto"/>
          <w:sz w:val="32"/>
          <w:szCs w:val="32"/>
        </w:rPr>
        <w:t>为加大地、县（市）农产品检测工作力度，及时掌握地区农产品质量安全整体情况，保障全地区各族人民群众“舌尖上的安全”，对辖区内生猪、肉牛、肉羊、蛋鸡及肉鸡模养殖场及养殖小区、养殖场（户）、畜禽屠宰场畜产品进行抽样检测共计330批次，样品检测按照规定检测项目和法定检测依据进行，项目委托第三方检测机构检测，检测结果及时报送有关部门指导决策，达到保障我区动物及动物产品质量安全的目的。</w:t>
      </w: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方正黑体_GBK" w:hAnsi="方正黑体_GBK" w:eastAsia="方正黑体_GBK" w:cs="方正黑体_GBK"/>
          <w:b/>
          <w:bCs/>
        </w:rPr>
      </w:pPr>
      <w:bookmarkStart w:id="3" w:name="_Toc68364660"/>
      <w:r>
        <w:rPr>
          <w:rFonts w:hint="eastAsia" w:ascii="方正黑体_GBK" w:hAnsi="方正黑体_GBK" w:eastAsia="方正黑体_GBK" w:cs="方正黑体_GBK"/>
          <w:b/>
          <w:bCs/>
        </w:rPr>
        <w:t>二、绩效评价工作开展情况</w:t>
      </w:r>
      <w:bookmarkEnd w:id="3"/>
    </w:p>
    <w:p>
      <w:pPr>
        <w:pStyle w:val="15"/>
        <w:keepNext/>
        <w:keepLines/>
        <w:pageBreakBefore w:val="0"/>
        <w:widowControl w:val="0"/>
        <w:kinsoku/>
        <w:wordWrap/>
        <w:overflowPunct/>
        <w:topLinePunct w:val="0"/>
        <w:autoSpaceDE/>
        <w:autoSpaceDN/>
        <w:bidi w:val="0"/>
        <w:adjustRightInd/>
        <w:snapToGrid/>
        <w:spacing w:line="560" w:lineRule="exact"/>
        <w:ind w:left="560"/>
        <w:textAlignment w:val="auto"/>
        <w:rPr>
          <w:rFonts w:hint="eastAsia" w:ascii="方正楷体_GBK" w:hAnsi="方正楷体_GBK" w:eastAsia="方正楷体_GBK" w:cs="方正楷体_GBK"/>
          <w:b/>
          <w:bCs/>
          <w:sz w:val="32"/>
        </w:rPr>
      </w:pPr>
      <w:bookmarkStart w:id="4" w:name="_Toc68364661"/>
      <w:r>
        <w:rPr>
          <w:rFonts w:hint="eastAsia" w:ascii="方正楷体_GBK" w:hAnsi="方正楷体_GBK" w:eastAsia="方正楷体_GBK" w:cs="方正楷体_GBK"/>
          <w:b/>
          <w:bCs/>
          <w:sz w:val="32"/>
        </w:rPr>
        <w:t>（一）绩效评价目的、对象和范围</w:t>
      </w:r>
      <w:bookmarkEnd w:id="4"/>
    </w:p>
    <w:p>
      <w:pPr>
        <w:pStyle w:val="16"/>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2"/>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1. 绩效评价目的</w:t>
      </w:r>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p>
    <w:p>
      <w:pPr>
        <w:pStyle w:val="16"/>
        <w:pageBreakBefore w:val="0"/>
        <w:kinsoku/>
        <w:wordWrap/>
        <w:topLinePunct w:val="0"/>
        <w:autoSpaceDE/>
        <w:autoSpaceDN/>
        <w:bidi w:val="0"/>
        <w:spacing w:line="560" w:lineRule="exact"/>
        <w:ind w:left="0" w:leftChars="0" w:firstLine="640" w:firstLineChars="200"/>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lang w:val="en-US" w:eastAsia="zh-CN"/>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Fonts w:hint="eastAsia" w:ascii="Times New Roman" w:hAnsi="Times New Roman" w:eastAsia="方正仿宋_GBK" w:cs="方正仿宋_GBK"/>
          <w:sz w:val="32"/>
          <w:szCs w:val="32"/>
        </w:rPr>
        <w:t>也为下一年预算编制与评审提供充分有效的依据，以达到改进预算管理、优化资源配置、提高预算资金使用效益的目的。</w:t>
      </w:r>
    </w:p>
    <w:p>
      <w:pPr>
        <w:pStyle w:val="16"/>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2"/>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2. 绩效评价对象</w:t>
      </w:r>
    </w:p>
    <w:p>
      <w:pPr>
        <w:pStyle w:val="16"/>
        <w:pageBreakBefore w:val="0"/>
        <w:kinsoku/>
        <w:wordWrap/>
        <w:topLinePunct w:val="0"/>
        <w:autoSpaceDE/>
        <w:autoSpaceDN/>
        <w:bidi w:val="0"/>
        <w:spacing w:line="560" w:lineRule="exact"/>
        <w:ind w:firstLine="560"/>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本次绩效评价遵循财政部《项目支出绩效评价管理办法》（财预〔2020〕10号）和自治区财政厅《自治区财政支出绩效评价管理暂行办法》（新财预〔2018〕189号）等相关政策文件与</w:t>
      </w:r>
      <w:r>
        <w:rPr>
          <w:rFonts w:hint="eastAsia" w:ascii="Times New Roman" w:hAnsi="Times New Roman" w:eastAsia="方正仿宋_GBK" w:cs="方正仿宋_GBK"/>
          <w:sz w:val="32"/>
          <w:szCs w:val="32"/>
          <w:shd w:val="clear" w:color="auto" w:fill="auto"/>
        </w:rPr>
        <w:t>规定，</w:t>
      </w:r>
      <w:r>
        <w:rPr>
          <w:rFonts w:hint="eastAsia" w:ascii="Times New Roman" w:hAnsi="Times New Roman" w:eastAsia="方正仿宋_GBK" w:cs="方正仿宋_GBK"/>
          <w:color w:val="auto"/>
          <w:sz w:val="32"/>
          <w:szCs w:val="32"/>
          <w:shd w:val="clear" w:color="auto" w:fill="auto"/>
        </w:rPr>
        <w:t>以项目支</w:t>
      </w:r>
      <w:r>
        <w:rPr>
          <w:rFonts w:hint="eastAsia" w:ascii="Times New Roman" w:hAnsi="Times New Roman" w:eastAsia="方正仿宋_GBK" w:cs="方正仿宋_GBK"/>
          <w:sz w:val="32"/>
          <w:szCs w:val="32"/>
          <w:shd w:val="clear" w:color="auto" w:fill="auto"/>
        </w:rPr>
        <w:t>出为</w:t>
      </w:r>
      <w:r>
        <w:rPr>
          <w:rFonts w:hint="eastAsia" w:ascii="Times New Roman" w:hAnsi="Times New Roman" w:eastAsia="方正仿宋_GBK" w:cs="方正仿宋_GBK"/>
          <w:sz w:val="32"/>
          <w:szCs w:val="32"/>
        </w:rPr>
        <w:t>对象所对应的预算资金，以项目实施所带来的产出和效果为主要内容，以促进预算单位完成特定工作任务目标所组织开展的绩效评价。</w:t>
      </w:r>
    </w:p>
    <w:p>
      <w:pPr>
        <w:pStyle w:val="16"/>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2"/>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3. 绩效评价范围</w:t>
      </w:r>
    </w:p>
    <w:p>
      <w:pPr>
        <w:pStyle w:val="16"/>
        <w:pageBreakBefore w:val="0"/>
        <w:kinsoku/>
        <w:wordWrap/>
        <w:topLinePunct w:val="0"/>
        <w:autoSpaceDE/>
        <w:autoSpaceDN/>
        <w:bidi w:val="0"/>
        <w:spacing w:line="560" w:lineRule="exact"/>
        <w:ind w:firstLine="560"/>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本次评价范围涵盖项目总体绩效目标、各项绩效指标完成情况以及预算执行情况。</w:t>
      </w:r>
      <w:bookmarkStart w:id="5" w:name="_Toc68364662"/>
      <w:r>
        <w:rPr>
          <w:rFonts w:hint="eastAsia" w:ascii="Times New Roman" w:hAnsi="Times New Roman" w:eastAsia="方正仿宋_GBK" w:cs="方正仿宋_GBK"/>
          <w:sz w:val="32"/>
          <w:szCs w:val="32"/>
        </w:rPr>
        <w:t>覆盖项目预算资金支出的所有内容进行评价。包括项目决策、项目实施和项目成果验收流程等。</w:t>
      </w:r>
    </w:p>
    <w:p>
      <w:pPr>
        <w:pStyle w:val="15"/>
        <w:keepNext/>
        <w:keepLines/>
        <w:pageBreakBefore w:val="0"/>
        <w:widowControl w:val="0"/>
        <w:kinsoku/>
        <w:wordWrap/>
        <w:overflowPunct/>
        <w:topLinePunct w:val="0"/>
        <w:autoSpaceDE/>
        <w:autoSpaceDN/>
        <w:bidi w:val="0"/>
        <w:adjustRightInd/>
        <w:snapToGrid/>
        <w:spacing w:line="560" w:lineRule="exact"/>
        <w:ind w:left="560"/>
        <w:textAlignment w:val="auto"/>
        <w:rPr>
          <w:rFonts w:hint="eastAsia" w:ascii="方正楷体_GBK" w:hAnsi="方正楷体_GBK" w:eastAsia="方正楷体_GBK" w:cs="方正楷体_GBK"/>
          <w:b/>
          <w:bCs/>
          <w:sz w:val="32"/>
        </w:rPr>
      </w:pPr>
      <w:r>
        <w:rPr>
          <w:rFonts w:hint="eastAsia" w:ascii="方正楷体_GBK" w:hAnsi="方正楷体_GBK" w:eastAsia="方正楷体_GBK" w:cs="方正楷体_GBK"/>
          <w:b/>
          <w:bCs/>
          <w:sz w:val="32"/>
        </w:rPr>
        <w:t>（二）绩效评价原则、评价指标体系、评价方法评价标准</w:t>
      </w:r>
      <w:bookmarkEnd w:id="5"/>
    </w:p>
    <w:p>
      <w:pPr>
        <w:pStyle w:val="16"/>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2"/>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1. 绩效评价原则</w:t>
      </w:r>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本次绩效评价遵循的原则包括：</w:t>
      </w:r>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（1）科学公正。绩效评价应当运用科学合理的方法，按照规范的程序，对项目绩效进行客观、公正的反映。</w:t>
      </w:r>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（3）激励约束。绩效评价结果应与预算安排、政策调整、改进管理实质性挂钩，体现奖优罚劣和激励相容导向，有效要安排、低效要压减、无效要问责。</w:t>
      </w:r>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（4）公开透明。绩效评价结果应依法依规公开，并自觉接受社会监督。</w:t>
      </w:r>
    </w:p>
    <w:p>
      <w:pPr>
        <w:pStyle w:val="16"/>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2"/>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2. 绩效评价指标体系</w:t>
      </w:r>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FF0000"/>
          <w:sz w:val="32"/>
          <w:szCs w:val="32"/>
          <w:highlight w:val="yellow"/>
          <w:lang w:val="en-US" w:eastAsia="zh-CN"/>
        </w:rPr>
      </w:pPr>
      <w:r>
        <w:rPr>
          <w:rFonts w:hint="eastAsia" w:ascii="Times New Roman" w:hAnsi="Times New Roman" w:eastAsia="方正仿宋_GBK" w:cs="方正仿宋_GBK"/>
          <w:sz w:val="32"/>
          <w:szCs w:val="32"/>
          <w:highlight w:val="none"/>
        </w:rPr>
        <w:t>本项目绩效评价体系为根据财预﹝2020﹞10号共性指标及个性化指标设置，</w:t>
      </w:r>
      <w:r>
        <w:rPr>
          <w:rFonts w:hint="eastAsia" w:ascii="Times New Roman" w:hAnsi="Times New Roman" w:eastAsia="方正仿宋_GBK" w:cs="方正仿宋_GBK"/>
          <w:color w:val="000000" w:themeColor="text1"/>
          <w:sz w:val="32"/>
          <w:szCs w:val="32"/>
          <w:highlight w:val="none"/>
        </w:rPr>
        <w:t>主要分为共性指标和个性指标两大类。共性指标下设决策与过程</w:t>
      </w:r>
      <w:r>
        <w:rPr>
          <w:rFonts w:hint="eastAsia" w:eastAsia="方正仿宋_GBK" w:cs="方正仿宋_GBK"/>
          <w:color w:val="000000" w:themeColor="text1"/>
          <w:sz w:val="32"/>
          <w:szCs w:val="32"/>
          <w:highlight w:val="none"/>
          <w:lang w:val="en-US" w:eastAsia="zh-CN"/>
        </w:rPr>
        <w:t>2</w:t>
      </w:r>
      <w:r>
        <w:rPr>
          <w:rFonts w:hint="eastAsia" w:ascii="Times New Roman" w:hAnsi="Times New Roman" w:eastAsia="方正仿宋_GBK" w:cs="方正仿宋_GBK"/>
          <w:color w:val="000000" w:themeColor="text1"/>
          <w:sz w:val="32"/>
          <w:szCs w:val="32"/>
          <w:highlight w:val="none"/>
        </w:rPr>
        <w:t>个一级指标，其中：项目决策下</w:t>
      </w:r>
      <w:r>
        <w:rPr>
          <w:rFonts w:hint="eastAsia" w:ascii="Times New Roman" w:hAnsi="Times New Roman" w:eastAsia="方正仿宋_GBK" w:cs="方正仿宋_GBK"/>
          <w:color w:val="000000" w:themeColor="text1"/>
          <w:sz w:val="32"/>
          <w:szCs w:val="32"/>
          <w:highlight w:val="none"/>
          <w:lang w:val="en-US" w:eastAsia="zh-CN"/>
        </w:rPr>
        <w:t>设</w:t>
      </w:r>
      <w:r>
        <w:rPr>
          <w:rFonts w:hint="eastAsia" w:ascii="Times New Roman" w:hAnsi="Times New Roman" w:eastAsia="方正仿宋_GBK" w:cs="方正仿宋_GBK"/>
          <w:color w:val="000000" w:themeColor="text1"/>
          <w:sz w:val="32"/>
          <w:szCs w:val="32"/>
          <w:highlight w:val="none"/>
        </w:rPr>
        <w:t>项目立项、绩效目标、资金投入3个二级指标；过程下设资金管理和组织实施2个二级指标</w:t>
      </w:r>
      <w:r>
        <w:rPr>
          <w:rFonts w:hint="eastAsia" w:eastAsia="方正仿宋_GBK" w:cs="方正仿宋_GBK"/>
          <w:color w:val="000000" w:themeColor="text1"/>
          <w:sz w:val="32"/>
          <w:szCs w:val="32"/>
          <w:highlight w:val="none"/>
          <w:lang w:eastAsia="zh-CN"/>
        </w:rPr>
        <w:t>。</w:t>
      </w:r>
      <w:r>
        <w:rPr>
          <w:rFonts w:hint="eastAsia" w:ascii="Times New Roman" w:hAnsi="Times New Roman" w:eastAsia="方正仿宋_GBK" w:cs="方正仿宋_GBK"/>
          <w:color w:val="000000" w:themeColor="text1"/>
          <w:sz w:val="32"/>
          <w:szCs w:val="32"/>
          <w:highlight w:val="none"/>
        </w:rPr>
        <w:t>个性指标下设产出和效益2个一级指标，其中</w:t>
      </w:r>
      <w:r>
        <w:rPr>
          <w:rFonts w:hint="eastAsia" w:eastAsia="方正仿宋_GBK" w:cs="方正仿宋_GBK"/>
          <w:color w:val="000000" w:themeColor="text1"/>
          <w:sz w:val="32"/>
          <w:szCs w:val="32"/>
          <w:highlight w:val="none"/>
          <w:lang w:eastAsia="zh-CN"/>
        </w:rPr>
        <w:t>产出下设产出质量、产出数量、产出时效、产出成本</w:t>
      </w:r>
      <w:r>
        <w:rPr>
          <w:rFonts w:hint="eastAsia" w:eastAsia="方正仿宋_GBK" w:cs="方正仿宋_GBK"/>
          <w:color w:val="000000" w:themeColor="text1"/>
          <w:sz w:val="32"/>
          <w:szCs w:val="32"/>
          <w:highlight w:val="none"/>
          <w:lang w:val="en-US" w:eastAsia="zh-CN"/>
        </w:rPr>
        <w:t>4个二级指标；效益下设项目效益1个指标。</w:t>
      </w:r>
      <w:r>
        <w:rPr>
          <w:rFonts w:hint="eastAsia" w:ascii="Times New Roman" w:hAnsi="Times New Roman" w:eastAsia="方正仿宋_GBK" w:cs="方正仿宋_GBK"/>
          <w:color w:val="000000" w:themeColor="text1"/>
          <w:sz w:val="32"/>
          <w:szCs w:val="32"/>
          <w:highlight w:val="none"/>
          <w:lang w:eastAsia="zh-CN"/>
        </w:rPr>
        <w:t>项目绩效评价体系详见附件</w:t>
      </w:r>
      <w:r>
        <w:rPr>
          <w:rFonts w:hint="eastAsia" w:ascii="Times New Roman" w:hAnsi="Times New Roman" w:eastAsia="方正仿宋_GBK" w:cs="方正仿宋_GBK"/>
          <w:color w:val="000000" w:themeColor="text1"/>
          <w:sz w:val="32"/>
          <w:szCs w:val="32"/>
          <w:highlight w:val="none"/>
          <w:lang w:val="en-US" w:eastAsia="zh-CN"/>
        </w:rPr>
        <w:t>1。</w:t>
      </w:r>
    </w:p>
    <w:p>
      <w:pPr>
        <w:pStyle w:val="16"/>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2"/>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3. 绩效评价方法</w:t>
      </w:r>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本次绩效评价方法的选用坚持简便有效的原则采用综合分析法。</w:t>
      </w:r>
      <w:r>
        <w:rPr>
          <w:rStyle w:val="14"/>
          <w:rFonts w:hint="eastAsia" w:ascii="仿宋" w:hAnsi="仿宋" w:eastAsia="仿宋" w:cs="仿宋"/>
          <w:b w:val="0"/>
          <w:bCs w:val="0"/>
          <w:spacing w:val="-4"/>
          <w:sz w:val="32"/>
          <w:szCs w:val="32"/>
        </w:rPr>
        <w:t>本次评价采用定量与定性评价相结合的比较法，公众评判法，总分由各项指标得分汇总形成。</w:t>
      </w:r>
      <w:r>
        <w:rPr>
          <w:rStyle w:val="14"/>
          <w:rFonts w:hint="eastAsia" w:ascii="仿宋" w:hAnsi="仿宋" w:eastAsia="仿宋" w:cs="仿宋"/>
          <w:b w:val="0"/>
          <w:bCs w:val="0"/>
          <w:spacing w:val="-4"/>
          <w:sz w:val="32"/>
          <w:szCs w:val="32"/>
        </w:rPr>
        <w:br w:type="textWrapping"/>
      </w:r>
      <w:r>
        <w:rPr>
          <w:rStyle w:val="14"/>
          <w:rFonts w:hint="eastAsia" w:ascii="仿宋" w:hAnsi="仿宋" w:eastAsia="仿宋" w:cs="仿宋"/>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4"/>
          <w:rFonts w:hint="eastAsia" w:ascii="仿宋" w:hAnsi="仿宋" w:eastAsia="仿宋" w:cs="仿宋"/>
          <w:b w:val="0"/>
          <w:bCs w:val="0"/>
          <w:spacing w:val="-4"/>
          <w:sz w:val="32"/>
          <w:szCs w:val="32"/>
        </w:rPr>
        <w:br w:type="textWrapping"/>
      </w:r>
      <w:r>
        <w:rPr>
          <w:rStyle w:val="14"/>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16"/>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2"/>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4. 绩效评价标准</w:t>
      </w:r>
    </w:p>
    <w:p>
      <w:pPr>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auto"/>
          <w:sz w:val="32"/>
          <w:szCs w:val="32"/>
          <w:highlight w:val="yellow"/>
        </w:rPr>
      </w:pPr>
      <w:bookmarkStart w:id="6" w:name="_Toc68364663"/>
      <w:r>
        <w:rPr>
          <w:rFonts w:hint="eastAsia" w:ascii="Times New Roman" w:hAnsi="Times New Roman" w:eastAsia="方正仿宋_GBK" w:cs="方正仿宋_GBK"/>
          <w:sz w:val="32"/>
          <w:szCs w:val="32"/>
        </w:rPr>
        <w:t>绩效评价标准通常包括计划标准、行业标准、历史标准等，用于对绩效指标完成情况进行比较</w:t>
      </w:r>
      <w:r>
        <w:rPr>
          <w:rFonts w:hint="eastAsia" w:ascii="Times New Roman" w:hAnsi="Times New Roman" w:eastAsia="方正仿宋_GBK" w:cs="方正仿宋_GBK"/>
          <w:sz w:val="32"/>
          <w:szCs w:val="32"/>
          <w:lang w:eastAsia="zh-CN"/>
        </w:rPr>
        <w:t>、分析、评价</w:t>
      </w:r>
      <w:r>
        <w:rPr>
          <w:rFonts w:hint="eastAsia" w:ascii="Times New Roman" w:hAnsi="Times New Roman" w:eastAsia="方正仿宋_GBK" w:cs="方正仿宋_GBK"/>
          <w:sz w:val="32"/>
          <w:szCs w:val="32"/>
        </w:rPr>
        <w:t>。</w:t>
      </w:r>
      <w:r>
        <w:rPr>
          <w:rFonts w:hint="eastAsia" w:ascii="Times New Roman" w:hAnsi="Times New Roman" w:eastAsia="方正仿宋_GBK" w:cs="方正仿宋_GBK"/>
          <w:color w:val="auto"/>
          <w:sz w:val="32"/>
          <w:szCs w:val="32"/>
        </w:rPr>
        <w:t>本次评价主要采用了</w:t>
      </w:r>
      <w:r>
        <w:rPr>
          <w:rFonts w:hint="eastAsia" w:ascii="Times New Roman" w:hAnsi="Times New Roman" w:eastAsia="方正仿宋_GBK" w:cs="方正仿宋_GBK"/>
          <w:color w:val="auto"/>
          <w:sz w:val="32"/>
          <w:szCs w:val="32"/>
          <w:lang w:eastAsia="zh-CN"/>
        </w:rPr>
        <w:t>计划</w:t>
      </w:r>
      <w:r>
        <w:rPr>
          <w:rFonts w:hint="eastAsia" w:ascii="Times New Roman" w:hAnsi="Times New Roman" w:eastAsia="方正仿宋_GBK" w:cs="方正仿宋_GBK"/>
          <w:color w:val="auto"/>
          <w:sz w:val="32"/>
          <w:szCs w:val="32"/>
          <w:lang w:val="en-US" w:eastAsia="zh-CN"/>
        </w:rPr>
        <w:t>标准</w:t>
      </w:r>
      <w:r>
        <w:rPr>
          <w:rFonts w:hint="eastAsia" w:ascii="Times New Roman" w:hAnsi="Times New Roman" w:eastAsia="方正仿宋_GBK" w:cs="方正仿宋_GBK"/>
          <w:color w:val="auto"/>
          <w:sz w:val="32"/>
          <w:szCs w:val="32"/>
        </w:rPr>
        <w:t>。</w:t>
      </w:r>
    </w:p>
    <w:p>
      <w:pPr>
        <w:pageBreakBefore w:val="0"/>
        <w:kinsoku/>
        <w:wordWrap/>
        <w:topLinePunct w:val="0"/>
        <w:autoSpaceDE/>
        <w:autoSpaceDN/>
        <w:bidi w:val="0"/>
        <w:spacing w:line="560" w:lineRule="exact"/>
        <w:ind w:firstLine="640"/>
        <w:rPr>
          <w:rFonts w:hint="eastAsia" w:ascii="Times New Roman" w:hAnsi="Times New Roman" w:eastAsia="方正仿宋_GBK" w:cs="方正仿宋_GBK"/>
          <w:sz w:val="32"/>
          <w:szCs w:val="32"/>
          <w:lang w:val="en-US" w:eastAsia="zh-CN"/>
        </w:rPr>
      </w:pPr>
      <w:bookmarkStart w:id="7" w:name="_Toc31464"/>
      <w:bookmarkStart w:id="8" w:name="_Toc17882"/>
      <w:r>
        <w:rPr>
          <w:rFonts w:hint="eastAsia" w:ascii="Times New Roman" w:hAnsi="Times New Roman" w:eastAsia="方正仿宋_GBK" w:cs="方正仿宋_GBK"/>
          <w:b/>
          <w:bCs/>
          <w:sz w:val="32"/>
          <w:szCs w:val="32"/>
          <w:lang w:val="en-US" w:eastAsia="zh-CN"/>
        </w:rPr>
        <w:t>计划标准：</w:t>
      </w:r>
      <w:r>
        <w:rPr>
          <w:rFonts w:hint="eastAsia" w:ascii="Times New Roman" w:hAnsi="Times New Roman" w:eastAsia="方正仿宋_GBK" w:cs="方正仿宋_GBK"/>
          <w:sz w:val="32"/>
          <w:szCs w:val="32"/>
          <w:lang w:val="en-US" w:eastAsia="zh-CN"/>
        </w:rPr>
        <w:t>指以预先制定的目标、计划、预算、定额等作为评价标准。</w:t>
      </w:r>
      <w:bookmarkEnd w:id="7"/>
      <w:bookmarkEnd w:id="8"/>
    </w:p>
    <w:p>
      <w:pPr>
        <w:pageBreakBefore w:val="0"/>
        <w:kinsoku/>
        <w:wordWrap/>
        <w:topLinePunct w:val="0"/>
        <w:autoSpaceDE/>
        <w:autoSpaceDN/>
        <w:bidi w:val="0"/>
        <w:spacing w:line="560" w:lineRule="exact"/>
        <w:ind w:firstLine="640"/>
        <w:rPr>
          <w:rFonts w:hint="eastAsia" w:ascii="Times New Roman" w:hAnsi="Times New Roman" w:eastAsia="方正仿宋_GBK" w:cs="方正仿宋_GBK"/>
          <w:sz w:val="32"/>
          <w:szCs w:val="32"/>
          <w:lang w:val="en-US" w:eastAsia="zh-CN"/>
        </w:rPr>
      </w:pPr>
      <w:bookmarkStart w:id="9" w:name="_Toc5633"/>
      <w:bookmarkStart w:id="10" w:name="_Toc2318"/>
      <w:r>
        <w:rPr>
          <w:rFonts w:hint="eastAsia" w:ascii="Times New Roman" w:hAnsi="Times New Roman" w:eastAsia="方正仿宋_GBK" w:cs="方正仿宋_GBK"/>
          <w:b/>
          <w:bCs/>
          <w:sz w:val="32"/>
          <w:szCs w:val="32"/>
          <w:lang w:val="en-US" w:eastAsia="zh-CN"/>
        </w:rPr>
        <w:t>行业标准：</w:t>
      </w:r>
      <w:r>
        <w:rPr>
          <w:rFonts w:hint="eastAsia" w:ascii="Times New Roman" w:hAnsi="Times New Roman" w:eastAsia="方正仿宋_GBK" w:cs="方正仿宋_GBK"/>
          <w:sz w:val="32"/>
          <w:szCs w:val="32"/>
          <w:lang w:val="en-US" w:eastAsia="zh-CN"/>
        </w:rPr>
        <w:t>指参照国家公布的行业指标数据制定的评价标准。</w:t>
      </w:r>
      <w:bookmarkEnd w:id="9"/>
      <w:bookmarkEnd w:id="10"/>
    </w:p>
    <w:p>
      <w:pPr>
        <w:pageBreakBefore w:val="0"/>
        <w:kinsoku/>
        <w:wordWrap/>
        <w:topLinePunct w:val="0"/>
        <w:autoSpaceDE/>
        <w:autoSpaceDN/>
        <w:bidi w:val="0"/>
        <w:spacing w:line="560" w:lineRule="exact"/>
        <w:ind w:firstLine="640"/>
        <w:rPr>
          <w:rFonts w:hint="eastAsia" w:ascii="Times New Roman" w:hAnsi="Times New Roman" w:eastAsia="方正仿宋_GBK" w:cs="方正仿宋_GBK"/>
          <w:sz w:val="32"/>
          <w:szCs w:val="32"/>
        </w:rPr>
      </w:pPr>
      <w:bookmarkStart w:id="11" w:name="_Toc430"/>
      <w:bookmarkStart w:id="12" w:name="_Toc16028"/>
      <w:r>
        <w:rPr>
          <w:rFonts w:hint="eastAsia" w:ascii="Times New Roman" w:hAnsi="Times New Roman" w:eastAsia="方正仿宋_GBK" w:cs="方正仿宋_GBK"/>
          <w:b/>
          <w:bCs/>
          <w:sz w:val="32"/>
          <w:szCs w:val="32"/>
          <w:lang w:val="en-US" w:eastAsia="zh-CN"/>
        </w:rPr>
        <w:t>历史标准：</w:t>
      </w:r>
      <w:r>
        <w:rPr>
          <w:rFonts w:hint="eastAsia" w:ascii="Times New Roman" w:hAnsi="Times New Roman" w:eastAsia="方正仿宋_GBK" w:cs="方正仿宋_GBK"/>
          <w:sz w:val="32"/>
          <w:szCs w:val="32"/>
          <w:lang w:val="en-US" w:eastAsia="zh-CN"/>
        </w:rPr>
        <w:t>指参照历史数据制定的评价标准，为体现绩效改进的原则，在可实现的条件下应当确定相对较高的评价标准。</w:t>
      </w:r>
      <w:bookmarkEnd w:id="11"/>
      <w:bookmarkEnd w:id="12"/>
    </w:p>
    <w:p>
      <w:pPr>
        <w:pStyle w:val="15"/>
        <w:keepNext/>
        <w:keepLines/>
        <w:pageBreakBefore w:val="0"/>
        <w:widowControl w:val="0"/>
        <w:kinsoku/>
        <w:wordWrap/>
        <w:overflowPunct/>
        <w:topLinePunct w:val="0"/>
        <w:autoSpaceDE/>
        <w:autoSpaceDN/>
        <w:bidi w:val="0"/>
        <w:adjustRightInd/>
        <w:snapToGrid/>
        <w:spacing w:line="560" w:lineRule="exact"/>
        <w:ind w:left="560"/>
        <w:textAlignment w:val="auto"/>
        <w:rPr>
          <w:rFonts w:hint="eastAsia" w:ascii="方正楷体_GBK" w:hAnsi="方正楷体_GBK" w:eastAsia="方正楷体_GBK" w:cs="方正楷体_GBK"/>
          <w:b/>
          <w:bCs/>
          <w:sz w:val="32"/>
        </w:rPr>
      </w:pPr>
      <w:r>
        <w:rPr>
          <w:rFonts w:hint="eastAsia" w:ascii="方正楷体_GBK" w:hAnsi="方正楷体_GBK" w:eastAsia="方正楷体_GBK" w:cs="方正楷体_GBK"/>
          <w:b/>
          <w:bCs/>
          <w:sz w:val="32"/>
        </w:rPr>
        <w:t>（三）绩效评价工作过程</w:t>
      </w:r>
      <w:bookmarkEnd w:id="6"/>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本次评价成立了评价工作组，成员如下：</w:t>
      </w:r>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本次评价设计了评价方案、评价指标体系，通过资料分析、调研、访谈满意度调查等方式形成评价结论，在与项目单位沟通后确定评价意见，并出具评价报告。</w:t>
      </w:r>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FF0000"/>
          <w:sz w:val="32"/>
          <w:szCs w:val="32"/>
        </w:rPr>
      </w:pPr>
      <w:r>
        <w:rPr>
          <w:rFonts w:hint="eastAsia" w:ascii="Times New Roman" w:hAnsi="Times New Roman" w:eastAsia="方正仿宋_GBK" w:cs="方正仿宋_GBK"/>
          <w:sz w:val="32"/>
          <w:szCs w:val="32"/>
        </w:rPr>
        <w:t>第一阶段：前期准备。认真学习相关要求与规定，成立绩效评价工作组，作为绩效评价工作具体实施机构。成员构成如下：</w:t>
      </w:r>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000000" w:themeColor="text1"/>
          <w:sz w:val="32"/>
          <w:szCs w:val="32"/>
        </w:rPr>
      </w:pPr>
      <w:r>
        <w:rPr>
          <w:rFonts w:hint="eastAsia" w:ascii="Times New Roman" w:hAnsi="Times New Roman" w:eastAsia="方正仿宋_GBK" w:cs="方正仿宋_GBK"/>
          <w:sz w:val="32"/>
          <w:szCs w:val="32"/>
          <w:lang w:val="en-US" w:eastAsia="zh-CN"/>
        </w:rPr>
        <w:t>李</w:t>
      </w:r>
      <w:r>
        <w:rPr>
          <w:rStyle w:val="14"/>
          <w:rFonts w:hint="eastAsia" w:ascii="方正仿宋_GBK" w:hAnsi="方正仿宋_GBK" w:eastAsia="方正仿宋_GBK" w:cs="方正仿宋_GBK"/>
          <w:b w:val="0"/>
          <w:color w:val="auto"/>
          <w:sz w:val="32"/>
          <w:szCs w:val="32"/>
          <w:highlight w:val="none"/>
          <w:lang w:val="en-US" w:eastAsia="zh-CN" w:bidi="ar"/>
        </w:rPr>
        <w:t>欣兆</w:t>
      </w:r>
      <w:r>
        <w:rPr>
          <w:rFonts w:hint="eastAsia" w:ascii="Times New Roman" w:hAnsi="Times New Roman" w:eastAsia="方正仿宋_GBK" w:cs="方正仿宋_GBK"/>
          <w:color w:val="000000" w:themeColor="text1"/>
          <w:sz w:val="32"/>
          <w:szCs w:val="32"/>
        </w:rPr>
        <w:t>任评价组组长，绩效评价工作职责为负责全盘工作。</w:t>
      </w:r>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000000" w:themeColor="text1"/>
          <w:sz w:val="32"/>
          <w:szCs w:val="32"/>
        </w:rPr>
      </w:pPr>
      <w:r>
        <w:rPr>
          <w:rFonts w:hint="eastAsia" w:ascii="Times New Roman" w:hAnsi="Times New Roman" w:eastAsia="方正仿宋_GBK" w:cs="方正仿宋_GBK"/>
          <w:color w:val="000000" w:themeColor="text1"/>
          <w:sz w:val="32"/>
          <w:szCs w:val="32"/>
          <w:lang w:val="en-US" w:eastAsia="zh-CN"/>
        </w:rPr>
        <w:t>张琳琳</w:t>
      </w:r>
      <w:r>
        <w:rPr>
          <w:rFonts w:hint="eastAsia" w:ascii="Times New Roman" w:hAnsi="Times New Roman" w:eastAsia="方正仿宋_GBK" w:cs="方正仿宋_GBK"/>
          <w:color w:val="000000" w:themeColor="text1"/>
          <w:sz w:val="32"/>
          <w:szCs w:val="32"/>
        </w:rPr>
        <w:t>任评价组副组长，绩效评价工作职责为为对项目实施情况进行实地调查。</w:t>
      </w:r>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000000" w:themeColor="text1"/>
          <w:sz w:val="32"/>
          <w:szCs w:val="32"/>
        </w:rPr>
      </w:pPr>
      <w:r>
        <w:rPr>
          <w:rFonts w:hint="eastAsia" w:ascii="Times New Roman" w:hAnsi="Times New Roman" w:eastAsia="方正仿宋_GBK" w:cs="方正仿宋_GBK"/>
          <w:color w:val="000000" w:themeColor="text1"/>
          <w:sz w:val="32"/>
          <w:szCs w:val="32"/>
          <w:lang w:val="en-US" w:eastAsia="zh-CN"/>
        </w:rPr>
        <w:t>廖干、杨雅琪</w:t>
      </w:r>
      <w:r>
        <w:rPr>
          <w:rFonts w:hint="eastAsia" w:ascii="Times New Roman" w:hAnsi="Times New Roman" w:eastAsia="方正仿宋_GBK" w:cs="方正仿宋_GBK"/>
          <w:color w:val="000000" w:themeColor="text1"/>
          <w:sz w:val="32"/>
          <w:szCs w:val="32"/>
        </w:rPr>
        <w:t>任评价组成员，绩效评价工作职责为负责资料审核等工作。</w:t>
      </w:r>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第二阶段：组织实施。经评价组通过实地调研</w:t>
      </w:r>
      <w:r>
        <w:rPr>
          <w:rFonts w:hint="eastAsia" w:ascii="Times New Roman" w:hAnsi="Times New Roman" w:eastAsia="方正仿宋_GBK" w:cs="方正仿宋_GBK"/>
          <w:sz w:val="32"/>
          <w:szCs w:val="32"/>
          <w:lang w:eastAsia="zh-CN"/>
        </w:rPr>
        <w:t>、查阅资料</w:t>
      </w:r>
      <w:r>
        <w:rPr>
          <w:rFonts w:hint="eastAsia" w:ascii="Times New Roman" w:hAnsi="Times New Roman" w:eastAsia="方正仿宋_GBK" w:cs="方正仿宋_GBK"/>
          <w:sz w:val="32"/>
          <w:szCs w:val="32"/>
        </w:rPr>
        <w:t>等方式，采用综合分析法对项目的决策、管理、绩效进行的综合评价分析。</w:t>
      </w:r>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第三阶段：分析评价。首先按照指标体系进行定量、定性分析。其次开展量化打分、综合评价工作，形成初步评价结论。最后归纳整体项目情况与存在问题，撰写部门绩效评价报告。</w:t>
      </w: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方正黑体_GBK" w:hAnsi="方正黑体_GBK" w:eastAsia="方正黑体_GBK" w:cs="方正黑体_GBK"/>
          <w:b/>
          <w:bCs/>
        </w:rPr>
      </w:pPr>
      <w:bookmarkStart w:id="13" w:name="_Toc68364664"/>
      <w:r>
        <w:rPr>
          <w:rFonts w:hint="eastAsia" w:ascii="方正黑体_GBK" w:hAnsi="方正黑体_GBK" w:eastAsia="方正黑体_GBK" w:cs="方正黑体_GBK"/>
          <w:b/>
          <w:bCs/>
        </w:rPr>
        <w:t>三、综合评价情况及评价结论</w:t>
      </w:r>
      <w:bookmarkEnd w:id="13"/>
    </w:p>
    <w:p>
      <w:pPr>
        <w:pStyle w:val="15"/>
        <w:keepNext/>
        <w:keepLines/>
        <w:pageBreakBefore w:val="0"/>
        <w:widowControl w:val="0"/>
        <w:kinsoku/>
        <w:wordWrap/>
        <w:overflowPunct/>
        <w:topLinePunct w:val="0"/>
        <w:autoSpaceDE/>
        <w:autoSpaceDN/>
        <w:bidi w:val="0"/>
        <w:adjustRightInd/>
        <w:snapToGrid/>
        <w:spacing w:line="560" w:lineRule="exact"/>
        <w:ind w:left="560"/>
        <w:textAlignment w:val="auto"/>
        <w:rPr>
          <w:rFonts w:hint="eastAsia" w:ascii="方正楷体_GBK" w:hAnsi="方正楷体_GBK" w:eastAsia="方正楷体_GBK" w:cs="方正楷体_GBK"/>
          <w:b/>
          <w:bCs/>
          <w:sz w:val="32"/>
        </w:rPr>
      </w:pPr>
      <w:bookmarkStart w:id="14" w:name="_Toc68364665"/>
      <w:r>
        <w:rPr>
          <w:rFonts w:hint="eastAsia" w:ascii="方正楷体_GBK" w:hAnsi="方正楷体_GBK" w:eastAsia="方正楷体_GBK" w:cs="方正楷体_GBK"/>
          <w:b/>
          <w:bCs/>
          <w:sz w:val="32"/>
        </w:rPr>
        <w:t>（一）综合评价情况</w:t>
      </w:r>
      <w:bookmarkEnd w:id="14"/>
    </w:p>
    <w:p>
      <w:pPr>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000000" w:themeColor="text1"/>
          <w:sz w:val="32"/>
          <w:szCs w:val="32"/>
        </w:rPr>
      </w:pPr>
      <w:bookmarkStart w:id="15" w:name="_Toc68364666"/>
      <w:r>
        <w:rPr>
          <w:rFonts w:hint="eastAsia" w:ascii="Times New Roman" w:hAnsi="Times New Roman" w:eastAsia="方正仿宋_GBK" w:cs="方正仿宋_GBK"/>
          <w:color w:val="000000" w:themeColor="text1"/>
          <w:sz w:val="32"/>
          <w:szCs w:val="32"/>
        </w:rPr>
        <w:t>经评价组通过实地调研</w:t>
      </w:r>
      <w:r>
        <w:rPr>
          <w:rFonts w:hint="eastAsia" w:ascii="Times New Roman" w:hAnsi="Times New Roman" w:eastAsia="方正仿宋_GBK" w:cs="方正仿宋_GBK"/>
          <w:color w:val="000000" w:themeColor="text1"/>
          <w:sz w:val="32"/>
          <w:szCs w:val="32"/>
          <w:lang w:eastAsia="zh-CN"/>
        </w:rPr>
        <w:t>、</w:t>
      </w:r>
      <w:r>
        <w:rPr>
          <w:rFonts w:hint="eastAsia" w:ascii="Times New Roman" w:hAnsi="Times New Roman" w:eastAsia="方正仿宋_GBK" w:cs="方正仿宋_GBK"/>
          <w:color w:val="000000" w:themeColor="text1"/>
          <w:sz w:val="32"/>
          <w:szCs w:val="32"/>
        </w:rPr>
        <w:t>综合分析法</w:t>
      </w:r>
      <w:r>
        <w:rPr>
          <w:rFonts w:hint="eastAsia" w:ascii="Times New Roman" w:hAnsi="Times New Roman" w:eastAsia="方正仿宋_GBK" w:cs="方正仿宋_GBK"/>
          <w:color w:val="000000" w:themeColor="text1"/>
          <w:sz w:val="32"/>
          <w:szCs w:val="32"/>
          <w:lang w:eastAsia="zh-CN"/>
        </w:rPr>
        <w:t>、</w:t>
      </w:r>
      <w:r>
        <w:rPr>
          <w:rFonts w:hint="eastAsia" w:ascii="仿宋_GB2312" w:hAnsi="仿宋" w:eastAsia="仿宋_GB2312" w:cs="宋体"/>
          <w:color w:val="000000" w:themeColor="text1"/>
          <w:sz w:val="32"/>
          <w:szCs w:val="32"/>
        </w:rPr>
        <w:t>问卷调查法</w:t>
      </w:r>
      <w:r>
        <w:rPr>
          <w:rFonts w:hint="eastAsia" w:ascii="Times New Roman" w:hAnsi="Times New Roman" w:eastAsia="方正仿宋_GBK" w:cs="方正仿宋_GBK"/>
          <w:color w:val="000000" w:themeColor="text1"/>
          <w:sz w:val="32"/>
          <w:szCs w:val="32"/>
        </w:rPr>
        <w:t>等方式</w:t>
      </w:r>
      <w:r>
        <w:rPr>
          <w:rFonts w:hint="eastAsia" w:ascii="Times New Roman" w:hAnsi="Times New Roman" w:eastAsia="方正仿宋_GBK" w:cs="方正仿宋_GBK"/>
          <w:color w:val="000000" w:themeColor="text1"/>
          <w:sz w:val="32"/>
          <w:szCs w:val="32"/>
          <w:highlight w:val="none"/>
        </w:rPr>
        <w:t>，</w:t>
      </w:r>
      <w:r>
        <w:rPr>
          <w:rFonts w:hint="eastAsia" w:ascii="Times New Roman" w:hAnsi="Times New Roman" w:eastAsia="方正仿宋_GBK" w:cs="方正仿宋_GBK"/>
          <w:color w:val="000000" w:themeColor="text1"/>
          <w:sz w:val="32"/>
          <w:szCs w:val="32"/>
          <w:highlight w:val="none"/>
          <w:lang w:val="en-US" w:eastAsia="zh-CN"/>
        </w:rPr>
        <w:t>主要</w:t>
      </w:r>
      <w:r>
        <w:rPr>
          <w:rFonts w:hint="eastAsia" w:ascii="Times New Roman" w:hAnsi="Times New Roman" w:eastAsia="方正仿宋_GBK" w:cs="方正仿宋_GBK"/>
          <w:color w:val="000000" w:themeColor="text1"/>
          <w:sz w:val="32"/>
          <w:szCs w:val="32"/>
          <w:highlight w:val="none"/>
        </w:rPr>
        <w:t>采用综合分析法对项</w:t>
      </w:r>
      <w:r>
        <w:rPr>
          <w:rFonts w:hint="eastAsia" w:ascii="Times New Roman" w:hAnsi="Times New Roman" w:eastAsia="方正仿宋_GBK" w:cs="方正仿宋_GBK"/>
          <w:color w:val="000000" w:themeColor="text1"/>
          <w:sz w:val="32"/>
          <w:szCs w:val="32"/>
        </w:rPr>
        <w:t>目的决策、实施、产出、效益进行综合评价分析，最终评分</w:t>
      </w:r>
      <w:r>
        <w:rPr>
          <w:rFonts w:hint="eastAsia" w:ascii="Times New Roman" w:hAnsi="Times New Roman" w:eastAsia="方正仿宋_GBK" w:cs="方正仿宋_GBK"/>
          <w:color w:val="000000" w:themeColor="text1"/>
          <w:sz w:val="32"/>
          <w:szCs w:val="32"/>
          <w:lang w:val="en-US" w:eastAsia="zh-CN"/>
        </w:rPr>
        <w:t>97.38</w:t>
      </w:r>
      <w:r>
        <w:rPr>
          <w:rFonts w:hint="eastAsia" w:ascii="Times New Roman" w:hAnsi="Times New Roman" w:eastAsia="方正仿宋_GBK" w:cs="方正仿宋_GBK"/>
          <w:color w:val="000000" w:themeColor="text1"/>
          <w:sz w:val="32"/>
          <w:szCs w:val="32"/>
        </w:rPr>
        <w:t>分。</w:t>
      </w:r>
    </w:p>
    <w:p>
      <w:pPr>
        <w:pageBreakBefore w:val="0"/>
        <w:kinsoku/>
        <w:wordWrap/>
        <w:topLinePunct w:val="0"/>
        <w:autoSpaceDE/>
        <w:autoSpaceDN/>
        <w:bidi w:val="0"/>
        <w:spacing w:line="560" w:lineRule="exact"/>
        <w:ind w:firstLine="640"/>
        <w:jc w:val="center"/>
        <w:rPr>
          <w:rFonts w:hint="eastAsia"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lang w:eastAsia="zh-CN"/>
        </w:rPr>
        <w:t>畜产品质量安全检测</w:t>
      </w:r>
      <w:r>
        <w:rPr>
          <w:rFonts w:hint="eastAsia" w:ascii="Times New Roman" w:hAnsi="Times New Roman" w:eastAsia="方正仿宋_GBK" w:cs="方正仿宋_GBK"/>
          <w:color w:val="333333"/>
          <w:sz w:val="32"/>
          <w:szCs w:val="32"/>
        </w:rPr>
        <w:t>项目得分情况表</w:t>
      </w:r>
    </w:p>
    <w:tbl>
      <w:tblPr>
        <w:tblStyle w:val="12"/>
        <w:tblW w:w="8325" w:type="dxa"/>
        <w:jc w:val="center"/>
        <w:tblLayout w:type="fixed"/>
        <w:tblCellMar>
          <w:top w:w="0" w:type="dxa"/>
          <w:left w:w="0" w:type="dxa"/>
          <w:bottom w:w="0" w:type="dxa"/>
          <w:right w:w="0" w:type="dxa"/>
        </w:tblCellMar>
      </w:tblPr>
      <w:tblGrid>
        <w:gridCol w:w="2317"/>
        <w:gridCol w:w="1840"/>
        <w:gridCol w:w="2083"/>
        <w:gridCol w:w="2085"/>
      </w:tblGrid>
      <w:tr>
        <w:tblPrEx>
          <w:tblCellMar>
            <w:top w:w="0" w:type="dxa"/>
            <w:left w:w="0" w:type="dxa"/>
            <w:bottom w:w="0" w:type="dxa"/>
            <w:right w:w="0" w:type="dxa"/>
          </w:tblCellMar>
        </w:tblPrEx>
        <w:trPr>
          <w:trHeight w:val="392" w:hRule="atLeast"/>
          <w:jc w:val="center"/>
        </w:trPr>
        <w:tc>
          <w:tcPr>
            <w:tcW w:w="23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一级指标</w:t>
            </w:r>
          </w:p>
        </w:tc>
        <w:tc>
          <w:tcPr>
            <w:tcW w:w="184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权重</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得分率</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实际得分</w:t>
            </w:r>
          </w:p>
        </w:tc>
      </w:tr>
      <w:tr>
        <w:tblPrEx>
          <w:tblCellMar>
            <w:top w:w="0" w:type="dxa"/>
            <w:left w:w="0" w:type="dxa"/>
            <w:bottom w:w="0" w:type="dxa"/>
            <w:right w:w="0" w:type="dxa"/>
          </w:tblCellMar>
        </w:tblPrEx>
        <w:trPr>
          <w:trHeight w:val="515"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项目决策</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20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default" w:ascii="Times New Roman" w:hAnsi="Times New Roman" w:eastAsia="方正仿宋_GBK" w:cs="方正仿宋_GBK"/>
                <w:color w:val="000000" w:themeColor="text1"/>
                <w:lang w:val="en-US" w:eastAsia="zh-CN"/>
              </w:rPr>
            </w:pPr>
            <w:r>
              <w:rPr>
                <w:rFonts w:hint="eastAsia" w:ascii="Times New Roman" w:hAnsi="Times New Roman" w:eastAsia="方正仿宋_GBK" w:cs="方正仿宋_GBK"/>
                <w:color w:val="000000" w:themeColor="text1"/>
                <w:lang w:val="en-US" w:eastAsia="zh-CN"/>
              </w:rPr>
              <w:t>20</w:t>
            </w:r>
          </w:p>
        </w:tc>
      </w:tr>
      <w:tr>
        <w:tblPrEx>
          <w:tblCellMar>
            <w:top w:w="0" w:type="dxa"/>
            <w:left w:w="0" w:type="dxa"/>
            <w:bottom w:w="0" w:type="dxa"/>
            <w:right w:w="0" w:type="dxa"/>
          </w:tblCellMar>
        </w:tblPrEx>
        <w:trPr>
          <w:trHeight w:val="31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项目过程</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20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default" w:ascii="Times New Roman" w:hAnsi="Times New Roman" w:eastAsia="方正仿宋_GBK" w:cs="方正仿宋_GBK"/>
                <w:color w:val="000000" w:themeColor="text1"/>
                <w:lang w:val="en-US" w:eastAsia="zh-CN"/>
              </w:rPr>
            </w:pPr>
            <w:r>
              <w:rPr>
                <w:rFonts w:hint="eastAsia" w:ascii="Times New Roman" w:hAnsi="Times New Roman" w:eastAsia="方正仿宋_GBK" w:cs="方正仿宋_GBK"/>
                <w:color w:val="000000" w:themeColor="text1"/>
                <w:lang w:val="en-US" w:eastAsia="zh-CN"/>
              </w:rPr>
              <w:t>19.93</w:t>
            </w:r>
          </w:p>
        </w:tc>
      </w:tr>
      <w:tr>
        <w:tblPrEx>
          <w:tblCellMar>
            <w:top w:w="0" w:type="dxa"/>
            <w:left w:w="0" w:type="dxa"/>
            <w:bottom w:w="0" w:type="dxa"/>
            <w:right w:w="0" w:type="dxa"/>
          </w:tblCellMar>
        </w:tblPrEx>
        <w:trPr>
          <w:trHeight w:val="31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项目产出</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40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default" w:ascii="Times New Roman" w:hAnsi="Times New Roman" w:eastAsia="方正仿宋_GBK" w:cs="方正仿宋_GBK"/>
                <w:color w:val="000000" w:themeColor="text1"/>
                <w:lang w:val="en-US" w:eastAsia="zh-CN"/>
              </w:rPr>
            </w:pPr>
            <w:r>
              <w:rPr>
                <w:rFonts w:hint="eastAsia" w:ascii="Times New Roman" w:hAnsi="Times New Roman" w:eastAsia="方正仿宋_GBK" w:cs="方正仿宋_GBK"/>
                <w:color w:val="000000" w:themeColor="text1"/>
                <w:lang w:val="en-US" w:eastAsia="zh-CN"/>
              </w:rPr>
              <w:t>37.95</w:t>
            </w:r>
          </w:p>
        </w:tc>
      </w:tr>
      <w:tr>
        <w:tblPrEx>
          <w:tblCellMar>
            <w:top w:w="0" w:type="dxa"/>
            <w:left w:w="0" w:type="dxa"/>
            <w:bottom w:w="0" w:type="dxa"/>
            <w:right w:w="0" w:type="dxa"/>
          </w:tblCellMar>
        </w:tblPrEx>
        <w:trPr>
          <w:trHeight w:val="390"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项目效益</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20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20</w:t>
            </w:r>
          </w:p>
        </w:tc>
      </w:tr>
      <w:tr>
        <w:tblPrEx>
          <w:tblCellMar>
            <w:top w:w="0" w:type="dxa"/>
            <w:left w:w="0" w:type="dxa"/>
            <w:bottom w:w="0" w:type="dxa"/>
            <w:right w:w="0" w:type="dxa"/>
          </w:tblCellMar>
        </w:tblPrEx>
        <w:trPr>
          <w:trHeight w:val="43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合计</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100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lang w:val="en-US" w:eastAsia="zh-CN"/>
              </w:rPr>
              <w:t>97.38</w:t>
            </w:r>
            <w:r>
              <w:rPr>
                <w:rFonts w:hint="eastAsia" w:ascii="Times New Roman" w:hAnsi="Times New Roman" w:eastAsia="方正仿宋_GBK" w:cs="方正仿宋_GBK"/>
                <w:color w:val="000000" w:themeColor="text1"/>
              </w:rPr>
              <w:t>%</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default" w:ascii="Times New Roman" w:hAnsi="Times New Roman" w:eastAsia="方正仿宋_GBK" w:cs="方正仿宋_GBK"/>
                <w:color w:val="000000" w:themeColor="text1"/>
                <w:lang w:val="en-US" w:eastAsia="zh-CN"/>
              </w:rPr>
            </w:pPr>
            <w:r>
              <w:rPr>
                <w:rFonts w:hint="eastAsia" w:ascii="Times New Roman" w:hAnsi="Times New Roman" w:eastAsia="方正仿宋_GBK" w:cs="方正仿宋_GBK"/>
                <w:color w:val="000000" w:themeColor="text1"/>
                <w:lang w:val="en-US" w:eastAsia="zh-CN"/>
              </w:rPr>
              <w:t>97.88</w:t>
            </w:r>
          </w:p>
        </w:tc>
      </w:tr>
    </w:tbl>
    <w:p>
      <w:pPr>
        <w:pStyle w:val="15"/>
        <w:keepNext/>
        <w:keepLines/>
        <w:pageBreakBefore w:val="0"/>
        <w:widowControl w:val="0"/>
        <w:kinsoku/>
        <w:wordWrap/>
        <w:overflowPunct/>
        <w:topLinePunct w:val="0"/>
        <w:autoSpaceDE/>
        <w:autoSpaceDN/>
        <w:bidi w:val="0"/>
        <w:adjustRightInd/>
        <w:snapToGrid/>
        <w:spacing w:line="560" w:lineRule="exact"/>
        <w:ind w:left="560"/>
        <w:textAlignment w:val="auto"/>
        <w:rPr>
          <w:rFonts w:hint="eastAsia" w:ascii="方正楷体_GBK" w:hAnsi="方正楷体_GBK" w:eastAsia="方正楷体_GBK" w:cs="方正楷体_GBK"/>
          <w:b/>
          <w:bCs/>
          <w:sz w:val="32"/>
        </w:rPr>
      </w:pPr>
      <w:r>
        <w:rPr>
          <w:rFonts w:hint="eastAsia" w:ascii="方正楷体_GBK" w:hAnsi="方正楷体_GBK" w:eastAsia="方正楷体_GBK" w:cs="方正楷体_GBK"/>
          <w:b/>
          <w:bCs/>
          <w:sz w:val="32"/>
        </w:rPr>
        <w:t>（二）综合评价结论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rPr>
        <w:t>运用项目组制</w:t>
      </w:r>
      <w:r>
        <w:rPr>
          <w:rFonts w:hint="eastAsia" w:ascii="Times New Roman" w:hAnsi="Times New Roman" w:eastAsia="方正仿宋_GBK" w:cs="方正仿宋_GBK"/>
          <w:color w:val="333333"/>
          <w:sz w:val="32"/>
          <w:szCs w:val="32"/>
          <w:lang w:eastAsia="zh-CN"/>
        </w:rPr>
        <w:t>定</w:t>
      </w:r>
      <w:r>
        <w:rPr>
          <w:rFonts w:hint="eastAsia" w:ascii="Times New Roman" w:hAnsi="Times New Roman" w:eastAsia="方正仿宋_GBK" w:cs="方正仿宋_GBK"/>
          <w:color w:val="333333"/>
          <w:sz w:val="32"/>
          <w:szCs w:val="32"/>
        </w:rPr>
        <w:t>评价指标体系及</w:t>
      </w:r>
      <w:r>
        <w:rPr>
          <w:rFonts w:hint="eastAsia" w:ascii="Times New Roman" w:hAnsi="Times New Roman" w:eastAsia="方正仿宋_GBK" w:cs="方正仿宋_GBK"/>
          <w:sz w:val="32"/>
          <w:szCs w:val="32"/>
        </w:rPr>
        <w:t>财政部《项目支出绩效</w:t>
      </w:r>
      <w:r>
        <w:rPr>
          <w:rFonts w:hint="eastAsia" w:ascii="Times New Roman" w:hAnsi="Times New Roman" w:eastAsia="方正仿宋_GBK" w:cs="方正仿宋_GBK"/>
          <w:color w:val="333333"/>
          <w:sz w:val="32"/>
          <w:szCs w:val="32"/>
        </w:rPr>
        <w:t>评价管理办法》（财预〔2020〕10号）</w:t>
      </w:r>
      <w:r>
        <w:rPr>
          <w:rFonts w:hint="eastAsia" w:ascii="Times New Roman" w:hAnsi="Times New Roman" w:eastAsia="方正仿宋_GBK" w:cs="方正仿宋_GBK"/>
          <w:color w:val="333333"/>
          <w:sz w:val="32"/>
          <w:szCs w:val="32"/>
          <w:lang w:eastAsia="zh-CN"/>
        </w:rPr>
        <w:t>文件</w:t>
      </w:r>
      <w:r>
        <w:rPr>
          <w:rFonts w:hint="eastAsia" w:ascii="Times New Roman" w:hAnsi="Times New Roman" w:eastAsia="方正仿宋_GBK" w:cs="方正仿宋_GBK"/>
          <w:color w:val="333333"/>
          <w:sz w:val="32"/>
          <w:szCs w:val="32"/>
        </w:rPr>
        <w:t>评分标准</w:t>
      </w:r>
      <w:r>
        <w:rPr>
          <w:rFonts w:hint="eastAsia" w:ascii="Times New Roman" w:hAnsi="Times New Roman" w:eastAsia="方正仿宋_GBK" w:cs="方正仿宋_GBK"/>
          <w:color w:val="333333"/>
          <w:sz w:val="32"/>
          <w:szCs w:val="32"/>
          <w:lang w:eastAsia="zh-CN"/>
        </w:rPr>
        <w:t>进行评价</w:t>
      </w:r>
      <w:r>
        <w:rPr>
          <w:rFonts w:hint="eastAsia" w:ascii="Times New Roman" w:hAnsi="Times New Roman" w:eastAsia="方正仿宋_GBK" w:cs="方正仿宋_GBK"/>
          <w:color w:val="333333"/>
          <w:sz w:val="32"/>
          <w:szCs w:val="32"/>
        </w:rPr>
        <w:t>，本次绩效评价</w:t>
      </w:r>
      <w:r>
        <w:rPr>
          <w:rFonts w:hint="eastAsia" w:ascii="Times New Roman" w:hAnsi="Times New Roman" w:eastAsia="方正仿宋_GBK" w:cs="方正仿宋_GBK"/>
          <w:color w:val="333333"/>
          <w:sz w:val="32"/>
          <w:szCs w:val="32"/>
          <w:lang w:val="en-US" w:eastAsia="zh-CN"/>
        </w:rPr>
        <w:t>结果</w:t>
      </w:r>
      <w:r>
        <w:rPr>
          <w:rFonts w:hint="eastAsia" w:ascii="Times New Roman" w:hAnsi="Times New Roman" w:eastAsia="方正仿宋_GBK" w:cs="方正仿宋_GBK"/>
          <w:color w:val="333333"/>
          <w:sz w:val="32"/>
          <w:szCs w:val="32"/>
        </w:rPr>
        <w:t>主要</w:t>
      </w:r>
      <w:r>
        <w:rPr>
          <w:rFonts w:hint="eastAsia" w:ascii="Times New Roman" w:hAnsi="Times New Roman" w:eastAsia="方正仿宋_GBK" w:cs="方正仿宋_GBK"/>
          <w:color w:val="333333"/>
          <w:sz w:val="32"/>
          <w:szCs w:val="32"/>
          <w:lang w:val="en-US" w:eastAsia="zh-CN"/>
        </w:rPr>
        <w:t>采取评分和评级相结合的方式</w:t>
      </w:r>
      <w:r>
        <w:rPr>
          <w:rFonts w:hint="eastAsia" w:ascii="Times New Roman" w:hAnsi="Times New Roman" w:eastAsia="方正仿宋_GBK" w:cs="方正仿宋_GBK"/>
          <w:color w:val="333333"/>
          <w:sz w:val="32"/>
          <w:szCs w:val="32"/>
        </w:rPr>
        <w:t>，</w:t>
      </w:r>
      <w:r>
        <w:rPr>
          <w:rFonts w:hint="eastAsia" w:ascii="Times New Roman" w:hAnsi="Times New Roman" w:eastAsia="方正仿宋_GBK" w:cs="方正仿宋_GBK"/>
          <w:color w:val="333333"/>
          <w:sz w:val="32"/>
          <w:szCs w:val="32"/>
          <w:lang w:val="en-US" w:eastAsia="zh-CN"/>
        </w:rPr>
        <w:t>具体分值和等级可根据不同评价的内容设定。总分一般设置为</w:t>
      </w:r>
      <w:r>
        <w:rPr>
          <w:rFonts w:hint="eastAsia" w:ascii="Times New Roman" w:hAnsi="Times New Roman" w:eastAsia="方正仿宋_GBK" w:cs="方正仿宋_GBK"/>
          <w:color w:val="333333"/>
          <w:sz w:val="32"/>
          <w:szCs w:val="32"/>
        </w:rPr>
        <w:t>100分，其中项目决策2</w:t>
      </w:r>
      <w:r>
        <w:rPr>
          <w:rFonts w:hint="eastAsia" w:ascii="Times New Roman" w:hAnsi="Times New Roman" w:eastAsia="方正仿宋_GBK" w:cs="方正仿宋_GBK"/>
          <w:color w:val="333333"/>
          <w:sz w:val="32"/>
          <w:szCs w:val="32"/>
          <w:lang w:val="en-US" w:eastAsia="zh-CN"/>
        </w:rPr>
        <w:t>0</w:t>
      </w:r>
      <w:r>
        <w:rPr>
          <w:rFonts w:hint="eastAsia" w:ascii="Times New Roman" w:hAnsi="Times New Roman" w:eastAsia="方正仿宋_GBK" w:cs="方正仿宋_GBK"/>
          <w:color w:val="333333"/>
          <w:sz w:val="32"/>
          <w:szCs w:val="32"/>
        </w:rPr>
        <w:t>分</w:t>
      </w:r>
      <w:r>
        <w:rPr>
          <w:rFonts w:hint="eastAsia" w:ascii="Times New Roman" w:hAnsi="Times New Roman" w:eastAsia="方正仿宋_GBK" w:cs="方正仿宋_GBK"/>
          <w:color w:val="333333"/>
          <w:sz w:val="32"/>
          <w:szCs w:val="32"/>
          <w:lang w:eastAsia="zh-CN"/>
        </w:rPr>
        <w:t>、</w:t>
      </w:r>
      <w:r>
        <w:rPr>
          <w:rFonts w:hint="eastAsia" w:ascii="Times New Roman" w:hAnsi="Times New Roman" w:eastAsia="方正仿宋_GBK" w:cs="方正仿宋_GBK"/>
          <w:color w:val="333333"/>
          <w:sz w:val="32"/>
          <w:szCs w:val="32"/>
        </w:rPr>
        <w:t>项目</w:t>
      </w:r>
      <w:r>
        <w:rPr>
          <w:rFonts w:hint="eastAsia" w:ascii="Times New Roman" w:hAnsi="Times New Roman" w:eastAsia="方正仿宋_GBK" w:cs="方正仿宋_GBK"/>
          <w:color w:val="333333"/>
          <w:sz w:val="32"/>
          <w:szCs w:val="32"/>
          <w:lang w:val="en-US" w:eastAsia="zh-CN"/>
        </w:rPr>
        <w:t>过程20</w:t>
      </w:r>
      <w:r>
        <w:rPr>
          <w:rFonts w:hint="eastAsia" w:ascii="Times New Roman" w:hAnsi="Times New Roman" w:eastAsia="方正仿宋_GBK" w:cs="方正仿宋_GBK"/>
          <w:color w:val="333333"/>
          <w:sz w:val="32"/>
          <w:szCs w:val="32"/>
        </w:rPr>
        <w:t>分</w:t>
      </w:r>
      <w:r>
        <w:rPr>
          <w:rFonts w:hint="eastAsia" w:ascii="Times New Roman" w:hAnsi="Times New Roman" w:eastAsia="方正仿宋_GBK" w:cs="方正仿宋_GBK"/>
          <w:color w:val="333333"/>
          <w:sz w:val="32"/>
          <w:szCs w:val="32"/>
          <w:lang w:eastAsia="zh-CN"/>
        </w:rPr>
        <w:t>、</w:t>
      </w:r>
      <w:r>
        <w:rPr>
          <w:rFonts w:hint="eastAsia" w:ascii="Times New Roman" w:hAnsi="Times New Roman" w:eastAsia="方正仿宋_GBK" w:cs="方正仿宋_GBK"/>
          <w:color w:val="333333"/>
          <w:sz w:val="32"/>
          <w:szCs w:val="32"/>
        </w:rPr>
        <w:t>项目</w:t>
      </w:r>
      <w:r>
        <w:rPr>
          <w:rFonts w:hint="eastAsia" w:ascii="Times New Roman" w:hAnsi="Times New Roman" w:eastAsia="方正仿宋_GBK" w:cs="方正仿宋_GBK"/>
          <w:color w:val="333333"/>
          <w:sz w:val="32"/>
          <w:szCs w:val="32"/>
          <w:lang w:val="en-US" w:eastAsia="zh-CN"/>
        </w:rPr>
        <w:t>产出40分、项目效益20</w:t>
      </w:r>
      <w:r>
        <w:rPr>
          <w:rFonts w:hint="eastAsia" w:ascii="Times New Roman" w:hAnsi="Times New Roman" w:eastAsia="方正仿宋_GBK" w:cs="方正仿宋_GBK"/>
          <w:color w:val="333333"/>
          <w:sz w:val="32"/>
          <w:szCs w:val="32"/>
        </w:rPr>
        <w:t>分。评价结果分为优、良、中、差四个等级：优（90分（含）—100分）；良（80分（含）—90分）；中（60分（含）—80分）；差（0分—60分）。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Times New Roman" w:hAnsi="Times New Roman" w:eastAsia="方正仿宋_GBK" w:cs="方正仿宋_GBK"/>
          <w:color w:val="000000" w:themeColor="text1"/>
          <w:sz w:val="32"/>
          <w:szCs w:val="32"/>
        </w:rPr>
      </w:pPr>
      <w:r>
        <w:rPr>
          <w:rFonts w:hint="eastAsia" w:ascii="Times New Roman" w:hAnsi="Times New Roman" w:eastAsia="方正仿宋_GBK" w:cs="方正仿宋_GBK"/>
          <w:color w:val="000000" w:themeColor="text1"/>
          <w:sz w:val="32"/>
          <w:szCs w:val="32"/>
          <w:lang w:val="en-US" w:eastAsia="zh-CN"/>
        </w:rPr>
        <w:t>项目已</w:t>
      </w:r>
      <w:r>
        <w:rPr>
          <w:rFonts w:hint="eastAsia" w:ascii="Times New Roman" w:hAnsi="Times New Roman" w:eastAsia="方正仿宋_GBK" w:cs="方正仿宋_GBK"/>
          <w:color w:val="000000" w:themeColor="text1"/>
          <w:sz w:val="32"/>
          <w:szCs w:val="32"/>
          <w:lang w:eastAsia="zh-CN"/>
        </w:rPr>
        <w:t>委托第三方检测机构检测完成</w:t>
      </w:r>
      <w:r>
        <w:rPr>
          <w:rFonts w:hint="eastAsia" w:ascii="Times New Roman" w:hAnsi="Times New Roman" w:eastAsia="方正仿宋_GBK" w:cs="方正仿宋_GBK"/>
          <w:color w:val="000000" w:themeColor="text1"/>
          <w:sz w:val="32"/>
          <w:szCs w:val="32"/>
          <w:lang w:val="en-US" w:eastAsia="zh-CN"/>
        </w:rPr>
        <w:t>了</w:t>
      </w:r>
      <w:r>
        <w:rPr>
          <w:rFonts w:hint="eastAsia" w:ascii="Times New Roman" w:hAnsi="Times New Roman" w:eastAsia="方正仿宋_GBK" w:cs="方正仿宋_GBK"/>
          <w:color w:val="000000" w:themeColor="text1"/>
          <w:sz w:val="32"/>
          <w:szCs w:val="32"/>
          <w:lang w:eastAsia="zh-CN"/>
        </w:rPr>
        <w:t>对辖区内5个监测样品种类，进行畜产品质量安全4次抽样监测，共检测3</w:t>
      </w:r>
      <w:r>
        <w:rPr>
          <w:rFonts w:hint="eastAsia" w:ascii="Times New Roman" w:hAnsi="Times New Roman" w:eastAsia="方正仿宋_GBK" w:cs="方正仿宋_GBK"/>
          <w:color w:val="000000" w:themeColor="text1"/>
          <w:sz w:val="32"/>
          <w:szCs w:val="32"/>
          <w:lang w:val="en-US" w:eastAsia="zh-CN"/>
        </w:rPr>
        <w:t>64</w:t>
      </w:r>
      <w:r>
        <w:rPr>
          <w:rFonts w:hint="eastAsia" w:ascii="Times New Roman" w:hAnsi="Times New Roman" w:eastAsia="方正仿宋_GBK" w:cs="方正仿宋_GBK"/>
          <w:color w:val="000000" w:themeColor="text1"/>
          <w:sz w:val="32"/>
          <w:szCs w:val="32"/>
          <w:lang w:eastAsia="zh-CN"/>
        </w:rPr>
        <w:t>批次，产品质量检测结果合格率为100%，项目资金支付19.7万元。</w:t>
      </w:r>
      <w:r>
        <w:rPr>
          <w:rFonts w:hint="eastAsia" w:ascii="Times New Roman" w:hAnsi="Times New Roman" w:eastAsia="方正仿宋_GBK" w:cs="方正仿宋_GBK"/>
          <w:color w:val="000000" w:themeColor="text1"/>
          <w:sz w:val="32"/>
          <w:szCs w:val="32"/>
          <w:highlight w:val="none"/>
          <w:lang w:val="en-US" w:eastAsia="zh-CN"/>
        </w:rPr>
        <w:t>通过项目的实施有效保障了我区动物及动物产品质量安全，提高了养殖户及百姓对动物产品安全性的认识，促进养殖环节科学合理用药。</w:t>
      </w:r>
      <w:r>
        <w:rPr>
          <w:rFonts w:hint="eastAsia" w:ascii="Times New Roman" w:hAnsi="Times New Roman" w:eastAsia="方正仿宋_GBK" w:cs="方正仿宋_GBK"/>
          <w:color w:val="000000" w:themeColor="text1"/>
          <w:sz w:val="32"/>
          <w:szCs w:val="32"/>
          <w:lang w:eastAsia="zh-CN"/>
        </w:rPr>
        <w:t>该项目最终评分</w:t>
      </w:r>
      <w:r>
        <w:rPr>
          <w:rFonts w:hint="eastAsia" w:ascii="Times New Roman" w:hAnsi="Times New Roman" w:eastAsia="方正仿宋_GBK" w:cs="方正仿宋_GBK"/>
          <w:color w:val="000000" w:themeColor="text1"/>
          <w:sz w:val="32"/>
          <w:szCs w:val="32"/>
          <w:lang w:val="en-US" w:eastAsia="zh-CN"/>
        </w:rPr>
        <w:t>97.88</w:t>
      </w:r>
      <w:r>
        <w:rPr>
          <w:rFonts w:hint="eastAsia" w:ascii="Times New Roman" w:hAnsi="Times New Roman" w:eastAsia="方正仿宋_GBK" w:cs="方正仿宋_GBK"/>
          <w:color w:val="000000" w:themeColor="text1"/>
          <w:sz w:val="32"/>
          <w:szCs w:val="32"/>
          <w:lang w:eastAsia="zh-CN"/>
        </w:rPr>
        <w:t>分，绩效评级为“优”。</w:t>
      </w:r>
    </w:p>
    <w:bookmarkEnd w:id="15"/>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方正黑体_GBK" w:hAnsi="方正黑体_GBK" w:eastAsia="方正黑体_GBK" w:cs="方正黑体_GBK"/>
          <w:b/>
          <w:bCs/>
        </w:rPr>
      </w:pPr>
      <w:bookmarkStart w:id="16" w:name="_Toc68364667"/>
      <w:r>
        <w:rPr>
          <w:rFonts w:hint="eastAsia" w:ascii="方正黑体_GBK" w:hAnsi="方正黑体_GBK" w:eastAsia="方正黑体_GBK" w:cs="方正黑体_GBK"/>
          <w:b/>
          <w:bCs/>
        </w:rPr>
        <w:t>四、绩效评价指标分析</w:t>
      </w:r>
      <w:bookmarkEnd w:id="16"/>
    </w:p>
    <w:p>
      <w:pPr>
        <w:pStyle w:val="15"/>
        <w:keepNext/>
        <w:keepLines/>
        <w:pageBreakBefore w:val="0"/>
        <w:widowControl w:val="0"/>
        <w:kinsoku/>
        <w:wordWrap/>
        <w:overflowPunct/>
        <w:topLinePunct w:val="0"/>
        <w:autoSpaceDE/>
        <w:autoSpaceDN/>
        <w:bidi w:val="0"/>
        <w:adjustRightInd/>
        <w:snapToGrid/>
        <w:spacing w:line="560" w:lineRule="exact"/>
        <w:ind w:left="560"/>
        <w:textAlignment w:val="auto"/>
        <w:rPr>
          <w:rFonts w:hint="eastAsia" w:ascii="方正楷体_GBK" w:hAnsi="方正楷体_GBK" w:eastAsia="方正楷体_GBK" w:cs="方正楷体_GBK"/>
          <w:b/>
          <w:bCs/>
          <w:sz w:val="32"/>
        </w:rPr>
      </w:pPr>
      <w:bookmarkStart w:id="17" w:name="_Toc68364668"/>
      <w:r>
        <w:rPr>
          <w:rFonts w:hint="eastAsia" w:ascii="方正楷体_GBK" w:hAnsi="方正楷体_GBK" w:eastAsia="方正楷体_GBK" w:cs="方正楷体_GBK"/>
          <w:b/>
          <w:bCs/>
          <w:sz w:val="32"/>
        </w:rPr>
        <w:t>（一）项目决策情况</w:t>
      </w:r>
    </w:p>
    <w:p>
      <w:pPr>
        <w:pageBreakBefore w:val="0"/>
        <w:kinsoku/>
        <w:wordWrap/>
        <w:overflowPunct w:val="0"/>
        <w:topLinePunct w:val="0"/>
        <w:autoSpaceDE/>
        <w:autoSpaceDN/>
        <w:bidi w:val="0"/>
        <w:spacing w:line="560" w:lineRule="exact"/>
        <w:ind w:firstLine="640"/>
        <w:contextualSpacing/>
        <w:rPr>
          <w:rFonts w:hint="eastAsia" w:ascii="Times New Roman" w:hAnsi="Times New Roman" w:eastAsia="方正仿宋_GBK" w:cs="方正仿宋_GBK"/>
          <w:color w:val="000000" w:themeColor="text1"/>
          <w:sz w:val="32"/>
          <w:szCs w:val="32"/>
        </w:rPr>
      </w:pPr>
      <w:r>
        <w:rPr>
          <w:rFonts w:hint="eastAsia" w:ascii="Times New Roman" w:hAnsi="Times New Roman" w:eastAsia="方正仿宋_GBK" w:cs="方正仿宋_GBK"/>
          <w:sz w:val="32"/>
          <w:szCs w:val="32"/>
        </w:rPr>
        <w:t>项目决策类指标包括项目立项、绩效目标和资金投入三方面的内容，由6个三级指标构成，权重分为 20 分</w:t>
      </w:r>
      <w:r>
        <w:rPr>
          <w:rFonts w:hint="eastAsia" w:ascii="Times New Roman" w:hAnsi="Times New Roman" w:eastAsia="方正仿宋_GBK" w:cs="方正仿宋_GBK"/>
          <w:color w:val="000000" w:themeColor="text1"/>
          <w:sz w:val="32"/>
          <w:szCs w:val="32"/>
        </w:rPr>
        <w:t>，实际得分</w:t>
      </w:r>
      <w:r>
        <w:rPr>
          <w:rFonts w:hint="eastAsia" w:ascii="Times New Roman" w:hAnsi="Times New Roman" w:eastAsia="方正仿宋_GBK" w:cs="方正仿宋_GBK"/>
          <w:color w:val="000000" w:themeColor="text1"/>
          <w:sz w:val="32"/>
          <w:szCs w:val="32"/>
          <w:lang w:val="en-US" w:eastAsia="zh-CN"/>
        </w:rPr>
        <w:t>20</w:t>
      </w:r>
      <w:r>
        <w:rPr>
          <w:rFonts w:hint="eastAsia" w:ascii="Times New Roman" w:hAnsi="Times New Roman" w:eastAsia="方正仿宋_GBK" w:cs="方正仿宋_GBK"/>
          <w:color w:val="000000" w:themeColor="text1"/>
          <w:sz w:val="32"/>
          <w:szCs w:val="32"/>
        </w:rPr>
        <w:t>，得分率为</w:t>
      </w:r>
      <w:r>
        <w:rPr>
          <w:rFonts w:hint="eastAsia" w:ascii="Times New Roman" w:hAnsi="Times New Roman" w:eastAsia="方正仿宋_GBK" w:cs="方正仿宋_GBK"/>
          <w:color w:val="000000" w:themeColor="text1"/>
          <w:sz w:val="32"/>
          <w:szCs w:val="32"/>
          <w:lang w:val="en-US" w:eastAsia="zh-CN"/>
        </w:rPr>
        <w:t>100</w:t>
      </w:r>
      <w:r>
        <w:rPr>
          <w:rFonts w:hint="eastAsia" w:ascii="Times New Roman" w:hAnsi="Times New Roman" w:eastAsia="方正仿宋_GBK" w:cs="方正仿宋_GBK"/>
          <w:color w:val="000000" w:themeColor="text1"/>
          <w:sz w:val="32"/>
          <w:szCs w:val="32"/>
        </w:rPr>
        <w:t>%。</w:t>
      </w:r>
    </w:p>
    <w:p>
      <w:pPr>
        <w:pageBreakBefore w:val="0"/>
        <w:kinsoku/>
        <w:wordWrap/>
        <w:topLinePunct w:val="0"/>
        <w:autoSpaceDE/>
        <w:autoSpaceDN/>
        <w:bidi w:val="0"/>
        <w:spacing w:line="560" w:lineRule="exact"/>
        <w:ind w:firstLine="640"/>
        <w:jc w:val="center"/>
        <w:rPr>
          <w:rFonts w:hint="eastAsia" w:ascii="Times New Roman" w:hAnsi="Times New Roman" w:eastAsia="方正仿宋_GBK" w:cs="方正仿宋_GBK"/>
        </w:rPr>
      </w:pPr>
      <w:r>
        <w:rPr>
          <w:rFonts w:hint="eastAsia" w:ascii="Times New Roman" w:hAnsi="Times New Roman" w:eastAsia="方正仿宋_GBK" w:cs="方正仿宋_GBK"/>
          <w:sz w:val="32"/>
          <w:szCs w:val="32"/>
        </w:rPr>
        <w:t>项目决策指标得分情况</w:t>
      </w:r>
    </w:p>
    <w:tbl>
      <w:tblPr>
        <w:tblStyle w:val="12"/>
        <w:tblW w:w="8864" w:type="dxa"/>
        <w:tblInd w:w="0" w:type="dxa"/>
        <w:tblLayout w:type="fixed"/>
        <w:tblCellMar>
          <w:top w:w="0" w:type="dxa"/>
          <w:left w:w="0" w:type="dxa"/>
          <w:bottom w:w="0" w:type="dxa"/>
          <w:right w:w="0" w:type="dxa"/>
        </w:tblCellMar>
      </w:tblPr>
      <w:tblGrid>
        <w:gridCol w:w="2215"/>
        <w:gridCol w:w="2215"/>
        <w:gridCol w:w="2216"/>
        <w:gridCol w:w="2218"/>
      </w:tblGrid>
      <w:tr>
        <w:trPr>
          <w:trHeight w:val="312" w:hRule="atLeast"/>
        </w:trPr>
        <w:tc>
          <w:tcPr>
            <w:tcW w:w="221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三级指标</w:t>
            </w:r>
          </w:p>
        </w:tc>
        <w:tc>
          <w:tcPr>
            <w:tcW w:w="221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权重</w:t>
            </w:r>
          </w:p>
        </w:tc>
        <w:tc>
          <w:tcPr>
            <w:tcW w:w="22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得分率</w:t>
            </w:r>
          </w:p>
        </w:tc>
        <w:tc>
          <w:tcPr>
            <w:tcW w:w="221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实际得分</w:t>
            </w:r>
          </w:p>
        </w:tc>
      </w:tr>
      <w:tr>
        <w:tblPrEx>
          <w:tblCellMar>
            <w:top w:w="0" w:type="dxa"/>
            <w:left w:w="0" w:type="dxa"/>
            <w:bottom w:w="0" w:type="dxa"/>
            <w:right w:w="0" w:type="dxa"/>
          </w:tblCellMar>
        </w:tblPrEx>
        <w:trPr>
          <w:trHeight w:val="90" w:hRule="atLeast"/>
        </w:trPr>
        <w:tc>
          <w:tcPr>
            <w:tcW w:w="2215" w:type="dxa"/>
            <w:tcBorders>
              <w:top w:val="single" w:color="000000" w:sz="4" w:space="0"/>
              <w:left w:val="single" w:color="000000" w:sz="4" w:space="0"/>
              <w:bottom w:val="nil"/>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立项依据充分性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3</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3</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立项程序规范性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2</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default" w:ascii="Times New Roman" w:hAnsi="Times New Roman" w:eastAsia="方正仿宋_GBK" w:cs="方正仿宋_GBK"/>
                <w:color w:val="000000" w:themeColor="text1"/>
                <w:lang w:val="en-US" w:eastAsia="zh-CN"/>
              </w:rPr>
            </w:pPr>
            <w:r>
              <w:rPr>
                <w:rFonts w:hint="eastAsia" w:ascii="Times New Roman" w:hAnsi="Times New Roman" w:eastAsia="方正仿宋_GBK" w:cs="方正仿宋_GBK"/>
                <w:color w:val="000000" w:themeColor="text1"/>
                <w:lang w:val="en-US" w:eastAsia="zh-CN"/>
              </w:rPr>
              <w:t>2</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绩效目标合理性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3</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3</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绩效指标明确性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2</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2</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预算编制科学性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5</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5</w:t>
            </w:r>
          </w:p>
        </w:tc>
      </w:tr>
      <w:tr>
        <w:tblPrEx>
          <w:tblCellMar>
            <w:top w:w="0" w:type="dxa"/>
            <w:left w:w="0" w:type="dxa"/>
            <w:bottom w:w="0" w:type="dxa"/>
            <w:right w:w="0" w:type="dxa"/>
          </w:tblCellMar>
        </w:tblPrEx>
        <w:trPr>
          <w:trHeight w:val="43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资金分配合理性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5</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5</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合计</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20</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lang w:val="en-US" w:eastAsia="zh-CN"/>
              </w:rPr>
              <w:t>100</w:t>
            </w:r>
            <w:r>
              <w:rPr>
                <w:rFonts w:hint="eastAsia" w:ascii="Times New Roman" w:hAnsi="Times New Roman" w:eastAsia="方正仿宋_GBK" w:cs="方正仿宋_GBK"/>
                <w:color w:val="000000" w:themeColor="text1"/>
              </w:rPr>
              <w:t>%</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default" w:ascii="Times New Roman" w:hAnsi="Times New Roman" w:eastAsia="方正仿宋_GBK" w:cs="方正仿宋_GBK"/>
                <w:color w:val="000000" w:themeColor="text1"/>
                <w:lang w:val="en-US" w:eastAsia="zh-CN"/>
              </w:rPr>
            </w:pPr>
            <w:r>
              <w:rPr>
                <w:rFonts w:hint="eastAsia" w:ascii="Times New Roman" w:hAnsi="Times New Roman" w:eastAsia="方正仿宋_GBK" w:cs="方正仿宋_GBK"/>
                <w:color w:val="000000" w:themeColor="text1"/>
                <w:lang w:val="en-US" w:eastAsia="zh-CN"/>
              </w:rPr>
              <w:t>20</w:t>
            </w:r>
          </w:p>
        </w:tc>
      </w:tr>
    </w:tbl>
    <w:p>
      <w:pPr>
        <w:pageBreakBefore w:val="0"/>
        <w:kinsoku/>
        <w:wordWrap/>
        <w:topLinePunct w:val="0"/>
        <w:autoSpaceDE/>
        <w:autoSpaceDN/>
        <w:bidi w:val="0"/>
        <w:spacing w:line="560" w:lineRule="exact"/>
        <w:ind w:firstLine="643"/>
        <w:rPr>
          <w:rFonts w:hint="eastAsia" w:ascii="Times New Roman" w:hAnsi="Times New Roman" w:eastAsia="方正仿宋_GBK" w:cs="方正仿宋_GBK"/>
          <w:color w:val="FF0000"/>
          <w:sz w:val="32"/>
          <w:szCs w:val="32"/>
        </w:rPr>
      </w:pPr>
      <w:r>
        <w:rPr>
          <w:rFonts w:hint="eastAsia" w:ascii="Times New Roman" w:hAnsi="Times New Roman" w:eastAsia="方正仿宋_GBK" w:cs="方正仿宋_GBK"/>
          <w:b/>
          <w:bCs/>
          <w:sz w:val="32"/>
          <w:szCs w:val="32"/>
        </w:rPr>
        <w:t>（1）立项依据充分性：</w:t>
      </w:r>
      <w:r>
        <w:rPr>
          <w:rFonts w:hint="eastAsia" w:ascii="Times New Roman" w:hAnsi="Times New Roman" w:eastAsia="方正仿宋_GBK" w:cs="方正仿宋_GBK"/>
          <w:color w:val="000000" w:themeColor="text1"/>
          <w:sz w:val="32"/>
          <w:szCs w:val="32"/>
        </w:rPr>
        <w:t>结合</w:t>
      </w:r>
      <w:r>
        <w:rPr>
          <w:rFonts w:hint="eastAsia" w:ascii="Times New Roman" w:hAnsi="Times New Roman" w:eastAsia="方正仿宋_GBK" w:cs="方正仿宋_GBK"/>
          <w:color w:val="000000" w:themeColor="text1"/>
          <w:sz w:val="32"/>
          <w:szCs w:val="32"/>
          <w:lang w:eastAsia="zh-CN"/>
        </w:rPr>
        <w:t>喀什地区畜牧兽医局</w:t>
      </w:r>
      <w:r>
        <w:rPr>
          <w:rFonts w:hint="eastAsia" w:ascii="Times New Roman" w:hAnsi="Times New Roman" w:eastAsia="方正仿宋_GBK" w:cs="方正仿宋_GBK"/>
          <w:color w:val="000000" w:themeColor="text1"/>
          <w:sz w:val="32"/>
          <w:szCs w:val="32"/>
        </w:rPr>
        <w:t>职责，并组织实施。围绕</w:t>
      </w:r>
      <w:r>
        <w:rPr>
          <w:rFonts w:hint="eastAsia" w:ascii="Times New Roman" w:hAnsi="Times New Roman" w:eastAsia="方正仿宋_GBK" w:cs="方正仿宋_GBK"/>
          <w:color w:val="000000" w:themeColor="text1"/>
          <w:sz w:val="32"/>
          <w:szCs w:val="32"/>
          <w:lang w:val="en-US" w:eastAsia="zh-CN"/>
        </w:rPr>
        <w:t>2022</w:t>
      </w:r>
      <w:r>
        <w:rPr>
          <w:rFonts w:hint="eastAsia" w:ascii="Times New Roman" w:hAnsi="Times New Roman" w:eastAsia="方正仿宋_GBK" w:cs="方正仿宋_GBK"/>
          <w:color w:val="000000" w:themeColor="text1"/>
          <w:sz w:val="32"/>
          <w:szCs w:val="32"/>
        </w:rPr>
        <w:t>年度工作重点和工作计划制定经费预算，根据评分标准，该指标</w:t>
      </w:r>
      <w:r>
        <w:rPr>
          <w:rFonts w:hint="eastAsia" w:ascii="Times New Roman" w:hAnsi="Times New Roman" w:eastAsia="方正仿宋_GBK" w:cs="方正仿宋_GBK"/>
          <w:color w:val="000000" w:themeColor="text1"/>
          <w:sz w:val="32"/>
          <w:szCs w:val="32"/>
          <w:lang w:eastAsia="zh-CN"/>
        </w:rPr>
        <w:t>不</w:t>
      </w:r>
      <w:r>
        <w:rPr>
          <w:rFonts w:hint="eastAsia" w:ascii="Times New Roman" w:hAnsi="Times New Roman" w:eastAsia="方正仿宋_GBK" w:cs="方正仿宋_GBK"/>
          <w:color w:val="000000" w:themeColor="text1"/>
          <w:sz w:val="32"/>
          <w:szCs w:val="32"/>
        </w:rPr>
        <w:t>扣分，得</w:t>
      </w:r>
      <w:r>
        <w:rPr>
          <w:rFonts w:hint="eastAsia" w:ascii="Times New Roman" w:hAnsi="Times New Roman" w:eastAsia="方正仿宋_GBK" w:cs="方正仿宋_GBK"/>
          <w:color w:val="000000" w:themeColor="text1"/>
          <w:sz w:val="32"/>
          <w:szCs w:val="32"/>
          <w:lang w:val="en-US" w:eastAsia="zh-CN"/>
        </w:rPr>
        <w:t>3</w:t>
      </w:r>
      <w:r>
        <w:rPr>
          <w:rFonts w:hint="eastAsia" w:ascii="Times New Roman" w:hAnsi="Times New Roman" w:eastAsia="方正仿宋_GBK" w:cs="方正仿宋_GBK"/>
          <w:color w:val="000000" w:themeColor="text1"/>
          <w:sz w:val="32"/>
          <w:szCs w:val="32"/>
        </w:rPr>
        <w:t>分。</w:t>
      </w:r>
    </w:p>
    <w:p>
      <w:pPr>
        <w:pageBreakBefore w:val="0"/>
        <w:kinsoku/>
        <w:wordWrap/>
        <w:topLinePunct w:val="0"/>
        <w:autoSpaceDE/>
        <w:autoSpaceDN/>
        <w:bidi w:val="0"/>
        <w:spacing w:line="560" w:lineRule="exact"/>
        <w:ind w:firstLine="643"/>
        <w:rPr>
          <w:rFonts w:hint="eastAsia" w:ascii="Times New Roman" w:hAnsi="Times New Roman" w:eastAsia="方正仿宋_GBK" w:cs="方正仿宋_GBK"/>
          <w:color w:val="auto"/>
          <w:sz w:val="32"/>
          <w:szCs w:val="32"/>
          <w:highlight w:val="none"/>
        </w:rPr>
      </w:pPr>
      <w:r>
        <w:rPr>
          <w:rFonts w:hint="eastAsia" w:ascii="Times New Roman" w:hAnsi="Times New Roman" w:eastAsia="方正仿宋_GBK" w:cs="方正仿宋_GBK"/>
          <w:b/>
          <w:bCs/>
          <w:sz w:val="32"/>
          <w:szCs w:val="32"/>
          <w:highlight w:val="none"/>
        </w:rPr>
        <w:t>（2）立项程序规范性：</w:t>
      </w:r>
      <w:r>
        <w:rPr>
          <w:rFonts w:hint="eastAsia" w:ascii="Times New Roman" w:hAnsi="Times New Roman" w:eastAsia="方正仿宋_GBK" w:cs="方正仿宋_GBK"/>
          <w:color w:val="auto"/>
          <w:sz w:val="32"/>
          <w:szCs w:val="32"/>
          <w:highlight w:val="none"/>
        </w:rPr>
        <w:t>根据决策依据编制工作计划和经费预算，经过与</w:t>
      </w:r>
      <w:r>
        <w:rPr>
          <w:rFonts w:hint="eastAsia" w:ascii="Times New Roman" w:hAnsi="Times New Roman" w:eastAsia="方正仿宋_GBK" w:cs="方正仿宋_GBK"/>
          <w:color w:val="auto"/>
          <w:sz w:val="32"/>
          <w:szCs w:val="32"/>
          <w:highlight w:val="none"/>
          <w:lang w:eastAsia="zh-CN"/>
        </w:rPr>
        <w:t>财务</w:t>
      </w:r>
      <w:r>
        <w:rPr>
          <w:rFonts w:hint="eastAsia" w:ascii="Times New Roman" w:hAnsi="Times New Roman" w:eastAsia="方正仿宋_GBK" w:cs="方正仿宋_GBK"/>
          <w:color w:val="auto"/>
          <w:sz w:val="32"/>
          <w:szCs w:val="32"/>
          <w:highlight w:val="none"/>
        </w:rPr>
        <w:t>分管领导进行沟通、筛选确定经费预算</w:t>
      </w:r>
      <w:r>
        <w:rPr>
          <w:rFonts w:hint="eastAsia" w:ascii="Times New Roman" w:hAnsi="Times New Roman" w:eastAsia="方正仿宋_GBK" w:cs="方正仿宋_GBK"/>
          <w:color w:val="auto"/>
          <w:sz w:val="32"/>
          <w:szCs w:val="32"/>
          <w:highlight w:val="none"/>
          <w:lang w:val="en-US" w:eastAsia="zh-CN"/>
        </w:rPr>
        <w:t>计</w:t>
      </w:r>
      <w:r>
        <w:rPr>
          <w:rFonts w:hint="eastAsia" w:ascii="Times New Roman" w:hAnsi="Times New Roman" w:eastAsia="方正仿宋_GBK" w:cs="方正仿宋_GBK"/>
          <w:color w:val="auto"/>
          <w:sz w:val="32"/>
          <w:szCs w:val="32"/>
          <w:highlight w:val="none"/>
        </w:rPr>
        <w:t>划，上党委会研究确定最终预算方案</w:t>
      </w:r>
      <w:r>
        <w:rPr>
          <w:rFonts w:hint="eastAsia" w:ascii="Times New Roman" w:hAnsi="Times New Roman" w:eastAsia="方正仿宋_GBK" w:cs="方正仿宋_GBK"/>
          <w:color w:val="auto"/>
          <w:sz w:val="32"/>
          <w:szCs w:val="32"/>
          <w:highlight w:val="none"/>
          <w:lang w:eastAsia="zh-CN"/>
        </w:rPr>
        <w:t>。</w:t>
      </w:r>
      <w:r>
        <w:rPr>
          <w:rFonts w:hint="eastAsia" w:ascii="Times New Roman" w:hAnsi="Times New Roman" w:eastAsia="方正仿宋_GBK" w:cs="方正仿宋_GBK"/>
          <w:color w:val="auto"/>
          <w:sz w:val="32"/>
          <w:szCs w:val="32"/>
          <w:highlight w:val="none"/>
        </w:rPr>
        <w:t>根据评分标准，该指标</w:t>
      </w:r>
      <w:r>
        <w:rPr>
          <w:rFonts w:hint="eastAsia" w:ascii="Times New Roman" w:hAnsi="Times New Roman" w:eastAsia="方正仿宋_GBK" w:cs="方正仿宋_GBK"/>
          <w:color w:val="auto"/>
          <w:sz w:val="32"/>
          <w:szCs w:val="32"/>
          <w:highlight w:val="none"/>
          <w:lang w:val="en-US" w:eastAsia="zh-CN"/>
        </w:rPr>
        <w:t>不</w:t>
      </w:r>
      <w:r>
        <w:rPr>
          <w:rFonts w:hint="eastAsia" w:ascii="Times New Roman" w:hAnsi="Times New Roman" w:eastAsia="方正仿宋_GBK" w:cs="方正仿宋_GBK"/>
          <w:color w:val="auto"/>
          <w:sz w:val="32"/>
          <w:szCs w:val="32"/>
          <w:highlight w:val="none"/>
        </w:rPr>
        <w:t>扣分，得</w:t>
      </w:r>
      <w:r>
        <w:rPr>
          <w:rFonts w:hint="eastAsia" w:ascii="Times New Roman" w:hAnsi="Times New Roman" w:eastAsia="方正仿宋_GBK" w:cs="方正仿宋_GBK"/>
          <w:color w:val="auto"/>
          <w:sz w:val="32"/>
          <w:szCs w:val="32"/>
          <w:highlight w:val="none"/>
          <w:lang w:val="en-US" w:eastAsia="zh-CN"/>
        </w:rPr>
        <w:t>2</w:t>
      </w:r>
      <w:r>
        <w:rPr>
          <w:rFonts w:hint="eastAsia" w:ascii="Times New Roman" w:hAnsi="Times New Roman" w:eastAsia="方正仿宋_GBK" w:cs="方正仿宋_GBK"/>
          <w:color w:val="auto"/>
          <w:sz w:val="32"/>
          <w:szCs w:val="32"/>
          <w:highlight w:val="none"/>
        </w:rPr>
        <w:t>分。</w:t>
      </w:r>
    </w:p>
    <w:p>
      <w:pPr>
        <w:pageBreakBefore w:val="0"/>
        <w:kinsoku/>
        <w:wordWrap/>
        <w:topLinePunct w:val="0"/>
        <w:autoSpaceDE/>
        <w:autoSpaceDN/>
        <w:bidi w:val="0"/>
        <w:spacing w:line="560" w:lineRule="exact"/>
        <w:ind w:firstLine="643"/>
        <w:rPr>
          <w:rFonts w:hint="eastAsia" w:ascii="Times New Roman" w:hAnsi="Times New Roman" w:eastAsia="方正仿宋_GBK" w:cs="方正仿宋_GBK"/>
          <w:color w:val="000000" w:themeColor="text1"/>
          <w:sz w:val="32"/>
          <w:szCs w:val="32"/>
        </w:rPr>
      </w:pPr>
      <w:r>
        <w:rPr>
          <w:rFonts w:hint="eastAsia" w:ascii="Times New Roman" w:hAnsi="Times New Roman" w:eastAsia="方正仿宋_GBK" w:cs="方正仿宋_GBK"/>
          <w:b/>
          <w:bCs/>
          <w:sz w:val="32"/>
          <w:szCs w:val="32"/>
        </w:rPr>
        <w:t>（3）绩效目标合理性</w:t>
      </w:r>
      <w:r>
        <w:rPr>
          <w:rFonts w:hint="eastAsia" w:ascii="Times New Roman" w:hAnsi="Times New Roman" w:eastAsia="方正仿宋_GBK" w:cs="方正仿宋_GBK"/>
          <w:sz w:val="32"/>
          <w:szCs w:val="32"/>
        </w:rPr>
        <w:t>：</w:t>
      </w:r>
      <w:r>
        <w:rPr>
          <w:rFonts w:hint="eastAsia" w:ascii="Times New Roman" w:hAnsi="Times New Roman" w:eastAsia="方正仿宋_GBK" w:cs="方正仿宋_GBK"/>
          <w:color w:val="000000" w:themeColor="text1"/>
          <w:sz w:val="32"/>
          <w:szCs w:val="32"/>
        </w:rPr>
        <w:t>制定了实施方案，明确了总体思路及目标、并对任务进行了详细分解，对目标进行了细化，根据评分标准，该指标不扣分，得3分。</w:t>
      </w:r>
    </w:p>
    <w:p>
      <w:pPr>
        <w:pageBreakBefore w:val="0"/>
        <w:kinsoku/>
        <w:wordWrap/>
        <w:topLinePunct w:val="0"/>
        <w:autoSpaceDE/>
        <w:autoSpaceDN/>
        <w:bidi w:val="0"/>
        <w:spacing w:line="560" w:lineRule="exact"/>
        <w:ind w:firstLine="643"/>
        <w:rPr>
          <w:rFonts w:hint="eastAsia" w:ascii="Times New Roman" w:hAnsi="Times New Roman" w:eastAsia="方正仿宋_GBK" w:cs="方正仿宋_GBK"/>
          <w:color w:val="000000" w:themeColor="text1"/>
          <w:sz w:val="32"/>
          <w:szCs w:val="32"/>
        </w:rPr>
      </w:pPr>
      <w:r>
        <w:rPr>
          <w:rFonts w:hint="eastAsia" w:ascii="Times New Roman" w:hAnsi="Times New Roman" w:eastAsia="方正仿宋_GBK" w:cs="方正仿宋_GBK"/>
          <w:b/>
          <w:bCs/>
          <w:sz w:val="32"/>
          <w:szCs w:val="32"/>
        </w:rPr>
        <w:t>（4）绩效指标明确性：</w:t>
      </w:r>
      <w:r>
        <w:rPr>
          <w:rFonts w:hint="eastAsia" w:ascii="Times New Roman" w:hAnsi="Times New Roman" w:eastAsia="方正仿宋_GBK" w:cs="方正仿宋_GBK"/>
          <w:color w:val="000000" w:themeColor="text1"/>
          <w:sz w:val="32"/>
          <w:szCs w:val="32"/>
        </w:rPr>
        <w:t xml:space="preserve"> 将项目绩效目标细化分解为具体的绩效指标，根据评分标准，该指标不扣分，得2分。</w:t>
      </w:r>
    </w:p>
    <w:p>
      <w:pPr>
        <w:pageBreakBefore w:val="0"/>
        <w:kinsoku/>
        <w:wordWrap/>
        <w:topLinePunct w:val="0"/>
        <w:autoSpaceDE/>
        <w:autoSpaceDN/>
        <w:bidi w:val="0"/>
        <w:spacing w:line="560" w:lineRule="exact"/>
        <w:ind w:firstLine="643"/>
        <w:rPr>
          <w:rFonts w:hint="eastAsia" w:ascii="Times New Roman" w:hAnsi="Times New Roman" w:eastAsia="方正仿宋_GBK" w:cs="方正仿宋_GBK"/>
          <w:color w:val="000000" w:themeColor="text1"/>
          <w:sz w:val="32"/>
          <w:szCs w:val="32"/>
        </w:rPr>
      </w:pPr>
      <w:r>
        <w:rPr>
          <w:rFonts w:hint="eastAsia" w:ascii="Times New Roman" w:hAnsi="Times New Roman" w:eastAsia="方正仿宋_GBK" w:cs="方正仿宋_GBK"/>
          <w:b/>
          <w:bCs/>
          <w:color w:val="000000" w:themeColor="text1"/>
          <w:sz w:val="32"/>
          <w:szCs w:val="32"/>
        </w:rPr>
        <w:t>（5）预算编制科学性：</w:t>
      </w:r>
      <w:r>
        <w:rPr>
          <w:rFonts w:hint="eastAsia" w:ascii="Times New Roman" w:hAnsi="Times New Roman" w:eastAsia="方正仿宋_GBK" w:cs="方正仿宋_GBK"/>
          <w:color w:val="000000" w:themeColor="text1"/>
          <w:sz w:val="32"/>
          <w:szCs w:val="32"/>
        </w:rPr>
        <w:t xml:space="preserve"> 预算编制经过科学论证，内容与项目内容匹配，项目投资额与工作任务相匹配，根据评分标准，该指标不扣分，得5分。</w:t>
      </w:r>
    </w:p>
    <w:p>
      <w:pPr>
        <w:pageBreakBefore w:val="0"/>
        <w:kinsoku/>
        <w:wordWrap/>
        <w:topLinePunct w:val="0"/>
        <w:autoSpaceDE/>
        <w:autoSpaceDN/>
        <w:bidi w:val="0"/>
        <w:spacing w:line="560" w:lineRule="exact"/>
        <w:ind w:firstLine="643"/>
        <w:rPr>
          <w:rFonts w:hint="eastAsia" w:ascii="Times New Roman" w:hAnsi="Times New Roman" w:eastAsia="方正仿宋_GBK" w:cs="方正仿宋_GBK"/>
          <w:color w:val="000000" w:themeColor="text1"/>
          <w:sz w:val="32"/>
          <w:szCs w:val="32"/>
        </w:rPr>
      </w:pPr>
      <w:r>
        <w:rPr>
          <w:rFonts w:hint="eastAsia" w:ascii="Times New Roman" w:hAnsi="Times New Roman" w:eastAsia="方正仿宋_GBK" w:cs="方正仿宋_GBK"/>
          <w:b/>
          <w:bCs/>
          <w:color w:val="000000" w:themeColor="text1"/>
          <w:sz w:val="32"/>
          <w:szCs w:val="32"/>
        </w:rPr>
        <w:t>（6）资金分配合理性：</w:t>
      </w:r>
      <w:r>
        <w:rPr>
          <w:rFonts w:hint="eastAsia" w:ascii="Times New Roman" w:hAnsi="Times New Roman" w:eastAsia="方正仿宋_GBK" w:cs="方正仿宋_GBK"/>
          <w:color w:val="000000" w:themeColor="text1"/>
          <w:sz w:val="32"/>
          <w:szCs w:val="32"/>
        </w:rPr>
        <w:t>资金分配与实际相适应，根据评分标准，该指标不扣分，得5分。</w:t>
      </w:r>
    </w:p>
    <w:p>
      <w:pPr>
        <w:pStyle w:val="15"/>
        <w:keepNext/>
        <w:keepLines/>
        <w:pageBreakBefore w:val="0"/>
        <w:widowControl w:val="0"/>
        <w:kinsoku/>
        <w:wordWrap/>
        <w:overflowPunct/>
        <w:topLinePunct w:val="0"/>
        <w:autoSpaceDE/>
        <w:autoSpaceDN/>
        <w:bidi w:val="0"/>
        <w:adjustRightInd/>
        <w:snapToGrid/>
        <w:spacing w:line="560" w:lineRule="exact"/>
        <w:ind w:left="560"/>
        <w:textAlignment w:val="auto"/>
        <w:rPr>
          <w:rFonts w:hint="eastAsia" w:ascii="方正楷体_GBK" w:hAnsi="方正楷体_GBK" w:eastAsia="方正楷体_GBK" w:cs="方正楷体_GBK"/>
          <w:b/>
          <w:bCs/>
          <w:sz w:val="32"/>
        </w:rPr>
      </w:pPr>
      <w:r>
        <w:rPr>
          <w:rFonts w:hint="eastAsia" w:ascii="方正楷体_GBK" w:hAnsi="方正楷体_GBK" w:eastAsia="方正楷体_GBK" w:cs="方正楷体_GBK"/>
          <w:b/>
          <w:bCs/>
          <w:sz w:val="32"/>
        </w:rPr>
        <w:t>（二）项目过程情况</w:t>
      </w:r>
    </w:p>
    <w:p>
      <w:pPr>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000000" w:themeColor="text1"/>
          <w:sz w:val="32"/>
          <w:szCs w:val="32"/>
        </w:rPr>
      </w:pPr>
      <w:r>
        <w:rPr>
          <w:rFonts w:hint="eastAsia" w:ascii="Times New Roman" w:hAnsi="Times New Roman" w:eastAsia="方正仿宋_GBK" w:cs="方正仿宋_GBK"/>
          <w:sz w:val="32"/>
          <w:szCs w:val="32"/>
        </w:rPr>
        <w:t>项目过程类指标包括资金管理和组织实施两方面的内容，由 5个三级指标构成，权重分为20分，</w:t>
      </w:r>
      <w:r>
        <w:rPr>
          <w:rFonts w:hint="eastAsia" w:ascii="Times New Roman" w:hAnsi="Times New Roman" w:eastAsia="方正仿宋_GBK" w:cs="方正仿宋_GBK"/>
          <w:color w:val="000000" w:themeColor="text1"/>
          <w:sz w:val="32"/>
          <w:szCs w:val="32"/>
        </w:rPr>
        <w:t>实际得分</w:t>
      </w:r>
      <w:r>
        <w:rPr>
          <w:rFonts w:hint="eastAsia" w:ascii="Times New Roman" w:hAnsi="Times New Roman" w:eastAsia="方正仿宋_GBK" w:cs="方正仿宋_GBK"/>
          <w:color w:val="000000" w:themeColor="text1"/>
          <w:sz w:val="32"/>
          <w:szCs w:val="32"/>
          <w:lang w:val="en-US" w:eastAsia="zh-CN"/>
        </w:rPr>
        <w:t>19.93</w:t>
      </w:r>
      <w:r>
        <w:rPr>
          <w:rFonts w:hint="eastAsia" w:ascii="Times New Roman" w:hAnsi="Times New Roman" w:eastAsia="方正仿宋_GBK" w:cs="方正仿宋_GBK"/>
          <w:color w:val="000000" w:themeColor="text1"/>
          <w:sz w:val="32"/>
          <w:szCs w:val="32"/>
        </w:rPr>
        <w:t xml:space="preserve"> 分，得分率为</w:t>
      </w:r>
      <w:r>
        <w:rPr>
          <w:rFonts w:hint="eastAsia" w:ascii="Times New Roman" w:hAnsi="Times New Roman" w:eastAsia="方正仿宋_GBK" w:cs="方正仿宋_GBK"/>
          <w:color w:val="000000" w:themeColor="text1"/>
          <w:sz w:val="32"/>
          <w:szCs w:val="32"/>
          <w:lang w:val="en-US" w:eastAsia="zh-CN"/>
        </w:rPr>
        <w:t>99.65</w:t>
      </w:r>
      <w:r>
        <w:rPr>
          <w:rFonts w:hint="eastAsia" w:ascii="Times New Roman" w:hAnsi="Times New Roman" w:eastAsia="方正仿宋_GBK" w:cs="方正仿宋_GBK"/>
          <w:color w:val="000000" w:themeColor="text1"/>
          <w:sz w:val="32"/>
          <w:szCs w:val="32"/>
        </w:rPr>
        <w:t>%。</w:t>
      </w:r>
    </w:p>
    <w:p>
      <w:pPr>
        <w:pageBreakBefore w:val="0"/>
        <w:kinsoku/>
        <w:wordWrap/>
        <w:topLinePunct w:val="0"/>
        <w:autoSpaceDE/>
        <w:autoSpaceDN/>
        <w:bidi w:val="0"/>
        <w:spacing w:line="560" w:lineRule="exact"/>
        <w:ind w:firstLine="640"/>
        <w:jc w:val="center"/>
        <w:rPr>
          <w:rFonts w:hint="eastAsia" w:ascii="Times New Roman" w:hAnsi="Times New Roman" w:eastAsia="方正仿宋_GBK" w:cs="方正仿宋_GBK"/>
          <w:color w:val="000000"/>
          <w:kern w:val="0"/>
          <w:sz w:val="32"/>
          <w:szCs w:val="32"/>
        </w:rPr>
      </w:pPr>
      <w:r>
        <w:rPr>
          <w:rFonts w:hint="eastAsia" w:ascii="Times New Roman" w:hAnsi="Times New Roman" w:eastAsia="方正仿宋_GBK" w:cs="方正仿宋_GBK"/>
          <w:color w:val="000000"/>
          <w:kern w:val="0"/>
          <w:sz w:val="32"/>
          <w:szCs w:val="32"/>
        </w:rPr>
        <w:t>项目过程指标得分情况</w:t>
      </w:r>
    </w:p>
    <w:tbl>
      <w:tblPr>
        <w:tblStyle w:val="12"/>
        <w:tblW w:w="8863" w:type="dxa"/>
        <w:tblInd w:w="0" w:type="dxa"/>
        <w:tblLayout w:type="fixed"/>
        <w:tblCellMar>
          <w:top w:w="0" w:type="dxa"/>
          <w:left w:w="0" w:type="dxa"/>
          <w:bottom w:w="0" w:type="dxa"/>
          <w:right w:w="0" w:type="dxa"/>
        </w:tblCellMar>
      </w:tblPr>
      <w:tblGrid>
        <w:gridCol w:w="2532"/>
        <w:gridCol w:w="2110"/>
        <w:gridCol w:w="2110"/>
        <w:gridCol w:w="2111"/>
      </w:tblGrid>
      <w:tr>
        <w:tblPrEx>
          <w:tblCellMar>
            <w:top w:w="0" w:type="dxa"/>
            <w:left w:w="0" w:type="dxa"/>
            <w:bottom w:w="0" w:type="dxa"/>
            <w:right w:w="0" w:type="dxa"/>
          </w:tblCellMar>
        </w:tblPrEx>
        <w:trPr>
          <w:trHeight w:val="450"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三级指标</w:t>
            </w:r>
          </w:p>
        </w:tc>
        <w:tc>
          <w:tcPr>
            <w:tcW w:w="211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权重</w:t>
            </w:r>
          </w:p>
        </w:tc>
        <w:tc>
          <w:tcPr>
            <w:tcW w:w="211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得分率</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实际得分</w:t>
            </w:r>
          </w:p>
        </w:tc>
      </w:tr>
      <w:tr>
        <w:tblPrEx>
          <w:tblCellMar>
            <w:top w:w="0" w:type="dxa"/>
            <w:left w:w="0" w:type="dxa"/>
            <w:bottom w:w="0" w:type="dxa"/>
            <w:right w:w="0" w:type="dxa"/>
          </w:tblCellMar>
        </w:tblPrEx>
        <w:trPr>
          <w:trHeight w:val="409"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资金到位率</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5</w:t>
            </w:r>
          </w:p>
        </w:tc>
      </w:tr>
      <w:tr>
        <w:tblPrEx>
          <w:tblCellMar>
            <w:top w:w="0" w:type="dxa"/>
            <w:left w:w="0" w:type="dxa"/>
            <w:bottom w:w="0" w:type="dxa"/>
            <w:right w:w="0" w:type="dxa"/>
          </w:tblCellMar>
        </w:tblPrEx>
        <w:trPr>
          <w:trHeight w:val="504"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预算执行率</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lang w:val="en-US" w:eastAsia="zh-CN"/>
              </w:rPr>
              <w:t>98.6</w:t>
            </w:r>
            <w:r>
              <w:rPr>
                <w:rFonts w:hint="eastAsia" w:ascii="Times New Roman" w:hAnsi="Times New Roman" w:eastAsia="方正仿宋_GBK" w:cs="方正仿宋_GBK"/>
                <w:color w:val="000000" w:themeColor="text1"/>
              </w:rPr>
              <w:t>%</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default" w:ascii="Times New Roman" w:hAnsi="Times New Roman" w:eastAsia="方正仿宋_GBK" w:cs="方正仿宋_GBK"/>
                <w:color w:val="000000" w:themeColor="text1"/>
                <w:lang w:val="en-US" w:eastAsia="zh-CN"/>
              </w:rPr>
            </w:pPr>
            <w:r>
              <w:rPr>
                <w:rFonts w:hint="eastAsia" w:ascii="Times New Roman" w:hAnsi="Times New Roman" w:eastAsia="方正仿宋_GBK" w:cs="方正仿宋_GBK"/>
                <w:color w:val="000000" w:themeColor="text1"/>
                <w:lang w:val="en-US" w:eastAsia="zh-CN"/>
              </w:rPr>
              <w:t>4.93</w:t>
            </w:r>
          </w:p>
        </w:tc>
      </w:tr>
      <w:tr>
        <w:tblPrEx>
          <w:tblCellMar>
            <w:top w:w="0" w:type="dxa"/>
            <w:left w:w="0" w:type="dxa"/>
            <w:bottom w:w="0" w:type="dxa"/>
            <w:right w:w="0" w:type="dxa"/>
          </w:tblCellMar>
        </w:tblPrEx>
        <w:trPr>
          <w:trHeight w:val="90"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资金使用合规性</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5</w:t>
            </w:r>
          </w:p>
        </w:tc>
      </w:tr>
      <w:tr>
        <w:tblPrEx>
          <w:tblCellMar>
            <w:top w:w="0" w:type="dxa"/>
            <w:left w:w="0" w:type="dxa"/>
            <w:bottom w:w="0" w:type="dxa"/>
            <w:right w:w="0" w:type="dxa"/>
          </w:tblCellMar>
        </w:tblPrEx>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管理制度健全性</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2</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2</w:t>
            </w:r>
          </w:p>
        </w:tc>
      </w:tr>
      <w:tr>
        <w:tblPrEx>
          <w:tblCellMar>
            <w:top w:w="0" w:type="dxa"/>
            <w:left w:w="0" w:type="dxa"/>
            <w:bottom w:w="0" w:type="dxa"/>
            <w:right w:w="0" w:type="dxa"/>
          </w:tblCellMar>
        </w:tblPrEx>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制度执行</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3</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3</w:t>
            </w:r>
          </w:p>
        </w:tc>
      </w:tr>
      <w:tr>
        <w:tblPrEx>
          <w:tblCellMar>
            <w:top w:w="0" w:type="dxa"/>
            <w:left w:w="0" w:type="dxa"/>
            <w:bottom w:w="0" w:type="dxa"/>
            <w:right w:w="0" w:type="dxa"/>
          </w:tblCellMar>
        </w:tblPrEx>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合计</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20</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lang w:val="en-US" w:eastAsia="zh-CN"/>
              </w:rPr>
              <w:t>99.65</w:t>
            </w:r>
            <w:r>
              <w:rPr>
                <w:rFonts w:hint="eastAsia" w:ascii="Times New Roman" w:hAnsi="Times New Roman" w:eastAsia="方正仿宋_GBK" w:cs="方正仿宋_GBK"/>
                <w:color w:val="000000" w:themeColor="text1"/>
              </w:rPr>
              <w:t>%</w:t>
            </w:r>
          </w:p>
        </w:tc>
        <w:tc>
          <w:tcPr>
            <w:tcW w:w="2111"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default" w:ascii="Times New Roman" w:hAnsi="Times New Roman" w:eastAsia="方正仿宋_GBK" w:cs="方正仿宋_GBK"/>
                <w:color w:val="000000" w:themeColor="text1"/>
                <w:lang w:val="en-US" w:eastAsia="zh-CN"/>
              </w:rPr>
            </w:pPr>
            <w:r>
              <w:rPr>
                <w:rFonts w:hint="eastAsia" w:ascii="Times New Roman" w:hAnsi="Times New Roman" w:eastAsia="方正仿宋_GBK" w:cs="方正仿宋_GBK"/>
                <w:color w:val="000000" w:themeColor="text1"/>
                <w:lang w:val="en-US" w:eastAsia="zh-CN"/>
              </w:rPr>
              <w:t>19.93</w:t>
            </w:r>
          </w:p>
        </w:tc>
      </w:tr>
    </w:tbl>
    <w:p>
      <w:pPr>
        <w:pageBreakBefore w:val="0"/>
        <w:kinsoku/>
        <w:wordWrap/>
        <w:topLinePunct w:val="0"/>
        <w:autoSpaceDE/>
        <w:autoSpaceDN/>
        <w:bidi w:val="0"/>
        <w:spacing w:line="560" w:lineRule="exact"/>
        <w:ind w:firstLine="643"/>
        <w:rPr>
          <w:rFonts w:hint="eastAsia" w:ascii="Times New Roman" w:hAnsi="Times New Roman" w:eastAsia="方正仿宋_GBK" w:cs="方正仿宋_GBK"/>
          <w:sz w:val="32"/>
          <w:szCs w:val="32"/>
        </w:rPr>
      </w:pPr>
      <w:r>
        <w:rPr>
          <w:rFonts w:hint="eastAsia" w:ascii="Times New Roman" w:hAnsi="Times New Roman" w:eastAsia="方正仿宋_GBK" w:cs="方正仿宋_GBK"/>
          <w:b/>
          <w:bCs/>
          <w:sz w:val="32"/>
          <w:szCs w:val="32"/>
        </w:rPr>
        <w:t>（1）资金到位率：</w:t>
      </w:r>
      <w:r>
        <w:rPr>
          <w:rFonts w:hint="eastAsia" w:ascii="Times New Roman" w:hAnsi="Times New Roman" w:eastAsia="方正仿宋_GBK" w:cs="方正仿宋_GBK"/>
          <w:color w:val="000000" w:themeColor="text1"/>
          <w:sz w:val="32"/>
          <w:szCs w:val="32"/>
        </w:rPr>
        <w:t xml:space="preserve">财政资金足额拨付到位，牵头单位能够及时足额按照合同约定将专项资金拨付给联合体单位，根据评分标准，该指标不扣分，得5分。  </w:t>
      </w:r>
      <w:r>
        <w:rPr>
          <w:rFonts w:hint="eastAsia" w:ascii="Times New Roman" w:hAnsi="Times New Roman" w:eastAsia="方正仿宋_GBK" w:cs="方正仿宋_GBK"/>
          <w:sz w:val="32"/>
          <w:szCs w:val="32"/>
        </w:rPr>
        <w:t xml:space="preserve"> </w:t>
      </w:r>
    </w:p>
    <w:p>
      <w:pPr>
        <w:pageBreakBefore w:val="0"/>
        <w:kinsoku/>
        <w:wordWrap/>
        <w:topLinePunct w:val="0"/>
        <w:autoSpaceDE/>
        <w:autoSpaceDN/>
        <w:bidi w:val="0"/>
        <w:spacing w:line="560" w:lineRule="exact"/>
        <w:ind w:firstLine="643"/>
        <w:rPr>
          <w:rFonts w:hint="eastAsia" w:ascii="Times New Roman" w:hAnsi="Times New Roman" w:eastAsia="方正仿宋_GBK" w:cs="方正仿宋_GBK"/>
          <w:color w:val="000000" w:themeColor="text1"/>
          <w:sz w:val="32"/>
          <w:szCs w:val="32"/>
        </w:rPr>
      </w:pPr>
      <w:r>
        <w:rPr>
          <w:rFonts w:hint="eastAsia" w:ascii="Times New Roman" w:hAnsi="Times New Roman" w:eastAsia="方正仿宋_GBK" w:cs="方正仿宋_GBK"/>
          <w:b/>
          <w:bCs/>
          <w:sz w:val="32"/>
          <w:szCs w:val="32"/>
        </w:rPr>
        <w:t>（2）预算执行率：</w:t>
      </w:r>
      <w:r>
        <w:rPr>
          <w:rFonts w:hint="eastAsia" w:ascii="Times New Roman" w:hAnsi="Times New Roman" w:eastAsia="方正仿宋_GBK" w:cs="方正仿宋_GBK"/>
          <w:color w:val="000000" w:themeColor="text1"/>
          <w:sz w:val="32"/>
          <w:szCs w:val="32"/>
        </w:rPr>
        <w:t>预算编制较为详细，项目资金支出总体能够按照预算执行，根据评分标准，该指标扣</w:t>
      </w:r>
      <w:r>
        <w:rPr>
          <w:rFonts w:hint="eastAsia" w:ascii="Times New Roman" w:hAnsi="Times New Roman" w:eastAsia="方正仿宋_GBK" w:cs="方正仿宋_GBK"/>
          <w:color w:val="000000" w:themeColor="text1"/>
          <w:sz w:val="32"/>
          <w:szCs w:val="32"/>
          <w:lang w:val="en-US" w:eastAsia="zh-CN"/>
        </w:rPr>
        <w:t>0.07</w:t>
      </w:r>
      <w:r>
        <w:rPr>
          <w:rFonts w:hint="eastAsia" w:ascii="Times New Roman" w:hAnsi="Times New Roman" w:eastAsia="方正仿宋_GBK" w:cs="方正仿宋_GBK"/>
          <w:color w:val="000000" w:themeColor="text1"/>
          <w:sz w:val="32"/>
          <w:szCs w:val="32"/>
        </w:rPr>
        <w:t>分，得</w:t>
      </w:r>
      <w:r>
        <w:rPr>
          <w:rFonts w:hint="eastAsia" w:ascii="Times New Roman" w:hAnsi="Times New Roman" w:eastAsia="方正仿宋_GBK" w:cs="方正仿宋_GBK"/>
          <w:color w:val="000000" w:themeColor="text1"/>
          <w:sz w:val="32"/>
          <w:szCs w:val="32"/>
          <w:lang w:val="en-US" w:eastAsia="zh-CN"/>
        </w:rPr>
        <w:t>4.93</w:t>
      </w:r>
      <w:r>
        <w:rPr>
          <w:rFonts w:hint="eastAsia" w:ascii="Times New Roman" w:hAnsi="Times New Roman" w:eastAsia="方正仿宋_GBK" w:cs="方正仿宋_GBK"/>
          <w:color w:val="000000" w:themeColor="text1"/>
          <w:sz w:val="32"/>
          <w:szCs w:val="32"/>
        </w:rPr>
        <w:t>分。</w:t>
      </w:r>
    </w:p>
    <w:p>
      <w:pPr>
        <w:pageBreakBefore w:val="0"/>
        <w:kinsoku/>
        <w:wordWrap/>
        <w:topLinePunct w:val="0"/>
        <w:autoSpaceDE/>
        <w:autoSpaceDN/>
        <w:bidi w:val="0"/>
        <w:spacing w:line="560" w:lineRule="exact"/>
        <w:ind w:firstLine="643"/>
        <w:rPr>
          <w:rFonts w:hint="eastAsia" w:ascii="Times New Roman" w:hAnsi="Times New Roman" w:eastAsia="方正仿宋_GBK" w:cs="方正仿宋_GBK"/>
          <w:color w:val="000000" w:themeColor="text1"/>
          <w:sz w:val="32"/>
          <w:szCs w:val="32"/>
        </w:rPr>
      </w:pPr>
      <w:r>
        <w:rPr>
          <w:rFonts w:hint="eastAsia" w:ascii="Times New Roman" w:hAnsi="Times New Roman" w:eastAsia="方正仿宋_GBK" w:cs="方正仿宋_GBK"/>
          <w:b/>
          <w:bCs/>
          <w:sz w:val="32"/>
          <w:szCs w:val="32"/>
        </w:rPr>
        <w:t>（3）资金使用合规性：</w:t>
      </w:r>
      <w:r>
        <w:rPr>
          <w:rFonts w:hint="eastAsia" w:ascii="Times New Roman" w:hAnsi="Times New Roman" w:eastAsia="方正仿宋_GBK" w:cs="方正仿宋_GBK"/>
          <w:color w:val="000000" w:themeColor="text1"/>
          <w:sz w:val="32"/>
          <w:szCs w:val="32"/>
        </w:rPr>
        <w:t>制定了相关的制度和管理规定对经费使用进行规范管理，财务制度健全、执行严格，根据评分标准，该指标不扣分，得5分。</w:t>
      </w:r>
    </w:p>
    <w:p>
      <w:pPr>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000000" w:themeColor="text1"/>
          <w:sz w:val="32"/>
          <w:szCs w:val="32"/>
        </w:rPr>
      </w:pPr>
      <w:r>
        <w:rPr>
          <w:rFonts w:hint="eastAsia" w:ascii="Times New Roman" w:hAnsi="Times New Roman" w:eastAsia="方正仿宋_GBK" w:cs="方正仿宋_GBK"/>
          <w:sz w:val="32"/>
          <w:szCs w:val="32"/>
        </w:rPr>
        <w:t>（</w:t>
      </w:r>
      <w:r>
        <w:rPr>
          <w:rFonts w:hint="eastAsia" w:ascii="Times New Roman" w:hAnsi="Times New Roman" w:eastAsia="方正仿宋_GBK" w:cs="方正仿宋_GBK"/>
          <w:b/>
          <w:bCs/>
          <w:sz w:val="32"/>
          <w:szCs w:val="32"/>
        </w:rPr>
        <w:t>4）管理制度健全性</w:t>
      </w:r>
      <w:r>
        <w:rPr>
          <w:rFonts w:hint="eastAsia" w:ascii="Times New Roman" w:hAnsi="Times New Roman" w:eastAsia="方正仿宋_GBK" w:cs="方正仿宋_GBK"/>
          <w:b/>
          <w:bCs/>
          <w:color w:val="000000" w:themeColor="text1"/>
          <w:sz w:val="32"/>
          <w:szCs w:val="32"/>
        </w:rPr>
        <w:t>：</w:t>
      </w:r>
      <w:r>
        <w:rPr>
          <w:rFonts w:hint="eastAsia" w:ascii="Times New Roman" w:hAnsi="Times New Roman" w:eastAsia="方正仿宋_GBK" w:cs="方正仿宋_GBK"/>
          <w:color w:val="000000" w:themeColor="text1"/>
          <w:sz w:val="32"/>
          <w:szCs w:val="32"/>
        </w:rPr>
        <w:t>制定了</w:t>
      </w:r>
      <w:r>
        <w:rPr>
          <w:rFonts w:hint="eastAsia" w:ascii="Times New Roman" w:hAnsi="Times New Roman" w:eastAsia="方正仿宋_GBK" w:cs="方正仿宋_GBK"/>
          <w:color w:val="000000" w:themeColor="text1"/>
          <w:sz w:val="32"/>
          <w:szCs w:val="32"/>
          <w:highlight w:val="none"/>
          <w:lang w:val="en-US" w:eastAsia="zh-CN"/>
        </w:rPr>
        <w:t>地区畜牧局</w:t>
      </w:r>
      <w:r>
        <w:rPr>
          <w:rFonts w:hint="eastAsia" w:ascii="Times New Roman" w:hAnsi="Times New Roman" w:eastAsia="方正仿宋_GBK" w:cs="方正仿宋_GBK"/>
          <w:color w:val="000000" w:themeColor="text1"/>
          <w:sz w:val="32"/>
          <w:szCs w:val="32"/>
        </w:rPr>
        <w:t>相关管理办法，对财政专项资金进行严格管理，基本做到了专款专用，根据评分标准，该指标不扣分，得2分。</w:t>
      </w:r>
    </w:p>
    <w:p>
      <w:pPr>
        <w:pageBreakBefore w:val="0"/>
        <w:kinsoku/>
        <w:wordWrap/>
        <w:topLinePunct w:val="0"/>
        <w:autoSpaceDE/>
        <w:autoSpaceDN/>
        <w:bidi w:val="0"/>
        <w:spacing w:line="560" w:lineRule="exact"/>
        <w:ind w:firstLine="643"/>
        <w:rPr>
          <w:rFonts w:hint="eastAsia" w:ascii="Times New Roman" w:hAnsi="Times New Roman" w:eastAsia="方正仿宋_GBK" w:cs="方正仿宋_GBK"/>
          <w:color w:val="FF0000"/>
          <w:sz w:val="32"/>
          <w:szCs w:val="32"/>
        </w:rPr>
      </w:pPr>
      <w:r>
        <w:rPr>
          <w:rFonts w:hint="eastAsia" w:ascii="Times New Roman" w:hAnsi="Times New Roman" w:eastAsia="方正仿宋_GBK" w:cs="方正仿宋_GBK"/>
          <w:b/>
          <w:bCs/>
          <w:sz w:val="32"/>
          <w:szCs w:val="32"/>
        </w:rPr>
        <w:t>（5）制度执行有效性</w:t>
      </w:r>
      <w:r>
        <w:rPr>
          <w:rFonts w:hint="eastAsia" w:ascii="Times New Roman" w:hAnsi="Times New Roman" w:eastAsia="方正仿宋_GBK" w:cs="方正仿宋_GBK"/>
          <w:sz w:val="32"/>
          <w:szCs w:val="32"/>
        </w:rPr>
        <w:t>：</w:t>
      </w:r>
      <w:r>
        <w:rPr>
          <w:rFonts w:hint="eastAsia" w:ascii="Times New Roman" w:hAnsi="Times New Roman" w:eastAsia="方正仿宋_GBK" w:cs="方正仿宋_GBK"/>
          <w:color w:val="000000" w:themeColor="text1"/>
          <w:sz w:val="32"/>
          <w:szCs w:val="32"/>
        </w:rPr>
        <w:t>由部门提出经费预算支出可行性方案，经过与</w:t>
      </w:r>
      <w:r>
        <w:rPr>
          <w:rFonts w:hint="eastAsia" w:ascii="Times New Roman" w:hAnsi="Times New Roman" w:eastAsia="方正仿宋_GBK" w:cs="方正仿宋_GBK"/>
          <w:color w:val="000000" w:themeColor="text1"/>
          <w:sz w:val="32"/>
          <w:szCs w:val="32"/>
          <w:lang w:val="en-US" w:eastAsia="zh-CN"/>
        </w:rPr>
        <w:t>单位</w:t>
      </w:r>
      <w:r>
        <w:rPr>
          <w:rFonts w:hint="eastAsia" w:ascii="Times New Roman" w:hAnsi="Times New Roman" w:eastAsia="方正仿宋_GBK" w:cs="方正仿宋_GBK"/>
          <w:color w:val="000000" w:themeColor="text1"/>
          <w:sz w:val="32"/>
          <w:szCs w:val="32"/>
          <w:highlight w:val="none"/>
        </w:rPr>
        <w:t>领</w:t>
      </w:r>
      <w:r>
        <w:rPr>
          <w:rFonts w:hint="eastAsia" w:ascii="Times New Roman" w:hAnsi="Times New Roman" w:eastAsia="方正仿宋_GBK" w:cs="方正仿宋_GBK"/>
          <w:color w:val="000000" w:themeColor="text1"/>
          <w:sz w:val="32"/>
          <w:szCs w:val="32"/>
        </w:rPr>
        <w:t>导沟通后，报党支部会议研究执行，财务对资金的使用合法合规性进行监督，年底对资金使用效果进行自评，根据评分标准，该指标不扣分，得3分。</w:t>
      </w:r>
    </w:p>
    <w:p>
      <w:pPr>
        <w:pStyle w:val="15"/>
        <w:keepNext/>
        <w:keepLines/>
        <w:pageBreakBefore w:val="0"/>
        <w:widowControl w:val="0"/>
        <w:kinsoku/>
        <w:wordWrap/>
        <w:overflowPunct/>
        <w:topLinePunct w:val="0"/>
        <w:autoSpaceDE/>
        <w:autoSpaceDN/>
        <w:bidi w:val="0"/>
        <w:adjustRightInd/>
        <w:snapToGrid/>
        <w:spacing w:line="560" w:lineRule="exact"/>
        <w:ind w:left="560"/>
        <w:textAlignment w:val="auto"/>
        <w:rPr>
          <w:rFonts w:hint="eastAsia" w:ascii="方正楷体_GBK" w:hAnsi="方正楷体_GBK" w:eastAsia="方正楷体_GBK" w:cs="方正楷体_GBK"/>
          <w:b/>
          <w:bCs/>
          <w:sz w:val="32"/>
        </w:rPr>
      </w:pPr>
      <w:r>
        <w:rPr>
          <w:rFonts w:hint="eastAsia" w:ascii="方正楷体_GBK" w:hAnsi="方正楷体_GBK" w:eastAsia="方正楷体_GBK" w:cs="方正楷体_GBK"/>
          <w:b/>
          <w:bCs/>
          <w:sz w:val="32"/>
        </w:rPr>
        <w:t>（三）项目产出情况</w:t>
      </w:r>
    </w:p>
    <w:p>
      <w:pPr>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sz w:val="32"/>
          <w:szCs w:val="32"/>
        </w:rPr>
        <w:t>项目产出类指标包括产出数量、产出质量、产出时效、产出成本四方面的内容，由4个三级指标构成，权重分为40分，</w:t>
      </w:r>
      <w:r>
        <w:rPr>
          <w:rFonts w:hint="eastAsia" w:ascii="Times New Roman" w:hAnsi="Times New Roman" w:eastAsia="方正仿宋_GBK" w:cs="方正仿宋_GBK"/>
          <w:color w:val="000000" w:themeColor="text1"/>
          <w:sz w:val="32"/>
          <w:szCs w:val="32"/>
        </w:rPr>
        <w:t>实际得分</w:t>
      </w:r>
      <w:r>
        <w:rPr>
          <w:rFonts w:hint="eastAsia" w:ascii="Times New Roman" w:hAnsi="Times New Roman" w:eastAsia="方正仿宋_GBK" w:cs="方正仿宋_GBK"/>
          <w:color w:val="000000" w:themeColor="text1"/>
          <w:sz w:val="32"/>
          <w:szCs w:val="32"/>
          <w:lang w:val="en-US" w:eastAsia="zh-CN"/>
        </w:rPr>
        <w:t>37.95</w:t>
      </w:r>
      <w:r>
        <w:rPr>
          <w:rFonts w:hint="eastAsia" w:ascii="Times New Roman" w:hAnsi="Times New Roman" w:eastAsia="方正仿宋_GBK" w:cs="方正仿宋_GBK"/>
          <w:color w:val="000000" w:themeColor="text1"/>
          <w:sz w:val="32"/>
          <w:szCs w:val="32"/>
        </w:rPr>
        <w:t>分，得分率为</w:t>
      </w:r>
      <w:r>
        <w:rPr>
          <w:rFonts w:hint="eastAsia" w:ascii="Times New Roman" w:hAnsi="Times New Roman" w:eastAsia="方正仿宋_GBK" w:cs="方正仿宋_GBK"/>
          <w:color w:val="000000" w:themeColor="text1"/>
          <w:sz w:val="32"/>
          <w:szCs w:val="32"/>
          <w:lang w:val="en-US" w:eastAsia="zh-CN"/>
        </w:rPr>
        <w:t>94.88</w:t>
      </w:r>
      <w:r>
        <w:rPr>
          <w:rFonts w:hint="eastAsia" w:ascii="Times New Roman" w:hAnsi="Times New Roman" w:eastAsia="方正仿宋_GBK" w:cs="方正仿宋_GBK"/>
          <w:color w:val="000000" w:themeColor="text1"/>
          <w:sz w:val="32"/>
          <w:szCs w:val="32"/>
        </w:rPr>
        <w:t>%。</w:t>
      </w:r>
    </w:p>
    <w:p>
      <w:pPr>
        <w:pageBreakBefore w:val="0"/>
        <w:kinsoku/>
        <w:wordWrap/>
        <w:topLinePunct w:val="0"/>
        <w:autoSpaceDE/>
        <w:autoSpaceDN/>
        <w:bidi w:val="0"/>
        <w:spacing w:line="560" w:lineRule="exact"/>
        <w:ind w:firstLine="640"/>
        <w:jc w:val="center"/>
        <w:rPr>
          <w:rFonts w:hint="eastAsia" w:ascii="Times New Roman" w:hAnsi="Times New Roman" w:eastAsia="方正仿宋_GBK" w:cs="方正仿宋_GBK"/>
          <w:color w:val="000000"/>
          <w:kern w:val="0"/>
          <w:sz w:val="32"/>
          <w:szCs w:val="32"/>
        </w:rPr>
      </w:pPr>
      <w:r>
        <w:rPr>
          <w:rFonts w:hint="eastAsia" w:ascii="Times New Roman" w:hAnsi="Times New Roman" w:eastAsia="方正仿宋_GBK" w:cs="方正仿宋_GBK"/>
          <w:color w:val="000000"/>
          <w:kern w:val="0"/>
          <w:sz w:val="32"/>
          <w:szCs w:val="32"/>
        </w:rPr>
        <w:t>项目产出指标得分情况</w:t>
      </w:r>
    </w:p>
    <w:tbl>
      <w:tblPr>
        <w:tblStyle w:val="12"/>
        <w:tblW w:w="8519" w:type="dxa"/>
        <w:tblInd w:w="0" w:type="dxa"/>
        <w:tblLayout w:type="fixed"/>
        <w:tblCellMar>
          <w:top w:w="0" w:type="dxa"/>
          <w:left w:w="108" w:type="dxa"/>
          <w:bottom w:w="0" w:type="dxa"/>
          <w:right w:w="108" w:type="dxa"/>
        </w:tblCellMar>
      </w:tblPr>
      <w:tblGrid>
        <w:gridCol w:w="3024"/>
        <w:gridCol w:w="1682"/>
        <w:gridCol w:w="2131"/>
        <w:gridCol w:w="1682"/>
      </w:tblGrid>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三级指标</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权重</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得分率</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实际得分</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产出数量</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default" w:ascii="Times New Roman" w:hAnsi="Times New Roman" w:eastAsia="方正仿宋_GBK" w:cs="方正仿宋_GBK"/>
                <w:color w:val="000000" w:themeColor="text1"/>
                <w:lang w:val="en-US" w:eastAsia="zh-CN"/>
              </w:rPr>
            </w:pPr>
            <w:r>
              <w:rPr>
                <w:rFonts w:hint="eastAsia" w:ascii="Times New Roman" w:hAnsi="Times New Roman" w:eastAsia="方正仿宋_GBK" w:cs="方正仿宋_GBK"/>
                <w:color w:val="000000" w:themeColor="text1"/>
                <w:lang w:val="en-US" w:eastAsia="zh-CN"/>
              </w:rPr>
              <w:t>10</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产出质量</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10</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产出时效</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rPr>
              <w:t>10</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成本情况</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lang w:val="en-US" w:eastAsia="zh-CN"/>
              </w:rPr>
              <w:t>7.95</w:t>
            </w:r>
            <w:r>
              <w:rPr>
                <w:rFonts w:hint="eastAsia" w:ascii="Times New Roman" w:hAnsi="Times New Roman" w:eastAsia="方正仿宋_GBK" w:cs="方正仿宋_GBK"/>
                <w:color w:val="000000" w:themeColor="text1"/>
              </w:rPr>
              <w:t>%</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default" w:ascii="Times New Roman" w:hAnsi="Times New Roman" w:eastAsia="方正仿宋_GBK" w:cs="方正仿宋_GBK"/>
                <w:color w:val="000000" w:themeColor="text1"/>
                <w:lang w:val="en-US" w:eastAsia="zh-CN"/>
              </w:rPr>
            </w:pPr>
            <w:r>
              <w:rPr>
                <w:rFonts w:hint="eastAsia" w:ascii="Times New Roman" w:hAnsi="Times New Roman" w:eastAsia="方正仿宋_GBK" w:cs="方正仿宋_GBK"/>
                <w:color w:val="000000" w:themeColor="text1"/>
                <w:lang w:val="en-US" w:eastAsia="zh-CN"/>
              </w:rPr>
              <w:t>7.95</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合计</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rPr>
            </w:pPr>
            <w:r>
              <w:rPr>
                <w:rFonts w:hint="eastAsia" w:ascii="Times New Roman" w:hAnsi="Times New Roman" w:eastAsia="方正仿宋_GBK" w:cs="方正仿宋_GBK"/>
              </w:rPr>
              <w:t>40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000000" w:themeColor="text1"/>
              </w:rPr>
            </w:pPr>
            <w:r>
              <w:rPr>
                <w:rFonts w:hint="eastAsia" w:ascii="Times New Roman" w:hAnsi="Times New Roman" w:eastAsia="方正仿宋_GBK" w:cs="方正仿宋_GBK"/>
                <w:color w:val="000000" w:themeColor="text1"/>
                <w:highlight w:val="none"/>
                <w:lang w:val="en-US" w:eastAsia="zh-CN"/>
              </w:rPr>
              <w:t>94.88</w:t>
            </w:r>
            <w:r>
              <w:rPr>
                <w:rFonts w:hint="eastAsia" w:ascii="Times New Roman" w:hAnsi="Times New Roman" w:eastAsia="方正仿宋_GBK" w:cs="方正仿宋_GBK"/>
                <w:color w:val="000000" w:themeColor="text1"/>
                <w:highlight w:val="none"/>
              </w:rPr>
              <w:t>%</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default" w:ascii="Times New Roman" w:hAnsi="Times New Roman" w:eastAsia="方正仿宋_GBK" w:cs="方正仿宋_GBK"/>
                <w:color w:val="000000" w:themeColor="text1"/>
                <w:lang w:val="en-US" w:eastAsia="zh-CN"/>
              </w:rPr>
            </w:pPr>
            <w:r>
              <w:rPr>
                <w:rFonts w:hint="eastAsia" w:ascii="Times New Roman" w:hAnsi="Times New Roman" w:eastAsia="方正仿宋_GBK" w:cs="方正仿宋_GBK"/>
                <w:color w:val="000000" w:themeColor="text1"/>
                <w:lang w:val="en-US" w:eastAsia="zh-CN"/>
              </w:rPr>
              <w:t>37.95</w:t>
            </w:r>
          </w:p>
        </w:tc>
      </w:tr>
    </w:tbl>
    <w:p>
      <w:pPr>
        <w:pageBreakBefore w:val="0"/>
        <w:numPr>
          <w:ilvl w:val="0"/>
          <w:numId w:val="1"/>
        </w:numPr>
        <w:kinsoku/>
        <w:wordWrap/>
        <w:topLinePunct w:val="0"/>
        <w:autoSpaceDE/>
        <w:autoSpaceDN/>
        <w:bidi w:val="0"/>
        <w:spacing w:line="560" w:lineRule="exact"/>
        <w:ind w:firstLine="643"/>
        <w:rPr>
          <w:rFonts w:hint="eastAsia" w:ascii="Times New Roman" w:hAnsi="Times New Roman" w:eastAsia="方正仿宋_GBK" w:cs="方正仿宋_GBK"/>
          <w:b/>
          <w:bCs/>
          <w:sz w:val="32"/>
          <w:szCs w:val="32"/>
        </w:rPr>
      </w:pPr>
      <w:r>
        <w:rPr>
          <w:rFonts w:hint="eastAsia" w:ascii="Times New Roman" w:hAnsi="Times New Roman" w:eastAsia="方正仿宋_GBK" w:cs="方正仿宋_GBK"/>
          <w:b/>
          <w:bCs/>
          <w:sz w:val="32"/>
          <w:szCs w:val="32"/>
        </w:rPr>
        <w:t>对于“产出数量”</w:t>
      </w:r>
    </w:p>
    <w:p>
      <w:pPr>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000000" w:themeColor="text1"/>
          <w:sz w:val="32"/>
          <w:szCs w:val="32"/>
        </w:rPr>
      </w:pPr>
      <w:r>
        <w:rPr>
          <w:rFonts w:hint="eastAsia" w:ascii="Times New Roman" w:hAnsi="Times New Roman" w:eastAsia="方正仿宋_GBK" w:cs="方正仿宋_GBK"/>
          <w:color w:val="000000" w:themeColor="text1"/>
          <w:sz w:val="32"/>
          <w:szCs w:val="32"/>
        </w:rPr>
        <w:t>畜产品质量安全监测数量</w:t>
      </w:r>
      <w:r>
        <w:rPr>
          <w:rFonts w:hint="eastAsia" w:ascii="Times New Roman" w:hAnsi="Times New Roman" w:eastAsia="方正仿宋_GBK" w:cs="方正仿宋_GBK"/>
          <w:color w:val="000000" w:themeColor="text1"/>
          <w:sz w:val="32"/>
          <w:szCs w:val="32"/>
          <w:lang w:val="en-US" w:eastAsia="zh-CN"/>
        </w:rPr>
        <w:t>指标，预期指标值为</w:t>
      </w:r>
      <w:r>
        <w:rPr>
          <w:rFonts w:hint="eastAsia" w:ascii="Times New Roman" w:hAnsi="Times New Roman" w:eastAsia="方正仿宋_GBK" w:cs="方正仿宋_GBK"/>
          <w:color w:val="000000" w:themeColor="text1"/>
          <w:sz w:val="32"/>
          <w:szCs w:val="32"/>
        </w:rPr>
        <w:t>330批次，</w:t>
      </w:r>
      <w:r>
        <w:rPr>
          <w:rFonts w:hint="eastAsia" w:ascii="Times New Roman" w:hAnsi="Times New Roman" w:eastAsia="方正仿宋_GBK" w:cs="方正仿宋_GBK"/>
          <w:color w:val="000000" w:themeColor="text1"/>
          <w:sz w:val="32"/>
          <w:szCs w:val="32"/>
          <w:lang w:val="en-US" w:eastAsia="zh-CN"/>
        </w:rPr>
        <w:t>实际完成值364批次</w:t>
      </w:r>
      <w:r>
        <w:rPr>
          <w:rFonts w:hint="eastAsia" w:ascii="Times New Roman" w:hAnsi="Times New Roman" w:eastAsia="方正仿宋_GBK" w:cs="方正仿宋_GBK"/>
          <w:color w:val="000000" w:themeColor="text1"/>
          <w:sz w:val="32"/>
          <w:szCs w:val="32"/>
        </w:rPr>
        <w:t>，</w:t>
      </w:r>
      <w:r>
        <w:rPr>
          <w:rFonts w:hint="eastAsia" w:ascii="Times New Roman" w:hAnsi="Times New Roman" w:eastAsia="方正仿宋_GBK" w:cs="方正仿宋_GBK"/>
          <w:color w:val="000000" w:themeColor="text1"/>
          <w:sz w:val="32"/>
          <w:szCs w:val="32"/>
          <w:lang w:val="en-US" w:eastAsia="zh-CN"/>
        </w:rPr>
        <w:t>指标完成率110.3%，偏差率10.3%，</w:t>
      </w:r>
      <w:r>
        <w:rPr>
          <w:rFonts w:hint="eastAsia" w:ascii="Times New Roman" w:hAnsi="Times New Roman" w:eastAsia="方正仿宋_GBK" w:cs="方正仿宋_GBK"/>
          <w:color w:val="000000" w:themeColor="text1"/>
          <w:sz w:val="32"/>
          <w:szCs w:val="32"/>
          <w:lang w:eastAsia="zh-CN"/>
        </w:rPr>
        <w:t>偏差原因：政采云检测成本成交价为535元/批次，用差价续签了34批次（包含赠送五批次）实际完成监测数量364批次。</w:t>
      </w:r>
      <w:r>
        <w:rPr>
          <w:rFonts w:hint="eastAsia" w:ascii="Times New Roman" w:hAnsi="Times New Roman" w:eastAsia="方正仿宋_GBK" w:cs="方正仿宋_GBK"/>
          <w:color w:val="000000" w:themeColor="text1"/>
          <w:sz w:val="32"/>
          <w:szCs w:val="32"/>
          <w:lang w:val="en-US" w:eastAsia="zh-CN"/>
        </w:rPr>
        <w:t>改进措施：今后加强指标设置精准度。</w:t>
      </w:r>
      <w:r>
        <w:rPr>
          <w:rFonts w:hint="eastAsia" w:ascii="Times New Roman" w:hAnsi="Times New Roman" w:eastAsia="方正仿宋_GBK" w:cs="方正仿宋_GBK"/>
          <w:color w:val="000000" w:themeColor="text1"/>
          <w:sz w:val="32"/>
          <w:szCs w:val="32"/>
        </w:rPr>
        <w:t>根据评分标准，该指标不扣分，得</w:t>
      </w:r>
      <w:r>
        <w:rPr>
          <w:rFonts w:hint="eastAsia" w:ascii="Times New Roman" w:hAnsi="Times New Roman" w:eastAsia="方正仿宋_GBK" w:cs="方正仿宋_GBK"/>
          <w:color w:val="000000" w:themeColor="text1"/>
          <w:sz w:val="32"/>
          <w:szCs w:val="32"/>
          <w:lang w:val="en-US" w:eastAsia="zh-CN"/>
        </w:rPr>
        <w:t>5</w:t>
      </w:r>
      <w:r>
        <w:rPr>
          <w:rFonts w:hint="eastAsia" w:ascii="Times New Roman" w:hAnsi="Times New Roman" w:eastAsia="方正仿宋_GBK" w:cs="方正仿宋_GBK"/>
          <w:color w:val="000000" w:themeColor="text1"/>
          <w:sz w:val="32"/>
          <w:szCs w:val="32"/>
        </w:rPr>
        <w:t>分。</w:t>
      </w:r>
    </w:p>
    <w:p>
      <w:pPr>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000000" w:themeColor="text1"/>
          <w:sz w:val="32"/>
          <w:szCs w:val="32"/>
        </w:rPr>
      </w:pPr>
      <w:r>
        <w:rPr>
          <w:rFonts w:hint="eastAsia" w:ascii="Times New Roman" w:hAnsi="Times New Roman" w:eastAsia="方正仿宋_GBK" w:cs="方正仿宋_GBK"/>
          <w:color w:val="000000" w:themeColor="text1"/>
          <w:sz w:val="32"/>
          <w:szCs w:val="32"/>
        </w:rPr>
        <w:t>监测样品种类数量</w:t>
      </w:r>
      <w:r>
        <w:rPr>
          <w:rFonts w:hint="eastAsia" w:ascii="Times New Roman" w:hAnsi="Times New Roman" w:eastAsia="方正仿宋_GBK" w:cs="方正仿宋_GBK"/>
          <w:color w:val="000000" w:themeColor="text1"/>
          <w:sz w:val="32"/>
          <w:szCs w:val="32"/>
          <w:lang w:val="en-US" w:eastAsia="zh-CN"/>
        </w:rPr>
        <w:t>指标，预期指标值为</w:t>
      </w:r>
      <w:r>
        <w:rPr>
          <w:rFonts w:hint="eastAsia" w:ascii="Times New Roman" w:hAnsi="Times New Roman" w:eastAsia="方正仿宋_GBK" w:cs="方正仿宋_GBK"/>
          <w:color w:val="000000" w:themeColor="text1"/>
          <w:sz w:val="32"/>
          <w:szCs w:val="32"/>
        </w:rPr>
        <w:t>5个，</w:t>
      </w:r>
      <w:r>
        <w:rPr>
          <w:rFonts w:hint="eastAsia" w:ascii="Times New Roman" w:hAnsi="Times New Roman" w:eastAsia="方正仿宋_GBK" w:cs="方正仿宋_GBK"/>
          <w:color w:val="000000" w:themeColor="text1"/>
          <w:sz w:val="32"/>
          <w:szCs w:val="32"/>
          <w:lang w:val="en-US" w:eastAsia="zh-CN"/>
        </w:rPr>
        <w:t>实际完成值5个，指标完成率100%，</w:t>
      </w:r>
      <w:r>
        <w:rPr>
          <w:rFonts w:hint="eastAsia" w:ascii="Times New Roman" w:hAnsi="Times New Roman" w:eastAsia="方正仿宋_GBK" w:cs="方正仿宋_GBK"/>
          <w:color w:val="000000" w:themeColor="text1"/>
          <w:sz w:val="32"/>
          <w:szCs w:val="32"/>
        </w:rPr>
        <w:t>与预期目标一致，根据评分标准，该指标不扣分，得</w:t>
      </w:r>
      <w:r>
        <w:rPr>
          <w:rFonts w:hint="eastAsia" w:ascii="Times New Roman" w:hAnsi="Times New Roman" w:eastAsia="方正仿宋_GBK" w:cs="方正仿宋_GBK"/>
          <w:color w:val="000000" w:themeColor="text1"/>
          <w:sz w:val="32"/>
          <w:szCs w:val="32"/>
          <w:lang w:val="en-US" w:eastAsia="zh-CN"/>
        </w:rPr>
        <w:t>5</w:t>
      </w:r>
      <w:r>
        <w:rPr>
          <w:rFonts w:hint="eastAsia" w:ascii="Times New Roman" w:hAnsi="Times New Roman" w:eastAsia="方正仿宋_GBK" w:cs="方正仿宋_GBK"/>
          <w:color w:val="000000" w:themeColor="text1"/>
          <w:sz w:val="32"/>
          <w:szCs w:val="32"/>
        </w:rPr>
        <w:t>分。</w:t>
      </w:r>
    </w:p>
    <w:p>
      <w:pPr>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000000" w:themeColor="text1"/>
          <w:sz w:val="32"/>
          <w:szCs w:val="32"/>
        </w:rPr>
      </w:pPr>
      <w:r>
        <w:rPr>
          <w:rFonts w:hint="eastAsia" w:ascii="Times New Roman" w:hAnsi="Times New Roman" w:eastAsia="方正仿宋_GBK" w:cs="方正仿宋_GBK"/>
          <w:color w:val="000000" w:themeColor="text1"/>
          <w:sz w:val="32"/>
          <w:szCs w:val="32"/>
        </w:rPr>
        <w:t>合计得</w:t>
      </w:r>
      <w:r>
        <w:rPr>
          <w:rFonts w:hint="eastAsia" w:ascii="Times New Roman" w:hAnsi="Times New Roman" w:eastAsia="方正仿宋_GBK" w:cs="方正仿宋_GBK"/>
          <w:color w:val="000000" w:themeColor="text1"/>
          <w:sz w:val="32"/>
          <w:szCs w:val="32"/>
          <w:lang w:val="en-US" w:eastAsia="zh-CN"/>
        </w:rPr>
        <w:t>10</w:t>
      </w:r>
      <w:r>
        <w:rPr>
          <w:rFonts w:hint="eastAsia" w:ascii="Times New Roman" w:hAnsi="Times New Roman" w:eastAsia="方正仿宋_GBK" w:cs="方正仿宋_GBK"/>
          <w:color w:val="000000" w:themeColor="text1"/>
          <w:sz w:val="32"/>
          <w:szCs w:val="32"/>
        </w:rPr>
        <w:t>分。</w:t>
      </w:r>
    </w:p>
    <w:p>
      <w:pPr>
        <w:pageBreakBefore w:val="0"/>
        <w:numPr>
          <w:ilvl w:val="0"/>
          <w:numId w:val="1"/>
        </w:numPr>
        <w:kinsoku/>
        <w:wordWrap/>
        <w:topLinePunct w:val="0"/>
        <w:autoSpaceDE/>
        <w:autoSpaceDN/>
        <w:bidi w:val="0"/>
        <w:spacing w:line="560" w:lineRule="exact"/>
        <w:ind w:firstLine="643"/>
        <w:rPr>
          <w:rFonts w:hint="eastAsia" w:ascii="Times New Roman" w:hAnsi="Times New Roman" w:eastAsia="方正仿宋_GBK" w:cs="方正仿宋_GBK"/>
          <w:b/>
          <w:bCs/>
          <w:sz w:val="32"/>
          <w:szCs w:val="32"/>
        </w:rPr>
      </w:pPr>
      <w:r>
        <w:rPr>
          <w:rFonts w:hint="eastAsia" w:ascii="Times New Roman" w:hAnsi="Times New Roman" w:eastAsia="方正仿宋_GBK" w:cs="方正仿宋_GBK"/>
          <w:b/>
          <w:bCs/>
          <w:sz w:val="32"/>
          <w:szCs w:val="32"/>
        </w:rPr>
        <w:t>对于“产出质量”：</w:t>
      </w:r>
    </w:p>
    <w:p>
      <w:pPr>
        <w:pStyle w:val="9"/>
        <w:pageBreakBefore w:val="0"/>
        <w:kinsoku/>
        <w:wordWrap/>
        <w:topLinePunct w:val="0"/>
        <w:autoSpaceDE/>
        <w:autoSpaceDN/>
        <w:bidi w:val="0"/>
        <w:spacing w:before="0" w:after="0" w:line="560" w:lineRule="exact"/>
        <w:ind w:firstLine="640"/>
        <w:jc w:val="both"/>
        <w:rPr>
          <w:rFonts w:hint="eastAsia" w:ascii="Times New Roman" w:hAnsi="Times New Roman" w:eastAsia="方正仿宋_GBK" w:cs="方正仿宋_GBK"/>
          <w:b w:val="0"/>
          <w:color w:val="000000" w:themeColor="text1"/>
          <w:sz w:val="32"/>
          <w:szCs w:val="32"/>
        </w:rPr>
      </w:pPr>
      <w:r>
        <w:rPr>
          <w:rFonts w:hint="eastAsia" w:ascii="Times New Roman" w:hAnsi="Times New Roman" w:eastAsia="方正仿宋_GBK" w:cs="方正仿宋_GBK"/>
          <w:b w:val="0"/>
          <w:color w:val="000000" w:themeColor="text1"/>
          <w:sz w:val="32"/>
          <w:szCs w:val="32"/>
        </w:rPr>
        <w:t>产品质量检测结果合格率</w:t>
      </w:r>
      <w:r>
        <w:rPr>
          <w:rFonts w:hint="eastAsia" w:ascii="Times New Roman" w:hAnsi="Times New Roman" w:eastAsia="方正仿宋_GBK" w:cs="方正仿宋_GBK"/>
          <w:b w:val="0"/>
          <w:color w:val="000000" w:themeColor="text1"/>
          <w:sz w:val="32"/>
          <w:szCs w:val="32"/>
          <w:lang w:val="en-US" w:eastAsia="zh-CN"/>
        </w:rPr>
        <w:t>质量指标，预期指标值为</w:t>
      </w:r>
      <w:r>
        <w:rPr>
          <w:rFonts w:hint="eastAsia" w:ascii="Times New Roman" w:hAnsi="Times New Roman" w:eastAsia="方正仿宋_GBK" w:cs="方正仿宋_GBK"/>
          <w:b w:val="0"/>
          <w:color w:val="000000" w:themeColor="text1"/>
          <w:sz w:val="32"/>
          <w:szCs w:val="32"/>
        </w:rPr>
        <w:t>100%，</w:t>
      </w:r>
      <w:r>
        <w:rPr>
          <w:rFonts w:hint="eastAsia" w:ascii="Times New Roman" w:hAnsi="Times New Roman" w:eastAsia="方正仿宋_GBK" w:cs="方正仿宋_GBK"/>
          <w:b w:val="0"/>
          <w:color w:val="000000" w:themeColor="text1"/>
          <w:sz w:val="32"/>
          <w:szCs w:val="32"/>
          <w:lang w:val="en-US" w:eastAsia="zh-CN"/>
        </w:rPr>
        <w:t>实际完成值为100%，指标完成率100%，</w:t>
      </w:r>
      <w:r>
        <w:rPr>
          <w:rFonts w:hint="eastAsia" w:ascii="Times New Roman" w:hAnsi="Times New Roman" w:eastAsia="方正仿宋_GBK" w:cs="方正仿宋_GBK"/>
          <w:b w:val="0"/>
          <w:color w:val="000000" w:themeColor="text1"/>
          <w:sz w:val="32"/>
          <w:szCs w:val="32"/>
        </w:rPr>
        <w:t>与预期目标一致，根据评分标准，该指标不扣分，得</w:t>
      </w:r>
      <w:r>
        <w:rPr>
          <w:rFonts w:hint="eastAsia" w:ascii="Times New Roman" w:hAnsi="Times New Roman" w:eastAsia="方正仿宋_GBK" w:cs="方正仿宋_GBK"/>
          <w:b w:val="0"/>
          <w:color w:val="000000" w:themeColor="text1"/>
          <w:sz w:val="32"/>
          <w:szCs w:val="32"/>
          <w:lang w:val="en-US" w:eastAsia="zh-CN"/>
        </w:rPr>
        <w:t>10</w:t>
      </w:r>
      <w:r>
        <w:rPr>
          <w:rFonts w:hint="eastAsia" w:ascii="Times New Roman" w:hAnsi="Times New Roman" w:eastAsia="方正仿宋_GBK" w:cs="方正仿宋_GBK"/>
          <w:b w:val="0"/>
          <w:color w:val="000000" w:themeColor="text1"/>
          <w:sz w:val="32"/>
          <w:szCs w:val="32"/>
        </w:rPr>
        <w:t>分。</w:t>
      </w:r>
    </w:p>
    <w:p>
      <w:pPr>
        <w:pStyle w:val="9"/>
        <w:pageBreakBefore w:val="0"/>
        <w:kinsoku/>
        <w:wordWrap/>
        <w:topLinePunct w:val="0"/>
        <w:autoSpaceDE/>
        <w:autoSpaceDN/>
        <w:bidi w:val="0"/>
        <w:spacing w:before="0" w:after="0" w:line="560" w:lineRule="exact"/>
        <w:ind w:firstLine="640"/>
        <w:jc w:val="both"/>
        <w:rPr>
          <w:rFonts w:hint="eastAsia" w:ascii="Times New Roman" w:hAnsi="Times New Roman" w:eastAsia="方正仿宋_GBK" w:cs="方正仿宋_GBK"/>
          <w:b w:val="0"/>
          <w:color w:val="000000" w:themeColor="text1"/>
          <w:sz w:val="32"/>
          <w:szCs w:val="32"/>
        </w:rPr>
      </w:pPr>
      <w:r>
        <w:rPr>
          <w:rFonts w:hint="eastAsia" w:ascii="Times New Roman" w:hAnsi="Times New Roman" w:eastAsia="方正仿宋_GBK" w:cs="方正仿宋_GBK"/>
          <w:b w:val="0"/>
          <w:color w:val="000000" w:themeColor="text1"/>
          <w:sz w:val="32"/>
          <w:szCs w:val="32"/>
        </w:rPr>
        <w:t>合计得</w:t>
      </w:r>
      <w:r>
        <w:rPr>
          <w:rFonts w:hint="eastAsia" w:ascii="Times New Roman" w:hAnsi="Times New Roman" w:eastAsia="方正仿宋_GBK" w:cs="方正仿宋_GBK"/>
          <w:b w:val="0"/>
          <w:color w:val="000000" w:themeColor="text1"/>
          <w:sz w:val="32"/>
          <w:szCs w:val="32"/>
          <w:lang w:val="en-US" w:eastAsia="zh-CN"/>
        </w:rPr>
        <w:t>10</w:t>
      </w:r>
      <w:r>
        <w:rPr>
          <w:rFonts w:hint="eastAsia" w:ascii="Times New Roman" w:hAnsi="Times New Roman" w:eastAsia="方正仿宋_GBK" w:cs="方正仿宋_GBK"/>
          <w:b w:val="0"/>
          <w:color w:val="000000" w:themeColor="text1"/>
          <w:sz w:val="32"/>
          <w:szCs w:val="32"/>
        </w:rPr>
        <w:t>分。</w:t>
      </w:r>
    </w:p>
    <w:p>
      <w:pPr>
        <w:pStyle w:val="9"/>
        <w:pageBreakBefore w:val="0"/>
        <w:numPr>
          <w:ilvl w:val="0"/>
          <w:numId w:val="1"/>
        </w:numPr>
        <w:kinsoku/>
        <w:wordWrap/>
        <w:topLinePunct w:val="0"/>
        <w:autoSpaceDE/>
        <w:autoSpaceDN/>
        <w:bidi w:val="0"/>
        <w:spacing w:before="0" w:after="0" w:line="560" w:lineRule="exact"/>
        <w:ind w:firstLine="643"/>
        <w:jc w:val="both"/>
        <w:rPr>
          <w:rFonts w:hint="eastAsia" w:ascii="Times New Roman" w:hAnsi="Times New Roman" w:eastAsia="方正仿宋_GBK" w:cs="方正仿宋_GBK"/>
          <w:bCs/>
          <w:sz w:val="32"/>
          <w:szCs w:val="32"/>
        </w:rPr>
      </w:pPr>
      <w:r>
        <w:rPr>
          <w:rFonts w:hint="eastAsia" w:ascii="Times New Roman" w:hAnsi="Times New Roman" w:eastAsia="方正仿宋_GBK" w:cs="方正仿宋_GBK"/>
          <w:bCs/>
          <w:sz w:val="32"/>
          <w:szCs w:val="32"/>
        </w:rPr>
        <w:t>对于“产出时效”：</w:t>
      </w:r>
    </w:p>
    <w:p>
      <w:pPr>
        <w:pStyle w:val="9"/>
        <w:pageBreakBefore w:val="0"/>
        <w:kinsoku/>
        <w:wordWrap/>
        <w:topLinePunct w:val="0"/>
        <w:autoSpaceDE/>
        <w:autoSpaceDN/>
        <w:bidi w:val="0"/>
        <w:spacing w:before="0" w:after="0" w:line="560" w:lineRule="exact"/>
        <w:ind w:firstLine="640"/>
        <w:jc w:val="both"/>
        <w:rPr>
          <w:rFonts w:hint="eastAsia" w:ascii="Times New Roman" w:hAnsi="Times New Roman" w:eastAsia="方正仿宋_GBK" w:cs="方正仿宋_GBK"/>
          <w:b w:val="0"/>
          <w:color w:val="000000" w:themeColor="text1"/>
          <w:sz w:val="32"/>
          <w:szCs w:val="32"/>
        </w:rPr>
      </w:pPr>
      <w:r>
        <w:rPr>
          <w:rFonts w:hint="eastAsia" w:ascii="Times New Roman" w:hAnsi="Times New Roman" w:eastAsia="方正仿宋_GBK" w:cs="方正仿宋_GBK"/>
          <w:b w:val="0"/>
          <w:color w:val="000000" w:themeColor="text1"/>
          <w:sz w:val="32"/>
          <w:szCs w:val="32"/>
        </w:rPr>
        <w:t>资金拨付及时性</w:t>
      </w:r>
      <w:r>
        <w:rPr>
          <w:rFonts w:hint="eastAsia" w:ascii="Times New Roman" w:hAnsi="Times New Roman" w:eastAsia="方正仿宋_GBK" w:cs="方正仿宋_GBK"/>
          <w:b w:val="0"/>
          <w:color w:val="000000" w:themeColor="text1"/>
          <w:sz w:val="32"/>
          <w:szCs w:val="32"/>
          <w:lang w:val="en-US" w:eastAsia="zh-CN"/>
        </w:rPr>
        <w:t>时效指标</w:t>
      </w:r>
      <w:r>
        <w:rPr>
          <w:rFonts w:hint="eastAsia" w:ascii="Times New Roman" w:hAnsi="Times New Roman" w:eastAsia="方正仿宋_GBK" w:cs="方正仿宋_GBK"/>
          <w:b w:val="0"/>
          <w:color w:val="000000" w:themeColor="text1"/>
          <w:sz w:val="32"/>
          <w:szCs w:val="32"/>
        </w:rPr>
        <w:t>，</w:t>
      </w:r>
      <w:r>
        <w:rPr>
          <w:rFonts w:hint="eastAsia" w:ascii="Times New Roman" w:hAnsi="Times New Roman" w:eastAsia="方正仿宋_GBK" w:cs="方正仿宋_GBK"/>
          <w:b w:val="0"/>
          <w:color w:val="000000" w:themeColor="text1"/>
          <w:sz w:val="32"/>
          <w:szCs w:val="32"/>
          <w:lang w:val="en-US" w:eastAsia="zh-CN"/>
        </w:rPr>
        <w:t>预期指标值为</w:t>
      </w:r>
      <w:r>
        <w:rPr>
          <w:rFonts w:hint="eastAsia" w:ascii="Times New Roman" w:hAnsi="Times New Roman" w:eastAsia="方正仿宋_GBK" w:cs="方正仿宋_GBK"/>
          <w:b w:val="0"/>
          <w:color w:val="000000" w:themeColor="text1"/>
          <w:sz w:val="32"/>
          <w:szCs w:val="32"/>
        </w:rPr>
        <w:t>100%，</w:t>
      </w:r>
      <w:r>
        <w:rPr>
          <w:rFonts w:hint="eastAsia" w:ascii="Times New Roman" w:hAnsi="Times New Roman" w:eastAsia="方正仿宋_GBK" w:cs="方正仿宋_GBK"/>
          <w:b w:val="0"/>
          <w:color w:val="000000" w:themeColor="text1"/>
          <w:sz w:val="32"/>
          <w:szCs w:val="32"/>
          <w:lang w:val="en-US" w:eastAsia="zh-CN"/>
        </w:rPr>
        <w:t>实际完成值为100%，指标完成率100%，</w:t>
      </w:r>
      <w:r>
        <w:rPr>
          <w:rFonts w:hint="eastAsia" w:ascii="Times New Roman" w:hAnsi="Times New Roman" w:eastAsia="方正仿宋_GBK" w:cs="方正仿宋_GBK"/>
          <w:b w:val="0"/>
          <w:color w:val="000000" w:themeColor="text1"/>
          <w:sz w:val="32"/>
          <w:szCs w:val="32"/>
        </w:rPr>
        <w:t>与预期目标一致，根据评分标准，该指标不扣分，得</w:t>
      </w:r>
      <w:r>
        <w:rPr>
          <w:rFonts w:hint="eastAsia" w:ascii="Times New Roman" w:hAnsi="Times New Roman" w:eastAsia="方正仿宋_GBK" w:cs="方正仿宋_GBK"/>
          <w:b w:val="0"/>
          <w:color w:val="000000" w:themeColor="text1"/>
          <w:sz w:val="32"/>
          <w:szCs w:val="32"/>
          <w:lang w:val="en-US" w:eastAsia="zh-CN"/>
        </w:rPr>
        <w:t>10</w:t>
      </w:r>
      <w:r>
        <w:rPr>
          <w:rFonts w:hint="eastAsia" w:ascii="Times New Roman" w:hAnsi="Times New Roman" w:eastAsia="方正仿宋_GBK" w:cs="方正仿宋_GBK"/>
          <w:b w:val="0"/>
          <w:color w:val="000000" w:themeColor="text1"/>
          <w:sz w:val="32"/>
          <w:szCs w:val="32"/>
        </w:rPr>
        <w:t>分。</w:t>
      </w:r>
    </w:p>
    <w:p>
      <w:pPr>
        <w:pStyle w:val="9"/>
        <w:pageBreakBefore w:val="0"/>
        <w:kinsoku/>
        <w:wordWrap/>
        <w:topLinePunct w:val="0"/>
        <w:autoSpaceDE/>
        <w:autoSpaceDN/>
        <w:bidi w:val="0"/>
        <w:spacing w:before="0" w:after="0" w:line="560" w:lineRule="exact"/>
        <w:ind w:firstLine="640"/>
        <w:jc w:val="both"/>
        <w:rPr>
          <w:rFonts w:hint="eastAsia" w:ascii="Times New Roman" w:hAnsi="Times New Roman" w:eastAsia="方正仿宋_GBK" w:cs="方正仿宋_GBK"/>
          <w:b w:val="0"/>
          <w:bCs/>
          <w:color w:val="000000" w:themeColor="text1"/>
          <w:sz w:val="32"/>
          <w:szCs w:val="32"/>
        </w:rPr>
      </w:pPr>
      <w:r>
        <w:rPr>
          <w:rFonts w:hint="eastAsia" w:ascii="Times New Roman" w:hAnsi="Times New Roman" w:eastAsia="方正仿宋_GBK" w:cs="方正仿宋_GBK"/>
          <w:b w:val="0"/>
          <w:bCs/>
          <w:color w:val="000000" w:themeColor="text1"/>
          <w:sz w:val="32"/>
          <w:szCs w:val="32"/>
        </w:rPr>
        <w:t>合计得</w:t>
      </w:r>
      <w:r>
        <w:rPr>
          <w:rFonts w:hint="eastAsia" w:ascii="Times New Roman" w:hAnsi="Times New Roman" w:eastAsia="方正仿宋_GBK" w:cs="方正仿宋_GBK"/>
          <w:b w:val="0"/>
          <w:bCs/>
          <w:color w:val="000000" w:themeColor="text1"/>
          <w:sz w:val="32"/>
          <w:szCs w:val="32"/>
          <w:lang w:val="en-US" w:eastAsia="zh-CN"/>
        </w:rPr>
        <w:t>10</w:t>
      </w:r>
      <w:r>
        <w:rPr>
          <w:rFonts w:hint="eastAsia" w:ascii="Times New Roman" w:hAnsi="Times New Roman" w:eastAsia="方正仿宋_GBK" w:cs="方正仿宋_GBK"/>
          <w:b w:val="0"/>
          <w:bCs/>
          <w:color w:val="000000" w:themeColor="text1"/>
          <w:sz w:val="32"/>
          <w:szCs w:val="32"/>
        </w:rPr>
        <w:t>分。</w:t>
      </w:r>
    </w:p>
    <w:p>
      <w:pPr>
        <w:pageBreakBefore w:val="0"/>
        <w:numPr>
          <w:ilvl w:val="0"/>
          <w:numId w:val="1"/>
        </w:numPr>
        <w:kinsoku/>
        <w:wordWrap/>
        <w:topLinePunct w:val="0"/>
        <w:autoSpaceDE/>
        <w:autoSpaceDN/>
        <w:bidi w:val="0"/>
        <w:spacing w:line="560" w:lineRule="exact"/>
        <w:ind w:left="0" w:leftChars="0" w:firstLine="643" w:firstLineChars="0"/>
        <w:rPr>
          <w:rFonts w:hint="eastAsia" w:ascii="Times New Roman" w:hAnsi="Times New Roman" w:eastAsia="方正仿宋_GBK" w:cs="方正仿宋_GBK"/>
          <w:b/>
          <w:bCs/>
          <w:sz w:val="32"/>
          <w:szCs w:val="32"/>
        </w:rPr>
      </w:pPr>
      <w:r>
        <w:rPr>
          <w:rFonts w:hint="eastAsia" w:ascii="Times New Roman" w:hAnsi="Times New Roman" w:eastAsia="方正仿宋_GBK" w:cs="方正仿宋_GBK"/>
          <w:b/>
          <w:bCs/>
          <w:sz w:val="32"/>
          <w:szCs w:val="32"/>
        </w:rPr>
        <w:t>对于“产出成本”：</w:t>
      </w:r>
    </w:p>
    <w:p>
      <w:pPr>
        <w:pStyle w:val="9"/>
        <w:pageBreakBefore w:val="0"/>
        <w:kinsoku/>
        <w:wordWrap/>
        <w:topLinePunct w:val="0"/>
        <w:autoSpaceDE/>
        <w:autoSpaceDN/>
        <w:bidi w:val="0"/>
        <w:spacing w:before="0" w:after="0" w:line="560" w:lineRule="exact"/>
        <w:ind w:firstLine="640"/>
        <w:jc w:val="both"/>
        <w:rPr>
          <w:rFonts w:hint="eastAsia" w:ascii="Times New Roman" w:hAnsi="Times New Roman" w:eastAsia="方正仿宋_GBK" w:cs="方正仿宋_GBK"/>
          <w:b w:val="0"/>
          <w:color w:val="000000" w:themeColor="text1"/>
          <w:sz w:val="32"/>
          <w:szCs w:val="32"/>
        </w:rPr>
      </w:pPr>
      <w:r>
        <w:rPr>
          <w:rFonts w:hint="eastAsia" w:ascii="Times New Roman" w:hAnsi="Times New Roman" w:eastAsia="方正仿宋_GBK" w:cs="方正仿宋_GBK"/>
          <w:b w:val="0"/>
          <w:color w:val="000000" w:themeColor="text1"/>
          <w:sz w:val="32"/>
          <w:szCs w:val="32"/>
        </w:rPr>
        <w:t>聘请第三方实施畜产品质量安全检测成本</w:t>
      </w:r>
      <w:r>
        <w:rPr>
          <w:rFonts w:hint="eastAsia" w:ascii="Times New Roman" w:hAnsi="Times New Roman" w:eastAsia="方正仿宋_GBK" w:cs="方正仿宋_GBK"/>
          <w:b w:val="0"/>
          <w:color w:val="000000" w:themeColor="text1"/>
          <w:sz w:val="32"/>
          <w:szCs w:val="32"/>
          <w:lang w:val="en-US" w:eastAsia="zh-CN"/>
        </w:rPr>
        <w:t>指标，预期指标为</w:t>
      </w:r>
      <w:r>
        <w:rPr>
          <w:rFonts w:hint="eastAsia" w:ascii="Times New Roman" w:hAnsi="Times New Roman" w:eastAsia="方正仿宋_GBK" w:cs="方正仿宋_GBK"/>
          <w:b w:val="0"/>
          <w:color w:val="000000" w:themeColor="text1"/>
          <w:sz w:val="32"/>
          <w:szCs w:val="32"/>
        </w:rPr>
        <w:t>579元/批次</w:t>
      </w:r>
      <w:r>
        <w:rPr>
          <w:rFonts w:hint="eastAsia" w:ascii="Times New Roman" w:hAnsi="Times New Roman" w:eastAsia="方正仿宋_GBK" w:cs="方正仿宋_GBK"/>
          <w:b w:val="0"/>
          <w:color w:val="000000" w:themeColor="text1"/>
          <w:sz w:val="32"/>
          <w:szCs w:val="32"/>
          <w:lang w:eastAsia="zh-CN"/>
        </w:rPr>
        <w:t>，</w:t>
      </w:r>
      <w:r>
        <w:rPr>
          <w:rFonts w:hint="eastAsia" w:ascii="Times New Roman" w:hAnsi="Times New Roman" w:eastAsia="方正仿宋_GBK" w:cs="方正仿宋_GBK"/>
          <w:b w:val="0"/>
          <w:color w:val="000000" w:themeColor="text1"/>
          <w:sz w:val="32"/>
          <w:szCs w:val="32"/>
          <w:lang w:val="en-US" w:eastAsia="zh-CN"/>
        </w:rPr>
        <w:t>实际完成值535元</w:t>
      </w:r>
      <w:r>
        <w:rPr>
          <w:rFonts w:hint="eastAsia" w:ascii="Times New Roman" w:hAnsi="Times New Roman" w:eastAsia="方正仿宋_GBK" w:cs="方正仿宋_GBK"/>
          <w:b w:val="0"/>
          <w:color w:val="000000" w:themeColor="text1"/>
          <w:sz w:val="32"/>
          <w:szCs w:val="32"/>
        </w:rPr>
        <w:t>/批次</w:t>
      </w:r>
      <w:r>
        <w:rPr>
          <w:rFonts w:hint="eastAsia" w:ascii="Times New Roman" w:hAnsi="Times New Roman" w:eastAsia="方正仿宋_GBK" w:cs="方正仿宋_GBK"/>
          <w:b w:val="0"/>
          <w:color w:val="000000" w:themeColor="text1"/>
          <w:sz w:val="32"/>
          <w:szCs w:val="32"/>
          <w:lang w:eastAsia="zh-CN"/>
        </w:rPr>
        <w:t>，</w:t>
      </w:r>
      <w:r>
        <w:rPr>
          <w:rFonts w:hint="eastAsia" w:ascii="Times New Roman" w:hAnsi="Times New Roman" w:eastAsia="方正仿宋_GBK" w:cs="方正仿宋_GBK"/>
          <w:b w:val="0"/>
          <w:color w:val="000000" w:themeColor="text1"/>
          <w:sz w:val="32"/>
          <w:szCs w:val="32"/>
          <w:lang w:val="en-US" w:eastAsia="zh-CN"/>
        </w:rPr>
        <w:t>指标完成率92.4%，偏差率7.6%，偏差原因：政采云检测成本成交价为535元</w:t>
      </w:r>
      <w:r>
        <w:rPr>
          <w:rFonts w:hint="eastAsia" w:ascii="Times New Roman" w:hAnsi="Times New Roman" w:eastAsia="方正仿宋_GBK" w:cs="方正仿宋_GBK"/>
          <w:b w:val="0"/>
          <w:color w:val="000000" w:themeColor="text1"/>
          <w:sz w:val="32"/>
          <w:szCs w:val="32"/>
        </w:rPr>
        <w:t>/批次</w:t>
      </w:r>
      <w:r>
        <w:rPr>
          <w:rFonts w:hint="eastAsia" w:ascii="Times New Roman" w:hAnsi="Times New Roman" w:eastAsia="方正仿宋_GBK" w:cs="方正仿宋_GBK"/>
          <w:b w:val="0"/>
          <w:color w:val="000000" w:themeColor="text1"/>
          <w:sz w:val="32"/>
          <w:szCs w:val="32"/>
          <w:lang w:eastAsia="zh-CN"/>
        </w:rPr>
        <w:t>，</w:t>
      </w:r>
      <w:r>
        <w:rPr>
          <w:rFonts w:hint="eastAsia" w:ascii="Times New Roman" w:hAnsi="Times New Roman" w:eastAsia="方正仿宋_GBK" w:cs="方正仿宋_GBK"/>
          <w:b w:val="0"/>
          <w:color w:val="000000" w:themeColor="text1"/>
          <w:sz w:val="32"/>
          <w:szCs w:val="32"/>
          <w:lang w:val="en-US" w:eastAsia="zh-CN"/>
        </w:rPr>
        <w:t>比预期成本价低44元。改进措施：今后加强指标设置精准度。项目经费都能控制绩效目标范围内，根据评</w:t>
      </w:r>
      <w:r>
        <w:rPr>
          <w:rFonts w:hint="eastAsia" w:ascii="Times New Roman" w:hAnsi="Times New Roman" w:eastAsia="方正仿宋_GBK" w:cs="方正仿宋_GBK"/>
          <w:b w:val="0"/>
          <w:color w:val="000000" w:themeColor="text1"/>
          <w:sz w:val="32"/>
          <w:szCs w:val="32"/>
        </w:rPr>
        <w:t>分标准，该指标扣</w:t>
      </w:r>
      <w:r>
        <w:rPr>
          <w:rFonts w:hint="eastAsia" w:ascii="Times New Roman" w:hAnsi="Times New Roman" w:eastAsia="方正仿宋_GBK" w:cs="方正仿宋_GBK"/>
          <w:b w:val="0"/>
          <w:color w:val="000000" w:themeColor="text1"/>
          <w:sz w:val="32"/>
          <w:szCs w:val="32"/>
          <w:lang w:val="en-US" w:eastAsia="zh-CN"/>
        </w:rPr>
        <w:t>0.38</w:t>
      </w:r>
      <w:r>
        <w:rPr>
          <w:rFonts w:hint="eastAsia" w:ascii="Times New Roman" w:hAnsi="Times New Roman" w:eastAsia="方正仿宋_GBK" w:cs="方正仿宋_GBK"/>
          <w:b w:val="0"/>
          <w:color w:val="000000" w:themeColor="text1"/>
          <w:sz w:val="32"/>
          <w:szCs w:val="32"/>
        </w:rPr>
        <w:t>分，得</w:t>
      </w:r>
      <w:r>
        <w:rPr>
          <w:rFonts w:hint="eastAsia" w:ascii="Times New Roman" w:hAnsi="Times New Roman" w:eastAsia="方正仿宋_GBK" w:cs="方正仿宋_GBK"/>
          <w:b w:val="0"/>
          <w:color w:val="000000" w:themeColor="text1"/>
          <w:sz w:val="32"/>
          <w:szCs w:val="32"/>
          <w:lang w:val="en-US" w:eastAsia="zh-CN"/>
        </w:rPr>
        <w:t>4.62</w:t>
      </w:r>
      <w:r>
        <w:rPr>
          <w:rFonts w:hint="eastAsia" w:ascii="Times New Roman" w:hAnsi="Times New Roman" w:eastAsia="方正仿宋_GBK" w:cs="方正仿宋_GBK"/>
          <w:b w:val="0"/>
          <w:color w:val="000000" w:themeColor="text1"/>
          <w:sz w:val="32"/>
          <w:szCs w:val="32"/>
        </w:rPr>
        <w:t>分。</w:t>
      </w:r>
    </w:p>
    <w:p>
      <w:pPr>
        <w:pStyle w:val="9"/>
        <w:pageBreakBefore w:val="0"/>
        <w:kinsoku/>
        <w:wordWrap/>
        <w:topLinePunct w:val="0"/>
        <w:autoSpaceDE/>
        <w:autoSpaceDN/>
        <w:bidi w:val="0"/>
        <w:spacing w:before="0" w:after="0" w:line="560" w:lineRule="exact"/>
        <w:ind w:firstLine="640"/>
        <w:jc w:val="both"/>
        <w:rPr>
          <w:rFonts w:hint="eastAsia" w:ascii="Times New Roman" w:hAnsi="Times New Roman" w:eastAsia="方正仿宋_GBK" w:cs="方正仿宋_GBK"/>
          <w:b w:val="0"/>
          <w:color w:val="000000" w:themeColor="text1"/>
          <w:sz w:val="32"/>
          <w:szCs w:val="32"/>
        </w:rPr>
      </w:pPr>
      <w:r>
        <w:rPr>
          <w:rFonts w:hint="eastAsia" w:ascii="Times New Roman" w:hAnsi="Times New Roman" w:eastAsia="方正仿宋_GBK" w:cs="方正仿宋_GBK"/>
          <w:b w:val="0"/>
          <w:color w:val="000000" w:themeColor="text1"/>
          <w:sz w:val="32"/>
          <w:szCs w:val="32"/>
          <w:lang w:val="en-US" w:eastAsia="zh-CN"/>
        </w:rPr>
        <w:t>项目其他相关经费成本指标，预期指 标为9000元，实际完成值6000元，指标完成率66.67%，偏差率33.33%，偏差原因：疫情原因，人员未产生差旅费，3千元差旅费未执行。改进措施：今后加强指标设置精准度。</w:t>
      </w:r>
      <w:r>
        <w:rPr>
          <w:rFonts w:hint="eastAsia" w:ascii="Times New Roman" w:hAnsi="Times New Roman" w:eastAsia="方正仿宋_GBK" w:cs="方正仿宋_GBK"/>
          <w:b w:val="0"/>
          <w:color w:val="000000" w:themeColor="text1"/>
          <w:sz w:val="32"/>
          <w:szCs w:val="32"/>
        </w:rPr>
        <w:t>项目经费都能控制绩效目标范围内，根据评分标准，该指标扣</w:t>
      </w:r>
      <w:r>
        <w:rPr>
          <w:rFonts w:hint="eastAsia" w:ascii="Times New Roman" w:hAnsi="Times New Roman" w:eastAsia="方正仿宋_GBK" w:cs="方正仿宋_GBK"/>
          <w:b w:val="0"/>
          <w:color w:val="000000" w:themeColor="text1"/>
          <w:sz w:val="32"/>
          <w:szCs w:val="32"/>
          <w:lang w:val="en-US" w:eastAsia="zh-CN"/>
        </w:rPr>
        <w:t>1.67</w:t>
      </w:r>
      <w:r>
        <w:rPr>
          <w:rFonts w:hint="eastAsia" w:ascii="Times New Roman" w:hAnsi="Times New Roman" w:eastAsia="方正仿宋_GBK" w:cs="方正仿宋_GBK"/>
          <w:b w:val="0"/>
          <w:color w:val="000000" w:themeColor="text1"/>
          <w:sz w:val="32"/>
          <w:szCs w:val="32"/>
        </w:rPr>
        <w:t>分，得</w:t>
      </w:r>
      <w:r>
        <w:rPr>
          <w:rFonts w:hint="eastAsia" w:ascii="Times New Roman" w:hAnsi="Times New Roman" w:eastAsia="方正仿宋_GBK" w:cs="方正仿宋_GBK"/>
          <w:b w:val="0"/>
          <w:color w:val="000000" w:themeColor="text1"/>
          <w:sz w:val="32"/>
          <w:szCs w:val="32"/>
          <w:lang w:val="en-US" w:eastAsia="zh-CN"/>
        </w:rPr>
        <w:t>3.33</w:t>
      </w:r>
      <w:r>
        <w:rPr>
          <w:rFonts w:hint="eastAsia" w:ascii="Times New Roman" w:hAnsi="Times New Roman" w:eastAsia="方正仿宋_GBK" w:cs="方正仿宋_GBK"/>
          <w:b w:val="0"/>
          <w:color w:val="000000" w:themeColor="text1"/>
          <w:sz w:val="32"/>
          <w:szCs w:val="32"/>
        </w:rPr>
        <w:t>分。</w:t>
      </w:r>
    </w:p>
    <w:p>
      <w:pPr>
        <w:pStyle w:val="9"/>
        <w:pageBreakBefore w:val="0"/>
        <w:kinsoku/>
        <w:wordWrap/>
        <w:topLinePunct w:val="0"/>
        <w:autoSpaceDE/>
        <w:autoSpaceDN/>
        <w:bidi w:val="0"/>
        <w:spacing w:before="0" w:after="0" w:line="560" w:lineRule="exact"/>
        <w:ind w:firstLine="640"/>
        <w:jc w:val="both"/>
        <w:rPr>
          <w:rFonts w:hint="eastAsia" w:ascii="Times New Roman" w:hAnsi="Times New Roman" w:eastAsia="方正仿宋_GBK" w:cs="方正仿宋_GBK"/>
          <w:b w:val="0"/>
          <w:color w:val="000000" w:themeColor="text1"/>
          <w:sz w:val="32"/>
          <w:szCs w:val="32"/>
        </w:rPr>
      </w:pPr>
      <w:r>
        <w:rPr>
          <w:rFonts w:hint="eastAsia" w:ascii="Times New Roman" w:hAnsi="Times New Roman" w:eastAsia="方正仿宋_GBK" w:cs="方正仿宋_GBK"/>
          <w:b w:val="0"/>
          <w:color w:val="000000" w:themeColor="text1"/>
          <w:sz w:val="32"/>
          <w:szCs w:val="32"/>
        </w:rPr>
        <w:t>合计得</w:t>
      </w:r>
      <w:r>
        <w:rPr>
          <w:rFonts w:hint="eastAsia" w:ascii="Times New Roman" w:hAnsi="Times New Roman" w:eastAsia="方正仿宋_GBK" w:cs="方正仿宋_GBK"/>
          <w:b w:val="0"/>
          <w:color w:val="000000" w:themeColor="text1"/>
          <w:sz w:val="32"/>
          <w:szCs w:val="32"/>
          <w:lang w:val="en-US" w:eastAsia="zh-CN"/>
        </w:rPr>
        <w:t>7.95</w:t>
      </w:r>
      <w:r>
        <w:rPr>
          <w:rFonts w:hint="eastAsia" w:ascii="Times New Roman" w:hAnsi="Times New Roman" w:eastAsia="方正仿宋_GBK" w:cs="方正仿宋_GBK"/>
          <w:b w:val="0"/>
          <w:color w:val="000000" w:themeColor="text1"/>
          <w:sz w:val="32"/>
          <w:szCs w:val="32"/>
        </w:rPr>
        <w:t>分。</w:t>
      </w:r>
    </w:p>
    <w:p>
      <w:pPr>
        <w:pStyle w:val="15"/>
        <w:keepNext/>
        <w:keepLines/>
        <w:pageBreakBefore w:val="0"/>
        <w:widowControl w:val="0"/>
        <w:kinsoku/>
        <w:wordWrap/>
        <w:overflowPunct/>
        <w:topLinePunct w:val="0"/>
        <w:autoSpaceDE/>
        <w:autoSpaceDN/>
        <w:bidi w:val="0"/>
        <w:adjustRightInd/>
        <w:snapToGrid/>
        <w:spacing w:line="560" w:lineRule="exact"/>
        <w:ind w:left="560"/>
        <w:textAlignment w:val="auto"/>
        <w:rPr>
          <w:rFonts w:hint="eastAsia" w:ascii="方正楷体_GBK" w:hAnsi="方正楷体_GBK" w:eastAsia="方正楷体_GBK" w:cs="方正楷体_GBK"/>
          <w:b/>
          <w:bCs/>
          <w:sz w:val="32"/>
        </w:rPr>
      </w:pPr>
      <w:r>
        <w:rPr>
          <w:rFonts w:hint="eastAsia" w:ascii="方正楷体_GBK" w:hAnsi="方正楷体_GBK" w:eastAsia="方正楷体_GBK" w:cs="方正楷体_GBK"/>
          <w:b/>
          <w:bCs/>
          <w:sz w:val="32"/>
        </w:rPr>
        <w:t>（四）项目效益情况</w:t>
      </w:r>
    </w:p>
    <w:p>
      <w:pPr>
        <w:pageBreakBefore w:val="0"/>
        <w:kinsoku/>
        <w:wordWrap/>
        <w:topLinePunct w:val="0"/>
        <w:autoSpaceDE/>
        <w:autoSpaceDN/>
        <w:bidi w:val="0"/>
        <w:spacing w:line="560" w:lineRule="exact"/>
        <w:ind w:firstLine="640"/>
        <w:rPr>
          <w:rFonts w:hint="eastAsia" w:ascii="Times New Roman" w:hAnsi="Times New Roman" w:eastAsia="方正仿宋_GBK" w:cs="方正仿宋_GBK"/>
        </w:rPr>
      </w:pPr>
      <w:r>
        <w:rPr>
          <w:rFonts w:hint="eastAsia" w:ascii="Times New Roman" w:hAnsi="Times New Roman" w:eastAsia="方正仿宋_GBK" w:cs="方正仿宋_GBK"/>
          <w:sz w:val="32"/>
          <w:szCs w:val="32"/>
        </w:rPr>
        <w:t>项目效益类指标包括项目效益1个方面的内容，由2个三级指标构成，权重分为20分，实际得分20分，得分率为100%。</w:t>
      </w:r>
    </w:p>
    <w:p>
      <w:pPr>
        <w:pageBreakBefore w:val="0"/>
        <w:kinsoku/>
        <w:wordWrap/>
        <w:topLinePunct w:val="0"/>
        <w:autoSpaceDE/>
        <w:autoSpaceDN/>
        <w:bidi w:val="0"/>
        <w:spacing w:line="560" w:lineRule="exact"/>
        <w:ind w:firstLine="640"/>
        <w:jc w:val="center"/>
        <w:rPr>
          <w:rFonts w:hint="eastAsia" w:ascii="Times New Roman" w:hAnsi="Times New Roman" w:eastAsia="方正仿宋_GBK" w:cs="方正仿宋_GBK"/>
          <w:color w:val="000000"/>
          <w:kern w:val="0"/>
          <w:sz w:val="32"/>
          <w:szCs w:val="32"/>
        </w:rPr>
      </w:pPr>
      <w:r>
        <w:rPr>
          <w:rFonts w:hint="eastAsia" w:ascii="Times New Roman" w:hAnsi="Times New Roman" w:eastAsia="方正仿宋_GBK" w:cs="方正仿宋_GBK"/>
          <w:color w:val="000000"/>
          <w:kern w:val="0"/>
          <w:sz w:val="32"/>
          <w:szCs w:val="32"/>
        </w:rPr>
        <w:t>项目绩效指标得分情况</w:t>
      </w:r>
    </w:p>
    <w:tbl>
      <w:tblPr>
        <w:tblStyle w:val="12"/>
        <w:tblW w:w="8327" w:type="dxa"/>
        <w:tblInd w:w="0" w:type="dxa"/>
        <w:tblLayout w:type="fixed"/>
        <w:tblCellMar>
          <w:top w:w="0" w:type="dxa"/>
          <w:left w:w="0" w:type="dxa"/>
          <w:bottom w:w="0" w:type="dxa"/>
          <w:right w:w="0" w:type="dxa"/>
        </w:tblCellMar>
      </w:tblPr>
      <w:tblGrid>
        <w:gridCol w:w="2417"/>
        <w:gridCol w:w="1761"/>
        <w:gridCol w:w="1784"/>
        <w:gridCol w:w="2365"/>
      </w:tblGrid>
      <w:tr>
        <w:tblPrEx>
          <w:tblCellMar>
            <w:top w:w="0" w:type="dxa"/>
            <w:left w:w="0" w:type="dxa"/>
            <w:bottom w:w="0" w:type="dxa"/>
            <w:right w:w="0" w:type="dxa"/>
          </w:tblCellMar>
        </w:tblPrEx>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rPr>
            </w:pPr>
            <w:r>
              <w:rPr>
                <w:rFonts w:hint="eastAsia" w:ascii="Times New Roman" w:hAnsi="Times New Roman" w:eastAsia="方正仿宋_GBK" w:cs="方正仿宋_GBK"/>
              </w:rPr>
              <w:t>三级指标</w:t>
            </w:r>
          </w:p>
        </w:tc>
        <w:tc>
          <w:tcPr>
            <w:tcW w:w="176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rPr>
            </w:pPr>
            <w:r>
              <w:rPr>
                <w:rFonts w:hint="eastAsia" w:ascii="Times New Roman" w:hAnsi="Times New Roman" w:eastAsia="方正仿宋_GBK" w:cs="方正仿宋_GBK"/>
              </w:rPr>
              <w:t>权重</w:t>
            </w:r>
          </w:p>
        </w:tc>
        <w:tc>
          <w:tcPr>
            <w:tcW w:w="178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rPr>
            </w:pPr>
            <w:r>
              <w:rPr>
                <w:rFonts w:hint="eastAsia" w:ascii="Times New Roman" w:hAnsi="Times New Roman" w:eastAsia="方正仿宋_GBK" w:cs="方正仿宋_GBK"/>
              </w:rPr>
              <w:t>得分率</w:t>
            </w:r>
          </w:p>
        </w:tc>
        <w:tc>
          <w:tcPr>
            <w:tcW w:w="236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rPr>
            </w:pPr>
            <w:r>
              <w:rPr>
                <w:rFonts w:hint="eastAsia" w:ascii="Times New Roman" w:hAnsi="Times New Roman" w:eastAsia="方正仿宋_GBK" w:cs="方正仿宋_GBK"/>
              </w:rPr>
              <w:t>实际得分</w:t>
            </w:r>
          </w:p>
        </w:tc>
      </w:tr>
      <w:tr>
        <w:tblPrEx>
          <w:tblCellMar>
            <w:top w:w="0" w:type="dxa"/>
            <w:left w:w="0" w:type="dxa"/>
            <w:bottom w:w="0" w:type="dxa"/>
            <w:right w:w="0" w:type="dxa"/>
          </w:tblCellMar>
        </w:tblPrEx>
        <w:trPr>
          <w:trHeight w:val="400" w:hRule="atLeast"/>
        </w:trPr>
        <w:tc>
          <w:tcPr>
            <w:tcW w:w="2417" w:type="dxa"/>
            <w:vMerge w:val="restart"/>
            <w:tcBorders>
              <w:top w:val="single" w:color="000000" w:sz="4" w:space="0"/>
              <w:left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rPr>
            </w:pPr>
            <w:r>
              <w:rPr>
                <w:rFonts w:hint="eastAsia" w:ascii="Times New Roman" w:hAnsi="Times New Roman" w:eastAsia="方正仿宋_GBK" w:cs="方正仿宋_GBK"/>
              </w:rPr>
              <w:t>实施效益</w:t>
            </w:r>
          </w:p>
        </w:tc>
        <w:tc>
          <w:tcPr>
            <w:tcW w:w="1761" w:type="dxa"/>
            <w:vMerge w:val="restart"/>
            <w:tcBorders>
              <w:top w:val="single" w:color="000000" w:sz="4" w:space="0"/>
              <w:left w:val="single" w:color="000000" w:sz="4" w:space="0"/>
              <w:right w:val="single" w:color="000000" w:sz="4" w:space="0"/>
            </w:tcBorders>
            <w:shd w:val="clear" w:color="auto" w:fill="auto"/>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rPr>
            </w:pPr>
            <w:r>
              <w:rPr>
                <w:rFonts w:hint="eastAsia" w:ascii="Times New Roman" w:hAnsi="Times New Roman" w:eastAsia="方正仿宋_GBK" w:cs="方正仿宋_GBK"/>
              </w:rPr>
              <w:t>10</w:t>
            </w:r>
          </w:p>
        </w:tc>
        <w:tc>
          <w:tcPr>
            <w:tcW w:w="1784" w:type="dxa"/>
            <w:vMerge w:val="restart"/>
            <w:tcBorders>
              <w:top w:val="single" w:color="000000" w:sz="4" w:space="0"/>
              <w:left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rPr>
            </w:pPr>
            <w:r>
              <w:rPr>
                <w:rFonts w:hint="eastAsia" w:ascii="Times New Roman" w:hAnsi="Times New Roman" w:eastAsia="方正仿宋_GBK" w:cs="方正仿宋_GBK"/>
              </w:rPr>
              <w:t>100%</w:t>
            </w:r>
          </w:p>
        </w:tc>
        <w:tc>
          <w:tcPr>
            <w:tcW w:w="2365" w:type="dxa"/>
            <w:vMerge w:val="restart"/>
            <w:tcBorders>
              <w:top w:val="single" w:color="000000" w:sz="4" w:space="0"/>
              <w:left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rPr>
            </w:pPr>
            <w:r>
              <w:rPr>
                <w:rFonts w:hint="eastAsia" w:ascii="Times New Roman" w:hAnsi="Times New Roman" w:eastAsia="方正仿宋_GBK" w:cs="方正仿宋_GBK"/>
              </w:rPr>
              <w:t>10</w:t>
            </w:r>
          </w:p>
        </w:tc>
      </w:tr>
      <w:tr>
        <w:tblPrEx>
          <w:tblCellMar>
            <w:top w:w="0" w:type="dxa"/>
            <w:left w:w="0" w:type="dxa"/>
            <w:bottom w:w="0" w:type="dxa"/>
            <w:right w:w="0" w:type="dxa"/>
          </w:tblCellMar>
        </w:tblPrEx>
        <w:trPr>
          <w:trHeight w:val="624" w:hRule="atLeast"/>
        </w:trPr>
        <w:tc>
          <w:tcPr>
            <w:tcW w:w="2417" w:type="dxa"/>
            <w:vMerge w:val="continue"/>
            <w:tcBorders>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560"/>
              <w:rPr>
                <w:rFonts w:hint="eastAsia" w:ascii="Times New Roman" w:hAnsi="Times New Roman" w:eastAsia="方正仿宋_GBK" w:cs="方正仿宋_GBK"/>
              </w:rPr>
            </w:pPr>
          </w:p>
        </w:tc>
        <w:tc>
          <w:tcPr>
            <w:tcW w:w="1761" w:type="dxa"/>
            <w:vMerge w:val="continue"/>
            <w:tcBorders>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pageBreakBefore w:val="0"/>
              <w:kinsoku/>
              <w:wordWrap/>
              <w:topLinePunct w:val="0"/>
              <w:autoSpaceDE/>
              <w:autoSpaceDN/>
              <w:bidi w:val="0"/>
              <w:spacing w:line="560" w:lineRule="exact"/>
              <w:ind w:firstLine="560"/>
              <w:rPr>
                <w:rFonts w:hint="eastAsia" w:ascii="Times New Roman" w:hAnsi="Times New Roman" w:eastAsia="方正仿宋_GBK" w:cs="方正仿宋_GBK"/>
              </w:rPr>
            </w:pPr>
          </w:p>
        </w:tc>
        <w:tc>
          <w:tcPr>
            <w:tcW w:w="1784" w:type="dxa"/>
            <w:vMerge w:val="continue"/>
            <w:tcBorders>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560"/>
              <w:rPr>
                <w:rFonts w:hint="eastAsia" w:ascii="Times New Roman" w:hAnsi="Times New Roman" w:eastAsia="方正仿宋_GBK" w:cs="方正仿宋_GBK"/>
              </w:rPr>
            </w:pPr>
          </w:p>
        </w:tc>
        <w:tc>
          <w:tcPr>
            <w:tcW w:w="2365" w:type="dxa"/>
            <w:vMerge w:val="continue"/>
            <w:tcBorders>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560"/>
              <w:rPr>
                <w:rFonts w:hint="eastAsia" w:ascii="Times New Roman" w:hAnsi="Times New Roman" w:eastAsia="方正仿宋_GBK" w:cs="方正仿宋_GBK"/>
              </w:rPr>
            </w:pPr>
          </w:p>
        </w:tc>
      </w:tr>
      <w:tr>
        <w:tblPrEx>
          <w:tblCellMar>
            <w:top w:w="0" w:type="dxa"/>
            <w:left w:w="0" w:type="dxa"/>
            <w:bottom w:w="0" w:type="dxa"/>
            <w:right w:w="0" w:type="dxa"/>
          </w:tblCellMar>
        </w:tblPrEx>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rPr>
            </w:pPr>
            <w:r>
              <w:rPr>
                <w:rFonts w:hint="eastAsia" w:ascii="Times New Roman" w:hAnsi="Times New Roman" w:eastAsia="方正仿宋_GBK" w:cs="方正仿宋_GBK"/>
              </w:rPr>
              <w:t>满意度</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rPr>
            </w:pPr>
            <w:r>
              <w:rPr>
                <w:rFonts w:hint="eastAsia" w:ascii="Times New Roman" w:hAnsi="Times New Roman" w:eastAsia="方正仿宋_GBK" w:cs="方正仿宋_GBK"/>
              </w:rPr>
              <w:t>10</w:t>
            </w:r>
          </w:p>
        </w:tc>
        <w:tc>
          <w:tcPr>
            <w:tcW w:w="1784"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rPr>
            </w:pPr>
            <w:r>
              <w:rPr>
                <w:rFonts w:hint="eastAsia" w:ascii="Times New Roman" w:hAnsi="Times New Roman" w:eastAsia="方正仿宋_GBK" w:cs="方正仿宋_GBK"/>
              </w:rPr>
              <w:t>100%</w:t>
            </w:r>
          </w:p>
        </w:tc>
        <w:tc>
          <w:tcPr>
            <w:tcW w:w="236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rPr>
            </w:pPr>
            <w:r>
              <w:rPr>
                <w:rFonts w:hint="eastAsia" w:ascii="Times New Roman" w:hAnsi="Times New Roman" w:eastAsia="方正仿宋_GBK" w:cs="方正仿宋_GBK"/>
              </w:rPr>
              <w:t>10</w:t>
            </w:r>
          </w:p>
        </w:tc>
      </w:tr>
      <w:tr>
        <w:tblPrEx>
          <w:tblCellMar>
            <w:top w:w="0" w:type="dxa"/>
            <w:left w:w="0" w:type="dxa"/>
            <w:bottom w:w="0" w:type="dxa"/>
            <w:right w:w="0" w:type="dxa"/>
          </w:tblCellMar>
        </w:tblPrEx>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rPr>
            </w:pPr>
            <w:r>
              <w:rPr>
                <w:rFonts w:hint="eastAsia" w:ascii="Times New Roman" w:hAnsi="Times New Roman" w:eastAsia="方正仿宋_GBK" w:cs="方正仿宋_GBK"/>
              </w:rPr>
              <w:t>合计</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rPr>
            </w:pPr>
            <w:r>
              <w:rPr>
                <w:rFonts w:hint="eastAsia" w:ascii="Times New Roman" w:hAnsi="Times New Roman" w:eastAsia="方正仿宋_GBK" w:cs="方正仿宋_GBK"/>
              </w:rPr>
              <w:t>20</w:t>
            </w:r>
          </w:p>
        </w:tc>
        <w:tc>
          <w:tcPr>
            <w:tcW w:w="1784"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rPr>
            </w:pPr>
            <w:r>
              <w:rPr>
                <w:rFonts w:hint="eastAsia" w:ascii="Times New Roman" w:hAnsi="Times New Roman" w:eastAsia="方正仿宋_GBK" w:cs="方正仿宋_GBK"/>
              </w:rPr>
              <w:t>100%</w:t>
            </w:r>
          </w:p>
        </w:tc>
        <w:tc>
          <w:tcPr>
            <w:tcW w:w="236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rPr>
            </w:pPr>
            <w:r>
              <w:rPr>
                <w:rFonts w:hint="eastAsia" w:ascii="Times New Roman" w:hAnsi="Times New Roman" w:eastAsia="方正仿宋_GBK" w:cs="方正仿宋_GBK"/>
              </w:rPr>
              <w:t>20</w:t>
            </w:r>
          </w:p>
        </w:tc>
      </w:tr>
    </w:tbl>
    <w:p>
      <w:pPr>
        <w:pageBreakBefore w:val="0"/>
        <w:kinsoku/>
        <w:wordWrap/>
        <w:overflowPunct w:val="0"/>
        <w:topLinePunct w:val="0"/>
        <w:autoSpaceDE/>
        <w:autoSpaceDN/>
        <w:bidi w:val="0"/>
        <w:spacing w:line="560" w:lineRule="exact"/>
        <w:ind w:firstLine="643"/>
        <w:contextualSpacing/>
        <w:rPr>
          <w:rFonts w:hint="eastAsia" w:ascii="Times New Roman" w:hAnsi="Times New Roman" w:eastAsia="方正仿宋_GBK" w:cs="方正仿宋_GBK"/>
          <w:b/>
          <w:bCs/>
          <w:sz w:val="32"/>
          <w:szCs w:val="32"/>
        </w:rPr>
      </w:pPr>
      <w:r>
        <w:rPr>
          <w:rFonts w:hint="eastAsia" w:ascii="Times New Roman" w:hAnsi="Times New Roman" w:eastAsia="方正仿宋_GBK" w:cs="方正仿宋_GBK"/>
          <w:b/>
          <w:bCs/>
          <w:sz w:val="32"/>
          <w:szCs w:val="32"/>
          <w:lang w:val="en-US" w:eastAsia="zh-CN"/>
        </w:rPr>
        <w:t>1.</w:t>
      </w:r>
      <w:r>
        <w:rPr>
          <w:rFonts w:hint="eastAsia" w:ascii="Times New Roman" w:hAnsi="Times New Roman" w:eastAsia="方正仿宋_GBK" w:cs="方正仿宋_GBK"/>
          <w:b/>
          <w:bCs/>
          <w:sz w:val="32"/>
          <w:szCs w:val="32"/>
        </w:rPr>
        <w:t>实施效益指标：</w:t>
      </w:r>
    </w:p>
    <w:p>
      <w:pPr>
        <w:pageBreakBefore w:val="0"/>
        <w:kinsoku/>
        <w:wordWrap/>
        <w:topLinePunct w:val="0"/>
        <w:autoSpaceDE/>
        <w:autoSpaceDN/>
        <w:bidi w:val="0"/>
        <w:spacing w:line="560" w:lineRule="exact"/>
        <w:ind w:firstLine="643"/>
        <w:rPr>
          <w:rFonts w:hint="eastAsia" w:ascii="Times New Roman" w:hAnsi="Times New Roman" w:eastAsia="方正仿宋_GBK" w:cs="方正仿宋_GBK"/>
          <w:b/>
          <w:bCs/>
          <w:sz w:val="32"/>
          <w:szCs w:val="32"/>
        </w:rPr>
      </w:pPr>
      <w:r>
        <w:rPr>
          <w:rFonts w:hint="eastAsia" w:ascii="Times New Roman" w:hAnsi="Times New Roman" w:eastAsia="方正仿宋_GBK" w:cs="方正仿宋_GBK"/>
          <w:b/>
          <w:bCs/>
          <w:sz w:val="32"/>
          <w:szCs w:val="32"/>
          <w:lang w:eastAsia="zh-CN"/>
        </w:rPr>
        <w:t>（</w:t>
      </w:r>
      <w:r>
        <w:rPr>
          <w:rFonts w:hint="eastAsia" w:ascii="Times New Roman" w:hAnsi="Times New Roman" w:eastAsia="方正仿宋_GBK" w:cs="方正仿宋_GBK"/>
          <w:b/>
          <w:bCs/>
          <w:sz w:val="32"/>
          <w:szCs w:val="32"/>
          <w:lang w:val="en-US" w:eastAsia="zh-CN"/>
        </w:rPr>
        <w:t>1</w:t>
      </w:r>
      <w:r>
        <w:rPr>
          <w:rFonts w:hint="eastAsia" w:ascii="Times New Roman" w:hAnsi="Times New Roman" w:eastAsia="方正仿宋_GBK" w:cs="方正仿宋_GBK"/>
          <w:b/>
          <w:bCs/>
          <w:sz w:val="32"/>
          <w:szCs w:val="32"/>
          <w:lang w:eastAsia="zh-CN"/>
        </w:rPr>
        <w:t>）</w:t>
      </w:r>
      <w:r>
        <w:rPr>
          <w:rFonts w:hint="eastAsia" w:ascii="Times New Roman" w:hAnsi="Times New Roman" w:eastAsia="方正仿宋_GBK" w:cs="方正仿宋_GBK"/>
          <w:b/>
          <w:bCs/>
          <w:sz w:val="32"/>
          <w:szCs w:val="32"/>
        </w:rPr>
        <w:t>对于“社会效益指标”：</w:t>
      </w:r>
    </w:p>
    <w:p>
      <w:pPr>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000000" w:themeColor="text1"/>
          <w:sz w:val="32"/>
          <w:szCs w:val="32"/>
        </w:rPr>
      </w:pPr>
      <w:r>
        <w:rPr>
          <w:rFonts w:hint="eastAsia" w:ascii="Times New Roman" w:hAnsi="Times New Roman" w:eastAsia="方正仿宋_GBK" w:cs="方正仿宋_GBK"/>
          <w:color w:val="000000" w:themeColor="text1"/>
          <w:sz w:val="32"/>
          <w:szCs w:val="32"/>
        </w:rPr>
        <w:t>有效促进养殖环节科学合理用药</w:t>
      </w:r>
      <w:r>
        <w:rPr>
          <w:rFonts w:hint="eastAsia" w:ascii="Times New Roman" w:hAnsi="Times New Roman" w:eastAsia="方正仿宋_GBK" w:cs="方正仿宋_GBK"/>
          <w:color w:val="000000" w:themeColor="text1"/>
          <w:sz w:val="32"/>
          <w:szCs w:val="32"/>
          <w:lang w:val="en-US" w:eastAsia="zh-CN"/>
        </w:rPr>
        <w:t>社会效益指标指标</w:t>
      </w:r>
      <w:r>
        <w:rPr>
          <w:rFonts w:hint="eastAsia" w:ascii="Times New Roman" w:hAnsi="Times New Roman" w:eastAsia="方正仿宋_GBK" w:cs="方正仿宋_GBK"/>
          <w:color w:val="000000" w:themeColor="text1"/>
          <w:sz w:val="32"/>
          <w:szCs w:val="32"/>
        </w:rPr>
        <w:t>，</w:t>
      </w:r>
      <w:r>
        <w:rPr>
          <w:rFonts w:hint="eastAsia" w:ascii="Times New Roman" w:hAnsi="Times New Roman" w:eastAsia="方正仿宋_GBK" w:cs="方正仿宋_GBK"/>
          <w:color w:val="000000" w:themeColor="text1"/>
          <w:sz w:val="32"/>
          <w:szCs w:val="32"/>
          <w:lang w:val="en-US" w:eastAsia="zh-CN"/>
        </w:rPr>
        <w:t>预期指标为有效促进，实际完成值为有效促进，</w:t>
      </w:r>
      <w:r>
        <w:rPr>
          <w:rFonts w:hint="eastAsia" w:ascii="Times New Roman" w:hAnsi="Times New Roman" w:eastAsia="方正仿宋_GBK" w:cs="方正仿宋_GBK"/>
          <w:b w:val="0"/>
          <w:color w:val="000000" w:themeColor="text1"/>
          <w:sz w:val="32"/>
          <w:szCs w:val="32"/>
          <w:lang w:val="en-US" w:eastAsia="zh-CN"/>
        </w:rPr>
        <w:t>指标完成率100%，</w:t>
      </w:r>
      <w:r>
        <w:rPr>
          <w:rFonts w:hint="eastAsia" w:ascii="Times New Roman" w:hAnsi="Times New Roman" w:eastAsia="方正仿宋_GBK" w:cs="方正仿宋_GBK"/>
          <w:color w:val="000000" w:themeColor="text1"/>
          <w:sz w:val="32"/>
          <w:szCs w:val="32"/>
        </w:rPr>
        <w:t>与预期指标一致，根据评分标准，该指标不扣分，得</w:t>
      </w:r>
      <w:r>
        <w:rPr>
          <w:rFonts w:hint="eastAsia" w:ascii="Times New Roman" w:hAnsi="Times New Roman" w:eastAsia="方正仿宋_GBK" w:cs="方正仿宋_GBK"/>
          <w:color w:val="000000" w:themeColor="text1"/>
          <w:sz w:val="32"/>
          <w:szCs w:val="32"/>
          <w:lang w:val="en-US" w:eastAsia="zh-CN"/>
        </w:rPr>
        <w:t>10</w:t>
      </w:r>
      <w:r>
        <w:rPr>
          <w:rFonts w:hint="eastAsia" w:ascii="Times New Roman" w:hAnsi="Times New Roman" w:eastAsia="方正仿宋_GBK" w:cs="方正仿宋_GBK"/>
          <w:color w:val="000000" w:themeColor="text1"/>
          <w:sz w:val="32"/>
          <w:szCs w:val="32"/>
        </w:rPr>
        <w:t>分。</w:t>
      </w:r>
    </w:p>
    <w:p>
      <w:pPr>
        <w:pageBreakBefore w:val="0"/>
        <w:kinsoku/>
        <w:wordWrap/>
        <w:topLinePunct w:val="0"/>
        <w:autoSpaceDE/>
        <w:autoSpaceDN/>
        <w:bidi w:val="0"/>
        <w:spacing w:line="560" w:lineRule="exact"/>
        <w:ind w:firstLine="643"/>
        <w:rPr>
          <w:rFonts w:hint="eastAsia" w:ascii="Times New Roman" w:hAnsi="Times New Roman" w:eastAsia="方正仿宋_GBK" w:cs="方正仿宋_GBK"/>
          <w:b/>
          <w:bCs/>
          <w:sz w:val="32"/>
          <w:szCs w:val="32"/>
        </w:rPr>
      </w:pPr>
      <w:r>
        <w:rPr>
          <w:rFonts w:hint="eastAsia" w:ascii="Times New Roman" w:hAnsi="Times New Roman" w:eastAsia="方正仿宋_GBK" w:cs="方正仿宋_GBK"/>
          <w:b/>
          <w:bCs/>
          <w:sz w:val="32"/>
          <w:szCs w:val="32"/>
          <w:lang w:eastAsia="zh-CN"/>
        </w:rPr>
        <w:t>（</w:t>
      </w:r>
      <w:r>
        <w:rPr>
          <w:rFonts w:hint="eastAsia" w:ascii="Times New Roman" w:hAnsi="Times New Roman" w:eastAsia="方正仿宋_GBK" w:cs="方正仿宋_GBK"/>
          <w:b/>
          <w:bCs/>
          <w:sz w:val="32"/>
          <w:szCs w:val="32"/>
          <w:lang w:val="en-US" w:eastAsia="zh-CN"/>
        </w:rPr>
        <w:t>2</w:t>
      </w:r>
      <w:r>
        <w:rPr>
          <w:rFonts w:hint="eastAsia" w:ascii="Times New Roman" w:hAnsi="Times New Roman" w:eastAsia="方正仿宋_GBK" w:cs="方正仿宋_GBK"/>
          <w:b/>
          <w:bCs/>
          <w:sz w:val="32"/>
          <w:szCs w:val="32"/>
          <w:lang w:eastAsia="zh-CN"/>
        </w:rPr>
        <w:t>）</w:t>
      </w:r>
      <w:r>
        <w:rPr>
          <w:rFonts w:hint="eastAsia" w:ascii="Times New Roman" w:hAnsi="Times New Roman" w:eastAsia="方正仿宋_GBK" w:cs="方正仿宋_GBK"/>
          <w:b/>
          <w:bCs/>
          <w:sz w:val="32"/>
          <w:szCs w:val="32"/>
        </w:rPr>
        <w:t>对于“可持续影响指标”：</w:t>
      </w:r>
    </w:p>
    <w:p>
      <w:pPr>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000000" w:themeColor="text1"/>
          <w:sz w:val="32"/>
          <w:szCs w:val="32"/>
        </w:rPr>
      </w:pPr>
      <w:r>
        <w:rPr>
          <w:rFonts w:hint="eastAsia" w:ascii="Times New Roman" w:hAnsi="Times New Roman" w:eastAsia="方正仿宋_GBK" w:cs="方正仿宋_GBK"/>
          <w:color w:val="000000" w:themeColor="text1"/>
          <w:sz w:val="32"/>
          <w:szCs w:val="32"/>
        </w:rPr>
        <w:t>保障我区动物及动物产品质量安全</w:t>
      </w:r>
      <w:r>
        <w:rPr>
          <w:rFonts w:hint="eastAsia" w:ascii="Times New Roman" w:hAnsi="Times New Roman" w:eastAsia="方正仿宋_GBK" w:cs="方正仿宋_GBK"/>
          <w:color w:val="000000" w:themeColor="text1"/>
          <w:sz w:val="32"/>
          <w:szCs w:val="32"/>
          <w:lang w:val="en-US" w:eastAsia="zh-CN"/>
        </w:rPr>
        <w:t>可持续影响指标</w:t>
      </w:r>
      <w:r>
        <w:rPr>
          <w:rFonts w:hint="eastAsia" w:ascii="Times New Roman" w:hAnsi="Times New Roman" w:eastAsia="方正仿宋_GBK" w:cs="方正仿宋_GBK"/>
          <w:color w:val="000000" w:themeColor="text1"/>
          <w:sz w:val="32"/>
          <w:szCs w:val="32"/>
        </w:rPr>
        <w:t>，</w:t>
      </w:r>
      <w:r>
        <w:rPr>
          <w:rFonts w:hint="eastAsia" w:ascii="Times New Roman" w:hAnsi="Times New Roman" w:eastAsia="方正仿宋_GBK" w:cs="方正仿宋_GBK"/>
          <w:color w:val="000000" w:themeColor="text1"/>
          <w:sz w:val="32"/>
          <w:szCs w:val="32"/>
          <w:lang w:val="en-US" w:eastAsia="zh-CN"/>
        </w:rPr>
        <w:t>预期指标1年，实际完成值1年，</w:t>
      </w:r>
      <w:r>
        <w:rPr>
          <w:rFonts w:hint="eastAsia" w:ascii="Times New Roman" w:hAnsi="Times New Roman" w:eastAsia="方正仿宋_GBK" w:cs="方正仿宋_GBK"/>
          <w:b w:val="0"/>
          <w:color w:val="000000" w:themeColor="text1"/>
          <w:sz w:val="32"/>
          <w:szCs w:val="32"/>
          <w:lang w:val="en-US" w:eastAsia="zh-CN"/>
        </w:rPr>
        <w:t>指标完成率100%，</w:t>
      </w:r>
      <w:r>
        <w:rPr>
          <w:rFonts w:hint="eastAsia" w:ascii="Times New Roman" w:hAnsi="Times New Roman" w:eastAsia="方正仿宋_GBK" w:cs="方正仿宋_GBK"/>
          <w:color w:val="000000" w:themeColor="text1"/>
          <w:sz w:val="32"/>
          <w:szCs w:val="32"/>
        </w:rPr>
        <w:t>与预期指标一致，根据评分标准，该指标不扣分，得10分。</w:t>
      </w:r>
    </w:p>
    <w:p>
      <w:pPr>
        <w:pStyle w:val="9"/>
        <w:pageBreakBefore w:val="0"/>
        <w:kinsoku/>
        <w:wordWrap/>
        <w:topLinePunct w:val="0"/>
        <w:autoSpaceDE/>
        <w:autoSpaceDN/>
        <w:bidi w:val="0"/>
        <w:spacing w:before="0" w:after="0" w:line="560" w:lineRule="exact"/>
        <w:ind w:firstLine="640"/>
        <w:jc w:val="both"/>
        <w:rPr>
          <w:rFonts w:hint="eastAsia" w:ascii="Times New Roman" w:hAnsi="Times New Roman" w:eastAsia="方正仿宋_GBK" w:cs="方正仿宋_GBK"/>
          <w:b w:val="0"/>
          <w:color w:val="FF0000"/>
          <w:sz w:val="32"/>
          <w:szCs w:val="32"/>
        </w:rPr>
      </w:pPr>
      <w:r>
        <w:rPr>
          <w:rFonts w:hint="eastAsia" w:ascii="Times New Roman" w:hAnsi="Times New Roman" w:eastAsia="方正仿宋_GBK" w:cs="方正仿宋_GBK"/>
          <w:b w:val="0"/>
          <w:color w:val="000000" w:themeColor="text1"/>
          <w:sz w:val="32"/>
          <w:szCs w:val="32"/>
        </w:rPr>
        <w:t>实施效益指标合计得20分。</w:t>
      </w:r>
    </w:p>
    <w:p>
      <w:pPr>
        <w:pageBreakBefore w:val="0"/>
        <w:numPr>
          <w:ilvl w:val="0"/>
          <w:numId w:val="0"/>
        </w:numPr>
        <w:kinsoku/>
        <w:wordWrap/>
        <w:topLinePunct w:val="0"/>
        <w:autoSpaceDE/>
        <w:autoSpaceDN/>
        <w:bidi w:val="0"/>
        <w:spacing w:line="560" w:lineRule="exact"/>
        <w:ind w:leftChars="200"/>
        <w:rPr>
          <w:rFonts w:hint="eastAsia" w:ascii="Times New Roman" w:hAnsi="Times New Roman" w:eastAsia="方正仿宋_GBK" w:cs="方正仿宋_GBK"/>
          <w:b/>
          <w:bCs/>
          <w:sz w:val="32"/>
          <w:szCs w:val="32"/>
          <w:lang w:eastAsia="zh-CN"/>
        </w:rPr>
      </w:pPr>
      <w:r>
        <w:rPr>
          <w:rFonts w:hint="eastAsia" w:ascii="Times New Roman" w:hAnsi="Times New Roman" w:eastAsia="方正仿宋_GBK" w:cs="方正仿宋_GBK"/>
          <w:b/>
          <w:bCs/>
          <w:sz w:val="32"/>
          <w:szCs w:val="32"/>
          <w:lang w:eastAsia="zh-CN"/>
        </w:rPr>
        <w:t>（</w:t>
      </w:r>
      <w:r>
        <w:rPr>
          <w:rFonts w:hint="eastAsia" w:ascii="Times New Roman" w:hAnsi="Times New Roman" w:eastAsia="方正仿宋_GBK" w:cs="方正仿宋_GBK"/>
          <w:b/>
          <w:bCs/>
          <w:sz w:val="32"/>
          <w:szCs w:val="32"/>
          <w:lang w:val="en-US" w:eastAsia="zh-CN"/>
        </w:rPr>
        <w:t>3</w:t>
      </w:r>
      <w:r>
        <w:rPr>
          <w:rFonts w:hint="eastAsia" w:ascii="Times New Roman" w:hAnsi="Times New Roman" w:eastAsia="方正仿宋_GBK" w:cs="方正仿宋_GBK"/>
          <w:b/>
          <w:bCs/>
          <w:sz w:val="32"/>
          <w:szCs w:val="32"/>
          <w:lang w:eastAsia="zh-CN"/>
        </w:rPr>
        <w:t>）对于“经济效益指标”：</w:t>
      </w:r>
    </w:p>
    <w:p>
      <w:pPr>
        <w:pStyle w:val="9"/>
        <w:pageBreakBefore w:val="0"/>
        <w:kinsoku/>
        <w:wordWrap/>
        <w:topLinePunct w:val="0"/>
        <w:autoSpaceDE/>
        <w:autoSpaceDN/>
        <w:bidi w:val="0"/>
        <w:spacing w:before="0" w:after="0" w:line="560" w:lineRule="exact"/>
        <w:ind w:firstLine="640"/>
        <w:jc w:val="both"/>
        <w:rPr>
          <w:rFonts w:hint="eastAsia" w:eastAsia="方正仿宋_GBK"/>
          <w:color w:val="000000" w:themeColor="text1"/>
          <w:lang w:eastAsia="zh-CN"/>
        </w:rPr>
      </w:pPr>
      <w:r>
        <w:rPr>
          <w:rFonts w:hint="eastAsia" w:ascii="Times New Roman" w:hAnsi="Times New Roman" w:eastAsia="方正仿宋_GBK" w:cs="方正仿宋_GBK"/>
          <w:b w:val="0"/>
          <w:color w:val="000000" w:themeColor="text1"/>
          <w:sz w:val="32"/>
          <w:szCs w:val="32"/>
          <w:lang w:eastAsia="zh-CN"/>
        </w:rPr>
        <w:t>无。</w:t>
      </w:r>
    </w:p>
    <w:p>
      <w:pPr>
        <w:pageBreakBefore w:val="0"/>
        <w:numPr>
          <w:ilvl w:val="0"/>
          <w:numId w:val="1"/>
        </w:numPr>
        <w:kinsoku/>
        <w:wordWrap/>
        <w:topLinePunct w:val="0"/>
        <w:autoSpaceDE/>
        <w:autoSpaceDN/>
        <w:bidi w:val="0"/>
        <w:spacing w:line="560" w:lineRule="exact"/>
        <w:ind w:left="0" w:leftChars="0" w:firstLine="643" w:firstLineChars="200"/>
        <w:rPr>
          <w:rFonts w:hint="eastAsia" w:ascii="Times New Roman" w:hAnsi="Times New Roman" w:eastAsia="方正仿宋_GBK" w:cs="方正仿宋_GBK"/>
          <w:b/>
          <w:bCs/>
          <w:sz w:val="32"/>
          <w:szCs w:val="32"/>
        </w:rPr>
      </w:pPr>
      <w:r>
        <w:rPr>
          <w:rFonts w:hint="eastAsia" w:ascii="Times New Roman" w:hAnsi="Times New Roman" w:eastAsia="方正仿宋_GBK" w:cs="方正仿宋_GBK"/>
          <w:b/>
          <w:bCs/>
          <w:sz w:val="32"/>
          <w:szCs w:val="32"/>
        </w:rPr>
        <w:t>对于“</w:t>
      </w:r>
      <w:r>
        <w:rPr>
          <w:rFonts w:hint="eastAsia" w:ascii="Times New Roman" w:hAnsi="Times New Roman" w:eastAsia="方正仿宋_GBK" w:cs="方正仿宋_GBK"/>
          <w:b/>
          <w:bCs/>
          <w:sz w:val="32"/>
          <w:szCs w:val="32"/>
          <w:lang w:val="en-US" w:eastAsia="zh-CN"/>
        </w:rPr>
        <w:t>生态效益</w:t>
      </w:r>
      <w:r>
        <w:rPr>
          <w:rFonts w:hint="eastAsia" w:ascii="Times New Roman" w:hAnsi="Times New Roman" w:eastAsia="方正仿宋_GBK" w:cs="方正仿宋_GBK"/>
          <w:b/>
          <w:bCs/>
          <w:sz w:val="32"/>
          <w:szCs w:val="32"/>
        </w:rPr>
        <w:t>指标”：</w:t>
      </w:r>
    </w:p>
    <w:p>
      <w:pPr>
        <w:pStyle w:val="9"/>
        <w:pageBreakBefore w:val="0"/>
        <w:kinsoku/>
        <w:wordWrap/>
        <w:topLinePunct w:val="0"/>
        <w:autoSpaceDE/>
        <w:autoSpaceDN/>
        <w:bidi w:val="0"/>
        <w:spacing w:before="0" w:after="0" w:line="560" w:lineRule="exact"/>
        <w:ind w:firstLine="640"/>
        <w:jc w:val="both"/>
        <w:rPr>
          <w:rFonts w:hint="eastAsia" w:eastAsia="方正仿宋_GBK"/>
          <w:color w:val="000000" w:themeColor="text1"/>
          <w:lang w:eastAsia="zh-CN"/>
        </w:rPr>
      </w:pPr>
      <w:r>
        <w:rPr>
          <w:rFonts w:hint="eastAsia" w:ascii="Times New Roman" w:hAnsi="Times New Roman" w:eastAsia="方正仿宋_GBK" w:cs="方正仿宋_GBK"/>
          <w:b w:val="0"/>
          <w:color w:val="000000" w:themeColor="text1"/>
          <w:sz w:val="32"/>
          <w:szCs w:val="32"/>
          <w:lang w:eastAsia="zh-CN"/>
        </w:rPr>
        <w:t>无。</w:t>
      </w:r>
    </w:p>
    <w:p>
      <w:pPr>
        <w:pageBreakBefore w:val="0"/>
        <w:kinsoku/>
        <w:wordWrap/>
        <w:overflowPunct w:val="0"/>
        <w:topLinePunct w:val="0"/>
        <w:autoSpaceDE/>
        <w:autoSpaceDN/>
        <w:bidi w:val="0"/>
        <w:spacing w:line="560" w:lineRule="exact"/>
        <w:ind w:firstLine="643"/>
        <w:contextualSpacing/>
        <w:rPr>
          <w:rFonts w:hint="eastAsia" w:ascii="Times New Roman" w:hAnsi="Times New Roman" w:eastAsia="方正仿宋_GBK" w:cs="方正仿宋_GBK"/>
          <w:b/>
          <w:bCs/>
          <w:sz w:val="32"/>
          <w:szCs w:val="32"/>
          <w:lang w:val="en-US" w:eastAsia="zh-CN"/>
        </w:rPr>
      </w:pPr>
      <w:r>
        <w:rPr>
          <w:rFonts w:hint="eastAsia" w:ascii="Times New Roman" w:hAnsi="Times New Roman" w:eastAsia="方正仿宋_GBK" w:cs="方正仿宋_GBK"/>
          <w:b/>
          <w:bCs/>
          <w:sz w:val="32"/>
          <w:szCs w:val="32"/>
          <w:lang w:val="en-US" w:eastAsia="zh-CN"/>
        </w:rPr>
        <w:t>2.满意度指标:</w:t>
      </w:r>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对于“满意度指标：检测结果使用工作人员满意度</w:t>
      </w:r>
      <w:r>
        <w:rPr>
          <w:rFonts w:hint="eastAsia" w:eastAsia="方正仿宋_GBK" w:cs="方正仿宋_GBK"/>
          <w:sz w:val="32"/>
          <w:szCs w:val="32"/>
          <w:lang w:val="en-US" w:eastAsia="zh-CN"/>
        </w:rPr>
        <w:t>指标，预期指标为</w:t>
      </w:r>
      <w:r>
        <w:rPr>
          <w:rFonts w:hint="eastAsia" w:ascii="Times New Roman" w:hAnsi="Times New Roman" w:eastAsia="方正仿宋_GBK" w:cs="方正仿宋_GBK"/>
          <w:sz w:val="32"/>
          <w:szCs w:val="32"/>
        </w:rPr>
        <w:t>100%，</w:t>
      </w:r>
      <w:r>
        <w:rPr>
          <w:rFonts w:hint="eastAsia" w:eastAsia="方正仿宋_GBK" w:cs="方正仿宋_GBK"/>
          <w:sz w:val="32"/>
          <w:szCs w:val="32"/>
          <w:lang w:val="en-US" w:eastAsia="zh-CN"/>
        </w:rPr>
        <w:t>实际完成值100%，</w:t>
      </w:r>
      <w:r>
        <w:rPr>
          <w:rFonts w:hint="eastAsia" w:ascii="Times New Roman" w:hAnsi="Times New Roman" w:eastAsia="方正仿宋_GBK" w:cs="方正仿宋_GBK"/>
          <w:b w:val="0"/>
          <w:color w:val="000000" w:themeColor="text1"/>
          <w:sz w:val="32"/>
          <w:szCs w:val="32"/>
          <w:lang w:val="en-US" w:eastAsia="zh-CN"/>
        </w:rPr>
        <w:t>指标完成率100%，</w:t>
      </w:r>
      <w:r>
        <w:rPr>
          <w:rFonts w:hint="eastAsia" w:ascii="Times New Roman" w:hAnsi="Times New Roman" w:eastAsia="方正仿宋_GBK" w:cs="方正仿宋_GBK"/>
          <w:sz w:val="32"/>
          <w:szCs w:val="32"/>
        </w:rPr>
        <w:t>与预期目标一致，根据评分标准，该指标不扣分,得10分。</w:t>
      </w:r>
      <w:bookmarkEnd w:id="17"/>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方正黑体_GBK" w:hAnsi="方正黑体_GBK" w:eastAsia="方正黑体_GBK" w:cs="方正黑体_GBK"/>
          <w:b/>
          <w:bCs/>
        </w:rPr>
      </w:pPr>
      <w:r>
        <w:rPr>
          <w:rFonts w:hint="eastAsia" w:ascii="方正黑体_GBK" w:hAnsi="方正黑体_GBK" w:eastAsia="方正黑体_GBK" w:cs="方正黑体_GBK"/>
          <w:b/>
          <w:bCs/>
        </w:rPr>
        <w:t>五、预算执行进度与绩效指标偏差情况</w:t>
      </w:r>
    </w:p>
    <w:p>
      <w:pPr>
        <w:pStyle w:val="7"/>
        <w:keepNext w:val="0"/>
        <w:keepLines w:val="0"/>
        <w:widowControl/>
        <w:suppressLineNumbers w:val="0"/>
        <w:shd w:val="clear" w:fill="FFFFFF"/>
        <w:spacing w:before="0" w:beforeAutospacing="0" w:after="0" w:afterAutospacing="0" w:line="21" w:lineRule="atLeast"/>
        <w:ind w:left="0" w:right="0" w:firstLine="640" w:firstLineChars="200"/>
        <w:rPr>
          <w:rFonts w:hint="eastAsia" w:ascii="Times New Roman" w:hAnsi="Times New Roman" w:eastAsia="方正仿宋_GBK" w:cs="方正仿宋_GBK"/>
          <w:b w:val="0"/>
          <w:color w:val="000000" w:themeColor="text1"/>
          <w:kern w:val="0"/>
          <w:sz w:val="32"/>
          <w:szCs w:val="32"/>
          <w:lang w:val="en-US" w:eastAsia="zh-CN" w:bidi="ar-SA"/>
        </w:rPr>
      </w:pPr>
      <w:r>
        <w:rPr>
          <w:rFonts w:hint="default" w:ascii="Times New Roman" w:hAnsi="Times New Roman" w:eastAsia="方正仿宋_GBK" w:cs="方正仿宋_GBK"/>
          <w:b w:val="0"/>
          <w:color w:val="000000" w:themeColor="text1"/>
          <w:kern w:val="0"/>
          <w:sz w:val="32"/>
          <w:szCs w:val="32"/>
          <w:lang w:val="en-US" w:eastAsia="zh-CN" w:bidi="ar-SA"/>
        </w:rPr>
        <w:t>畜产品质量安全监测项目</w:t>
      </w:r>
      <w:r>
        <w:rPr>
          <w:rFonts w:hint="eastAsia" w:ascii="Times New Roman" w:hAnsi="Times New Roman" w:eastAsia="方正仿宋_GBK" w:cs="方正仿宋_GBK"/>
          <w:b w:val="0"/>
          <w:color w:val="000000" w:themeColor="text1"/>
          <w:kern w:val="0"/>
          <w:sz w:val="32"/>
          <w:szCs w:val="32"/>
          <w:lang w:val="en-US" w:eastAsia="zh-CN" w:bidi="ar-SA"/>
        </w:rPr>
        <w:t>预算20万元，到位20万元，实际支出19.7万元，预算执行率为98.5%，项目绩效指标总体完成率为96.6%，偏差率为1.9%, 偏差原因：政采云检测成本成交价为535元/批次，比原计划成本低44元，用差价续签了34批次（包含赠送五批次）,实际完成364批次；受疫情影响人员未产生差旅费，3千元差旅费未执行，导致整体完成率低。改进措施：项目前期做好项目测算，细化实施方案，今后细化指标预算。</w:t>
      </w: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方正黑体_GBK" w:hAnsi="方正黑体_GBK" w:eastAsia="方正黑体_GBK" w:cs="方正黑体_GBK"/>
          <w:b/>
          <w:bCs/>
        </w:rPr>
      </w:pPr>
      <w:bookmarkStart w:id="18" w:name="_Toc68364673"/>
      <w:r>
        <w:rPr>
          <w:rFonts w:hint="eastAsia" w:ascii="方正黑体_GBK" w:hAnsi="方正黑体_GBK" w:eastAsia="方正黑体_GBK" w:cs="方正黑体_GBK"/>
          <w:b/>
          <w:bCs/>
        </w:rPr>
        <w:t>六、主要经验及做法、存在的问题及原因分析</w:t>
      </w:r>
    </w:p>
    <w:p>
      <w:pPr>
        <w:pStyle w:val="15"/>
        <w:keepNext/>
        <w:keepLines/>
        <w:pageBreakBefore w:val="0"/>
        <w:widowControl w:val="0"/>
        <w:kinsoku/>
        <w:wordWrap/>
        <w:overflowPunct/>
        <w:topLinePunct w:val="0"/>
        <w:autoSpaceDE/>
        <w:autoSpaceDN/>
        <w:bidi w:val="0"/>
        <w:adjustRightInd/>
        <w:snapToGrid/>
        <w:spacing w:line="560" w:lineRule="exact"/>
        <w:ind w:left="560"/>
        <w:textAlignment w:val="auto"/>
        <w:rPr>
          <w:rFonts w:hint="default" w:ascii="方正楷体_GBK" w:hAnsi="方正楷体_GBK" w:eastAsia="方正楷体_GBK" w:cs="方正楷体_GBK"/>
          <w:b/>
          <w:bCs/>
          <w:sz w:val="32"/>
          <w:lang w:val="en-US" w:eastAsia="zh-CN"/>
        </w:rPr>
      </w:pPr>
      <w:r>
        <w:rPr>
          <w:rFonts w:hint="eastAsia" w:ascii="方正楷体_GBK" w:hAnsi="方正楷体_GBK" w:eastAsia="方正楷体_GBK" w:cs="方正楷体_GBK"/>
          <w:b/>
          <w:bCs/>
          <w:sz w:val="32"/>
        </w:rPr>
        <w:t>（一）主要经验及做法</w:t>
      </w:r>
      <w:bookmarkEnd w:id="18"/>
      <w:r>
        <w:rPr>
          <w:rFonts w:hint="eastAsia" w:ascii="方正楷体_GBK" w:hAnsi="方正楷体_GBK" w:eastAsia="方正楷体_GBK" w:cs="方正楷体_GBK"/>
          <w:b/>
          <w:bCs/>
          <w:sz w:val="32"/>
          <w:lang w:val="en-US" w:eastAsia="zh-CN"/>
        </w:rPr>
        <w:t xml:space="preserve">  </w:t>
      </w:r>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一是本项目能够严格按照《项目实施方案》执行，项目执行情况较好。二是加强组织领导，本项目绩效评价工作，有</w:t>
      </w:r>
      <w:r>
        <w:rPr>
          <w:rFonts w:hint="eastAsia" w:ascii="Times New Roman" w:hAnsi="Times New Roman" w:eastAsia="方正仿宋_GBK" w:cs="方正仿宋_GBK"/>
          <w:color w:val="auto"/>
          <w:sz w:val="32"/>
          <w:szCs w:val="32"/>
          <w:lang w:eastAsia="zh-CN"/>
        </w:rPr>
        <w:t>单位</w:t>
      </w:r>
      <w:r>
        <w:rPr>
          <w:rFonts w:hint="eastAsia" w:ascii="Times New Roman" w:hAnsi="Times New Roman" w:eastAsia="方正仿宋_GBK" w:cs="方正仿宋_GBK"/>
          <w:color w:val="auto"/>
          <w:sz w:val="32"/>
          <w:szCs w:val="32"/>
        </w:rPr>
        <w:t>主要领导亲自挂帅，项目负责人具体负责，从项目到资金，均能很好的执行。三是加强沟通协调，我单位及时向单位项目执行人员、党组汇报项目建设进度，加强沟通，确保项目按期实施。</w:t>
      </w:r>
    </w:p>
    <w:p>
      <w:pPr>
        <w:pStyle w:val="15"/>
        <w:keepNext/>
        <w:keepLines/>
        <w:pageBreakBefore w:val="0"/>
        <w:widowControl w:val="0"/>
        <w:kinsoku/>
        <w:wordWrap/>
        <w:overflowPunct/>
        <w:topLinePunct w:val="0"/>
        <w:autoSpaceDE/>
        <w:autoSpaceDN/>
        <w:bidi w:val="0"/>
        <w:adjustRightInd/>
        <w:snapToGrid/>
        <w:spacing w:line="560" w:lineRule="exact"/>
        <w:ind w:left="560"/>
        <w:textAlignment w:val="auto"/>
        <w:rPr>
          <w:rFonts w:hint="eastAsia" w:ascii="方正楷体_GBK" w:hAnsi="方正楷体_GBK" w:eastAsia="方正楷体_GBK" w:cs="方正楷体_GBK"/>
          <w:b/>
          <w:bCs/>
          <w:sz w:val="32"/>
        </w:rPr>
      </w:pPr>
      <w:bookmarkStart w:id="19" w:name="_Toc68364674"/>
      <w:r>
        <w:rPr>
          <w:rFonts w:hint="eastAsia" w:ascii="方正楷体_GBK" w:hAnsi="方正楷体_GBK" w:eastAsia="方正楷体_GBK" w:cs="方正楷体_GBK"/>
          <w:b/>
          <w:bCs/>
          <w:sz w:val="32"/>
        </w:rPr>
        <w:t>（二）存在问题及原因分析</w:t>
      </w:r>
      <w:bookmarkEnd w:id="19"/>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000000" w:themeColor="text1"/>
          <w:sz w:val="32"/>
          <w:szCs w:val="32"/>
          <w:highlight w:val="none"/>
          <w:lang w:val="en-US" w:eastAsia="zh-CN"/>
        </w:rPr>
      </w:pPr>
      <w:r>
        <w:rPr>
          <w:rFonts w:hint="eastAsia" w:eastAsia="方正仿宋_GBK" w:cs="方正仿宋_GBK"/>
          <w:color w:val="000000" w:themeColor="text1"/>
          <w:sz w:val="32"/>
          <w:szCs w:val="32"/>
          <w:highlight w:val="none"/>
          <w:lang w:val="en-US" w:eastAsia="zh-CN"/>
        </w:rPr>
        <w:t>1、</w:t>
      </w:r>
      <w:r>
        <w:rPr>
          <w:rFonts w:hint="eastAsia" w:ascii="Times New Roman" w:hAnsi="Times New Roman" w:eastAsia="方正仿宋_GBK" w:cs="方正仿宋_GBK"/>
          <w:color w:val="000000" w:themeColor="text1"/>
          <w:sz w:val="32"/>
          <w:szCs w:val="32"/>
          <w:highlight w:val="none"/>
          <w:lang w:val="en-US" w:eastAsia="zh-CN"/>
        </w:rPr>
        <w:t>绩效目标设置不够精准。项目绩效指标设置与实际完成情况存在一定偏差，导致项目完成率存在偏差。</w:t>
      </w:r>
    </w:p>
    <w:p>
      <w:pPr>
        <w:pStyle w:val="16"/>
        <w:pageBreakBefore w:val="0"/>
        <w:kinsoku/>
        <w:wordWrap/>
        <w:topLinePunct w:val="0"/>
        <w:autoSpaceDE/>
        <w:autoSpaceDN/>
        <w:bidi w:val="0"/>
        <w:spacing w:line="560" w:lineRule="exact"/>
        <w:ind w:firstLine="640"/>
        <w:rPr>
          <w:rFonts w:hint="default" w:ascii="Times New Roman" w:hAnsi="Times New Roman" w:eastAsia="方正仿宋_GBK" w:cs="方正仿宋_GBK"/>
          <w:color w:val="000000" w:themeColor="text1"/>
          <w:sz w:val="32"/>
          <w:szCs w:val="32"/>
          <w:highlight w:val="none"/>
          <w:lang w:val="en-US" w:eastAsia="zh-CN"/>
        </w:rPr>
      </w:pPr>
      <w:r>
        <w:rPr>
          <w:rFonts w:hint="eastAsia" w:eastAsia="方正仿宋_GBK" w:cs="方正仿宋_GBK"/>
          <w:color w:val="000000" w:themeColor="text1"/>
          <w:sz w:val="32"/>
          <w:szCs w:val="32"/>
          <w:highlight w:val="none"/>
          <w:lang w:val="en-US" w:eastAsia="zh-CN"/>
        </w:rPr>
        <w:t>2、</w:t>
      </w:r>
      <w:r>
        <w:rPr>
          <w:rFonts w:hint="eastAsia" w:ascii="Times New Roman" w:hAnsi="Times New Roman" w:eastAsia="方正仿宋_GBK" w:cs="方正仿宋_GBK"/>
          <w:color w:val="000000" w:themeColor="text1"/>
          <w:sz w:val="32"/>
          <w:szCs w:val="32"/>
          <w:highlight w:val="none"/>
          <w:lang w:val="en-US" w:eastAsia="zh-CN"/>
        </w:rPr>
        <w:t>项目成本指标未全部完成。项目其他项目经费完成率较低，只有66.67%，造成项目完成率较低。</w:t>
      </w:r>
    </w:p>
    <w:p>
      <w:pPr>
        <w:pStyle w:val="16"/>
        <w:pageBreakBefore w:val="0"/>
        <w:kinsoku/>
        <w:wordWrap/>
        <w:topLinePunct w:val="0"/>
        <w:autoSpaceDE/>
        <w:autoSpaceDN/>
        <w:bidi w:val="0"/>
        <w:spacing w:line="560" w:lineRule="exact"/>
        <w:ind w:firstLine="640"/>
        <w:rPr>
          <w:rFonts w:hint="default" w:ascii="Times New Roman" w:hAnsi="Times New Roman" w:eastAsia="方正仿宋_GBK" w:cs="方正仿宋_GBK"/>
          <w:color w:val="000000" w:themeColor="text1"/>
          <w:sz w:val="32"/>
          <w:szCs w:val="32"/>
          <w:highlight w:val="none"/>
          <w:lang w:val="en-US" w:eastAsia="zh-CN"/>
        </w:rPr>
      </w:pPr>
      <w:r>
        <w:rPr>
          <w:rFonts w:hint="eastAsia" w:eastAsia="方正仿宋_GBK" w:cs="方正仿宋_GBK"/>
          <w:color w:val="000000" w:themeColor="text1"/>
          <w:sz w:val="32"/>
          <w:szCs w:val="32"/>
          <w:highlight w:val="none"/>
          <w:lang w:val="en-US" w:eastAsia="zh-CN"/>
        </w:rPr>
        <w:t>3、</w:t>
      </w:r>
      <w:r>
        <w:rPr>
          <w:rFonts w:hint="eastAsia" w:ascii="Times New Roman" w:hAnsi="Times New Roman" w:eastAsia="方正仿宋_GBK" w:cs="方正仿宋_GBK"/>
          <w:color w:val="000000" w:themeColor="text1"/>
          <w:sz w:val="32"/>
          <w:szCs w:val="32"/>
          <w:highlight w:val="none"/>
          <w:lang w:val="en-US" w:eastAsia="zh-CN"/>
        </w:rPr>
        <w:t>项目相关资料档案管理待完善，项目自评时，不能及时提供项目印证材料。</w:t>
      </w: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方正黑体_GBK" w:hAnsi="方正黑体_GBK" w:eastAsia="方正黑体_GBK" w:cs="方正黑体_GBK"/>
          <w:b/>
          <w:bCs/>
        </w:rPr>
      </w:pPr>
      <w:bookmarkStart w:id="20" w:name="_Toc68364675"/>
      <w:r>
        <w:rPr>
          <w:rFonts w:hint="eastAsia" w:ascii="方正黑体_GBK" w:hAnsi="方正黑体_GBK" w:eastAsia="方正黑体_GBK" w:cs="方正黑体_GBK"/>
          <w:b/>
          <w:bCs/>
        </w:rPr>
        <w:t>七、有关建议</w:t>
      </w:r>
      <w:bookmarkEnd w:id="20"/>
    </w:p>
    <w:p>
      <w:pPr>
        <w:pStyle w:val="16"/>
        <w:pageBreakBefore w:val="0"/>
        <w:kinsoku/>
        <w:wordWrap/>
        <w:topLinePunct w:val="0"/>
        <w:autoSpaceDE/>
        <w:autoSpaceDN/>
        <w:bidi w:val="0"/>
        <w:spacing w:line="560" w:lineRule="exact"/>
        <w:ind w:firstLine="640"/>
        <w:jc w:val="both"/>
        <w:rPr>
          <w:rFonts w:hint="eastAsia" w:ascii="Times New Roman" w:hAnsi="Times New Roman" w:eastAsia="方正仿宋_GBK" w:cs="方正仿宋_GBK"/>
          <w:color w:val="auto"/>
          <w:sz w:val="32"/>
          <w:szCs w:val="32"/>
          <w:highlight w:val="none"/>
          <w:lang w:val="en-US" w:eastAsia="zh-CN"/>
        </w:rPr>
      </w:pPr>
      <w:r>
        <w:rPr>
          <w:rFonts w:hint="eastAsia" w:eastAsia="方正仿宋_GBK" w:cs="方正仿宋_GBK"/>
          <w:color w:val="auto"/>
          <w:sz w:val="32"/>
          <w:szCs w:val="32"/>
          <w:highlight w:val="none"/>
          <w:lang w:val="en-US" w:eastAsia="zh-CN"/>
        </w:rPr>
        <w:t>1、加强项目指标设置精准度。</w:t>
      </w:r>
      <w:r>
        <w:rPr>
          <w:rFonts w:hint="eastAsia" w:ascii="Times New Roman" w:hAnsi="Times New Roman" w:eastAsia="方正仿宋_GBK" w:cs="方正仿宋_GBK"/>
          <w:color w:val="auto"/>
          <w:sz w:val="32"/>
          <w:szCs w:val="32"/>
          <w:highlight w:val="none"/>
        </w:rPr>
        <w:t>项目前期做好可行性研究报告，更加细化实施方案，</w:t>
      </w:r>
      <w:r>
        <w:rPr>
          <w:rFonts w:hint="eastAsia" w:eastAsia="方正仿宋_GBK" w:cs="方正仿宋_GBK"/>
          <w:color w:val="auto"/>
          <w:sz w:val="32"/>
          <w:szCs w:val="32"/>
          <w:highlight w:val="none"/>
          <w:lang w:val="en-US" w:eastAsia="zh-CN"/>
        </w:rPr>
        <w:t>严格按照实施方案设置项目指标，</w:t>
      </w:r>
      <w:r>
        <w:rPr>
          <w:rFonts w:hint="eastAsia" w:ascii="Times New Roman" w:hAnsi="Times New Roman" w:eastAsia="方正仿宋_GBK" w:cs="方正仿宋_GBK"/>
          <w:color w:val="auto"/>
          <w:sz w:val="32"/>
          <w:szCs w:val="32"/>
          <w:highlight w:val="none"/>
        </w:rPr>
        <w:t>严格执行资金管理办法</w:t>
      </w:r>
      <w:r>
        <w:rPr>
          <w:rFonts w:hint="eastAsia" w:ascii="Times New Roman" w:hAnsi="Times New Roman" w:eastAsia="方正仿宋_GBK" w:cs="方正仿宋_GBK"/>
          <w:color w:val="auto"/>
          <w:sz w:val="32"/>
          <w:szCs w:val="32"/>
          <w:highlight w:val="none"/>
          <w:lang w:val="en-US" w:eastAsia="zh-CN"/>
        </w:rPr>
        <w:t>支付资金。提高相关人员的绩效管理水平，不断完善绩效管理制度。</w:t>
      </w:r>
    </w:p>
    <w:p>
      <w:pPr>
        <w:pStyle w:val="16"/>
        <w:pageBreakBefore w:val="0"/>
        <w:kinsoku/>
        <w:wordWrap/>
        <w:topLinePunct w:val="0"/>
        <w:autoSpaceDE/>
        <w:autoSpaceDN/>
        <w:bidi w:val="0"/>
        <w:spacing w:line="560" w:lineRule="exact"/>
        <w:ind w:firstLine="640"/>
        <w:jc w:val="both"/>
        <w:rPr>
          <w:rFonts w:hint="eastAsia" w:eastAsia="方正仿宋_GBK" w:cs="方正仿宋_GBK"/>
          <w:color w:val="auto"/>
          <w:sz w:val="32"/>
          <w:szCs w:val="32"/>
          <w:highlight w:val="none"/>
          <w:lang w:val="en-US" w:eastAsia="zh-CN"/>
        </w:rPr>
      </w:pPr>
      <w:r>
        <w:rPr>
          <w:rFonts w:hint="eastAsia" w:eastAsia="方正仿宋_GBK" w:cs="方正仿宋_GBK"/>
          <w:color w:val="auto"/>
          <w:sz w:val="32"/>
          <w:szCs w:val="32"/>
          <w:highlight w:val="none"/>
          <w:lang w:val="en-US" w:eastAsia="zh-CN"/>
        </w:rPr>
        <w:t>2、按照项目实施办法及项目资金管理等相关制度，稳步开展工作推进工作进度。财务人员根据项目负责人提供的票据，及时支付资金。</w:t>
      </w:r>
    </w:p>
    <w:p>
      <w:pPr>
        <w:pStyle w:val="16"/>
        <w:pageBreakBefore w:val="0"/>
        <w:kinsoku/>
        <w:wordWrap/>
        <w:topLinePunct w:val="0"/>
        <w:autoSpaceDE/>
        <w:autoSpaceDN/>
        <w:bidi w:val="0"/>
        <w:spacing w:line="560" w:lineRule="exact"/>
        <w:ind w:firstLine="640"/>
        <w:rPr>
          <w:rFonts w:hint="default" w:eastAsia="方正仿宋_GBK" w:cs="方正仿宋_GBK"/>
          <w:color w:val="auto"/>
          <w:sz w:val="32"/>
          <w:szCs w:val="32"/>
          <w:highlight w:val="none"/>
          <w:lang w:val="en-US" w:eastAsia="zh-CN"/>
        </w:rPr>
      </w:pPr>
      <w:r>
        <w:rPr>
          <w:rFonts w:hint="eastAsia" w:eastAsia="方正仿宋_GBK" w:cs="方正仿宋_GBK"/>
          <w:color w:val="auto"/>
          <w:sz w:val="32"/>
          <w:szCs w:val="32"/>
          <w:highlight w:val="none"/>
          <w:lang w:val="en-US" w:eastAsia="zh-CN"/>
        </w:rPr>
        <w:t>3、加强项目档案管理，</w:t>
      </w:r>
      <w:r>
        <w:rPr>
          <w:rFonts w:hint="eastAsia" w:ascii="Times New Roman" w:hAnsi="Times New Roman" w:eastAsia="方正仿宋_GBK" w:cs="方正仿宋_GBK"/>
          <w:color w:val="auto"/>
          <w:sz w:val="32"/>
          <w:szCs w:val="32"/>
          <w:highlight w:val="none"/>
        </w:rPr>
        <w:t>项目启动时同步做好档案的归纳与整理，及时整理、收集、汇总，健全档案资料</w:t>
      </w:r>
      <w:r>
        <w:rPr>
          <w:rFonts w:hint="eastAsia" w:eastAsia="方正仿宋_GBK" w:cs="方正仿宋_GBK"/>
          <w:color w:val="auto"/>
          <w:sz w:val="32"/>
          <w:szCs w:val="32"/>
          <w:highlight w:val="none"/>
          <w:lang w:eastAsia="zh-CN"/>
        </w:rPr>
        <w:t>，</w:t>
      </w:r>
      <w:r>
        <w:rPr>
          <w:rFonts w:hint="eastAsia" w:eastAsia="方正仿宋_GBK" w:cs="方正仿宋_GBK"/>
          <w:color w:val="auto"/>
          <w:sz w:val="32"/>
          <w:szCs w:val="32"/>
          <w:highlight w:val="none"/>
          <w:lang w:val="en-US" w:eastAsia="zh-CN"/>
        </w:rPr>
        <w:t>确保资料准确、完整。</w:t>
      </w: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方正黑体_GBK" w:hAnsi="方正黑体_GBK" w:eastAsia="方正黑体_GBK" w:cs="方正黑体_GBK"/>
          <w:b/>
          <w:bCs/>
        </w:rPr>
      </w:pPr>
      <w:bookmarkStart w:id="21" w:name="_Toc68364676"/>
      <w:r>
        <w:rPr>
          <w:rFonts w:hint="eastAsia" w:ascii="方正黑体_GBK" w:hAnsi="方正黑体_GBK" w:eastAsia="方正黑体_GBK" w:cs="方正黑体_GBK"/>
          <w:b/>
          <w:bCs/>
        </w:rPr>
        <w:t>八、其他需要说明的问题</w:t>
      </w:r>
      <w:bookmarkEnd w:id="21"/>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我单位对上述项目支出绩效评价报告内反映内容的真实性、完整性负责，接受上级部门及社会公众监督。</w:t>
      </w:r>
    </w:p>
    <w:p>
      <w:pPr>
        <w:pStyle w:val="16"/>
        <w:pageBreakBefore w:val="0"/>
        <w:kinsoku/>
        <w:wordWrap/>
        <w:topLinePunct w:val="0"/>
        <w:autoSpaceDE/>
        <w:autoSpaceDN/>
        <w:bidi w:val="0"/>
        <w:spacing w:line="560" w:lineRule="exact"/>
        <w:ind w:firstLine="640"/>
        <w:rPr>
          <w:rFonts w:hint="eastAsia" w:ascii="Times New Roman" w:hAnsi="Times New Roman" w:eastAsia="方正仿宋_GBK" w:cs="方正仿宋_GBK"/>
          <w:sz w:val="32"/>
          <w:szCs w:val="32"/>
        </w:rPr>
      </w:pPr>
    </w:p>
    <w:p>
      <w:pPr>
        <w:pStyle w:val="17"/>
        <w:pageBreakBefore w:val="0"/>
        <w:kinsoku/>
        <w:wordWrap/>
        <w:topLinePunct w:val="0"/>
        <w:autoSpaceDE/>
        <w:autoSpaceDN/>
        <w:bidi w:val="0"/>
        <w:spacing w:line="560" w:lineRule="exact"/>
        <w:ind w:firstLine="643" w:firstLineChars="200"/>
        <w:rPr>
          <w:rFonts w:hint="eastAsia" w:ascii="Times New Roman" w:hAnsi="Times New Roman" w:eastAsia="方正仿宋_GBK" w:cs="方正仿宋_GBK"/>
          <w:b/>
          <w:bCs/>
        </w:rPr>
      </w:pPr>
      <w:r>
        <w:rPr>
          <w:rFonts w:hint="eastAsia" w:ascii="Times New Roman" w:hAnsi="Times New Roman" w:eastAsia="方正仿宋_GBK" w:cs="方正仿宋_GBK"/>
          <w:b/>
          <w:bCs/>
        </w:rPr>
        <w:t>附件：1综合评分表</w:t>
      </w:r>
    </w:p>
    <w:p>
      <w:pPr>
        <w:pStyle w:val="17"/>
        <w:pageBreakBefore w:val="0"/>
        <w:kinsoku/>
        <w:wordWrap/>
        <w:topLinePunct w:val="0"/>
        <w:autoSpaceDE/>
        <w:autoSpaceDN/>
        <w:bidi w:val="0"/>
        <w:spacing w:line="560" w:lineRule="exact"/>
        <w:ind w:firstLine="1606" w:firstLineChars="500"/>
        <w:rPr>
          <w:rFonts w:hint="eastAsia" w:ascii="Times New Roman" w:hAnsi="Times New Roman" w:eastAsia="方正仿宋_GBK" w:cs="方正仿宋_GBK"/>
          <w:b/>
          <w:bCs/>
          <w:lang w:val="en-US" w:eastAsia="zh-CN"/>
        </w:rPr>
      </w:pPr>
      <w:r>
        <w:rPr>
          <w:rFonts w:hint="eastAsia" w:ascii="Times New Roman" w:hAnsi="Times New Roman" w:eastAsia="方正仿宋_GBK" w:cs="方正仿宋_GBK"/>
          <w:b/>
          <w:bCs/>
          <w:lang w:val="en-US" w:eastAsia="zh-CN"/>
        </w:rPr>
        <w:t>2满意度调查问卷</w:t>
      </w:r>
    </w:p>
    <w:p>
      <w:pPr>
        <w:rPr>
          <w:rFonts w:hint="eastAsia" w:ascii="Times New Roman" w:hAnsi="Times New Roman" w:eastAsia="方正仿宋_GBK" w:cs="方正仿宋_GBK"/>
          <w:b/>
          <w:bCs/>
          <w:sz w:val="32"/>
          <w:szCs w:val="32"/>
          <w:lang w:val="en-US" w:eastAsia="zh-CN"/>
        </w:rPr>
        <w:sectPr>
          <w:headerReference r:id="rId5" w:type="default"/>
          <w:footerReference r:id="rId6" w:type="default"/>
          <w:pgSz w:w="11906" w:h="16838"/>
          <w:pgMar w:top="1984" w:right="1531" w:bottom="1701" w:left="1531" w:header="851" w:footer="992" w:gutter="0"/>
          <w:pgNumType w:fmt="decimal" w:start="1"/>
          <w:cols w:space="720" w:num="1"/>
          <w:rtlGutter w:val="0"/>
          <w:docGrid w:type="lines" w:linePitch="386" w:charSpace="0"/>
        </w:sectPr>
      </w:pPr>
      <w:r>
        <w:rPr>
          <w:rFonts w:hint="eastAsia" w:ascii="Times New Roman" w:hAnsi="Times New Roman" w:eastAsia="方正仿宋_GBK" w:cs="方正仿宋_GBK"/>
          <w:b/>
          <w:bCs/>
          <w:sz w:val="32"/>
          <w:szCs w:val="32"/>
          <w:lang w:val="en-US" w:eastAsia="zh-CN"/>
        </w:rPr>
        <w:br w:type="page"/>
      </w:r>
    </w:p>
    <w:p>
      <w:pPr>
        <w:pStyle w:val="17"/>
        <w:pageBreakBefore w:val="0"/>
        <w:kinsoku/>
        <w:wordWrap/>
        <w:topLinePunct w:val="0"/>
        <w:autoSpaceDE/>
        <w:autoSpaceDN/>
        <w:bidi w:val="0"/>
        <w:spacing w:line="560" w:lineRule="exact"/>
        <w:rPr>
          <w:rFonts w:hint="eastAsia" w:ascii="Times New Roman" w:hAnsi="Times New Roman" w:eastAsia="方正仿宋_GBK" w:cs="方正仿宋_GBK"/>
          <w:b/>
          <w:bCs/>
          <w:sz w:val="32"/>
          <w:szCs w:val="32"/>
          <w:lang w:val="en-US" w:eastAsia="zh-CN"/>
        </w:rPr>
      </w:pPr>
      <w:r>
        <w:rPr>
          <w:rFonts w:hint="eastAsia" w:ascii="Times New Roman" w:hAnsi="Times New Roman" w:eastAsia="方正仿宋_GBK" w:cs="方正仿宋_GBK"/>
          <w:b/>
          <w:bCs/>
          <w:sz w:val="32"/>
          <w:szCs w:val="32"/>
          <w:lang w:val="en-US" w:eastAsia="zh-CN"/>
        </w:rPr>
        <w:t>附件1：综合评分表</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Times New Roman" w:hAnsi="Times New Roman" w:eastAsia="方正仿宋_GBK" w:cs="方正仿宋_GBK"/>
          <w:b/>
          <w:bCs/>
          <w:sz w:val="32"/>
          <w:szCs w:val="32"/>
          <w:lang w:val="en-US" w:eastAsia="zh-CN"/>
        </w:rPr>
      </w:pPr>
      <w:r>
        <w:rPr>
          <w:rFonts w:hint="eastAsia" w:ascii="方正仿宋_GBK" w:hAnsi="方正仿宋_GBK" w:eastAsia="方正仿宋_GBK" w:cs="方正仿宋_GBK"/>
          <w:i w:val="0"/>
          <w:iCs w:val="0"/>
          <w:color w:val="000000"/>
          <w:kern w:val="0"/>
          <w:sz w:val="24"/>
          <w:szCs w:val="24"/>
          <w:highlight w:val="none"/>
          <w:u w:val="none"/>
          <w:lang w:val="en-US" w:eastAsia="zh-CN" w:bidi="ar"/>
        </w:rPr>
        <w:t>畜产品质量安全监测项目绩效评价指标体系及评分标准</w:t>
      </w:r>
    </w:p>
    <w:tbl>
      <w:tblPr>
        <w:tblStyle w:val="12"/>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57"/>
        <w:gridCol w:w="752"/>
        <w:gridCol w:w="1263"/>
        <w:gridCol w:w="2095"/>
        <w:gridCol w:w="486"/>
        <w:gridCol w:w="5549"/>
        <w:gridCol w:w="666"/>
        <w:gridCol w:w="17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2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48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7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指标解释</w:t>
            </w:r>
          </w:p>
        </w:tc>
        <w:tc>
          <w:tcPr>
            <w:tcW w:w="1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20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指标说明</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扣分原因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决策(20)　</w:t>
            </w:r>
          </w:p>
        </w:tc>
        <w:tc>
          <w:tcPr>
            <w:tcW w:w="2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项目立项</w:t>
            </w:r>
          </w:p>
        </w:tc>
        <w:tc>
          <w:tcPr>
            <w:tcW w:w="4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立项依据充分性</w:t>
            </w:r>
          </w:p>
        </w:tc>
        <w:tc>
          <w:tcPr>
            <w:tcW w:w="7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项目立项是否符合法律法规、相关政策、发展规划以及部门职责，用以反映和考核项目立项依据情况。</w:t>
            </w:r>
          </w:p>
        </w:tc>
        <w:tc>
          <w:tcPr>
            <w:tcW w:w="1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①项目立项是否符合国家法律法规、国民经济发展规划和相关政策得1分，否则不得分；                                                 </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②项目立项是否符合行业发展规划和政策要求得0.5分，否则不得分；                 </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③项目立项是否与部门职责范围相符，属于部门履职所需得0.5分，否则不得分；       </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④项目是否属于公共财政支持范围，是否符合中央、地方事权支出责任划分原则得0.5分，否则不得分；</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⑤项目是否与相关部门同类项目或部门内部相关项目重复0.5分，否则不得分。</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立项程序规范性</w:t>
            </w:r>
          </w:p>
        </w:tc>
        <w:tc>
          <w:tcPr>
            <w:tcW w:w="7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项目申请、设立过程是否符合相关要求，用以反映和考核项目立项的规范情况。</w:t>
            </w:r>
          </w:p>
        </w:tc>
        <w:tc>
          <w:tcPr>
            <w:tcW w:w="1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①项目是否按照规定的程序申请设立得1分，否则不得分；                     </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②审批文件、材料是否符合相关要求得0.5分，否则不得分</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05"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③事前是否已经过必要的可行性研究、专家论证、风险评估、绩效评估、集体决策得0.5分，否则不得分。</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w:t>
            </w:r>
          </w:p>
        </w:tc>
        <w:tc>
          <w:tcPr>
            <w:tcW w:w="4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绩效目标合理性</w:t>
            </w:r>
          </w:p>
        </w:tc>
        <w:tc>
          <w:tcPr>
            <w:tcW w:w="7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项目所设定的绩效目标是否依据充分，是否符合客观实际，用以反映和考核项目绩效目标与项目实施的相符情况。</w:t>
            </w:r>
          </w:p>
        </w:tc>
        <w:tc>
          <w:tcPr>
            <w:tcW w:w="1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①项目是否有绩效目标得0.5分，否则不得分；                                 </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②项目绩效目标与实际工作内容是否具有相关性得1分，否则不得分；</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③项目预期产出效益和效果是否符合正常的业绩水平得0.5分，否则不得分；</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④是否与预算确定的项目投资额或资金量相匹配得1分，否则不得分。</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w:t>
            </w:r>
          </w:p>
        </w:tc>
        <w:tc>
          <w:tcPr>
            <w:tcW w:w="4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绩效指标明确性</w:t>
            </w:r>
          </w:p>
        </w:tc>
        <w:tc>
          <w:tcPr>
            <w:tcW w:w="7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依据绩效目标设定的绩效指标是否清晰、细化、可衡量等，用以反映和考核项目绩效目标的明细化情况。</w:t>
            </w:r>
          </w:p>
        </w:tc>
        <w:tc>
          <w:tcPr>
            <w:tcW w:w="1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①是否将项目绩效目标细化分解为具体的绩效指标得0.5分，否则不得分；              </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②是否通过清晰、可衡量的指标值予以体现得1分，否则不得分；</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③是否与项目目标任务数或计划数相对应得0.5分，否则不得分；</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资金投入</w:t>
            </w:r>
          </w:p>
        </w:tc>
        <w:tc>
          <w:tcPr>
            <w:tcW w:w="4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预算编制科学性</w:t>
            </w:r>
          </w:p>
        </w:tc>
        <w:tc>
          <w:tcPr>
            <w:tcW w:w="7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项目预算编制是否经过科学论证、有明确标准，资金额度与年度目标是否相适应，用以反映和考核项目预算编制的科学性、合理性情况</w:t>
            </w:r>
          </w:p>
        </w:tc>
        <w:tc>
          <w:tcPr>
            <w:tcW w:w="1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①预算编制是否经过科学论证得1分，否则不得分；                            </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②预算内容与项目内容是否匹配得1分，否则不得分；                       </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③预算额度测算依据是否充分，是否按照标准编制得1分，否则不得分；</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④预算确定的项目投资额或资金量是否与工作任务相匹配得2分，否则不得分。</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资金分配合理性</w:t>
            </w:r>
          </w:p>
        </w:tc>
        <w:tc>
          <w:tcPr>
            <w:tcW w:w="7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项目预算资金分配是否有测算依据，与补助单位或地方实际是否相适应，用以反映和考核项目预算资金分配的科学性、合理性情况。</w:t>
            </w:r>
          </w:p>
        </w:tc>
        <w:tc>
          <w:tcPr>
            <w:tcW w:w="1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①预算资金分配依据是否充分得2.5分，否则不得分；</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②资金分配额度是否合理，与项目单位或地方实际是否相适应得2.5分，否则不得分。</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过程    (20)</w:t>
            </w:r>
          </w:p>
        </w:tc>
        <w:tc>
          <w:tcPr>
            <w:tcW w:w="2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资金管理</w:t>
            </w:r>
          </w:p>
        </w:tc>
        <w:tc>
          <w:tcPr>
            <w:tcW w:w="4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w:t>
            </w:r>
          </w:p>
        </w:tc>
        <w:tc>
          <w:tcPr>
            <w:tcW w:w="7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实际到位资金与预算资金的比率，用以反映和考核资金落实情况对项目实施的总体保障程度</w:t>
            </w:r>
          </w:p>
        </w:tc>
        <w:tc>
          <w:tcPr>
            <w:tcW w:w="1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资金到位率=（实际到位资金/预算资金）×100%，</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①实际到位资金：一定时期（本年度或项目期）内落实到具体项目的资金得2.5分，否则不得分；</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②预算资金：一定时期（本年度或项目期）内预算安排到具体项目的资金得2.5分，否则不得分。</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w:t>
            </w:r>
          </w:p>
        </w:tc>
        <w:tc>
          <w:tcPr>
            <w:tcW w:w="7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项目预算资金是否按照计划执行，用以反映或考核项目预算执行情况</w:t>
            </w:r>
          </w:p>
        </w:tc>
        <w:tc>
          <w:tcPr>
            <w:tcW w:w="1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①预算执行率=（实际支出资金/实际到位资金）×100%得2.5分，否则不得分；</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4.93</w:t>
            </w:r>
          </w:p>
        </w:tc>
        <w:tc>
          <w:tcPr>
            <w:tcW w:w="6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预算执行率为98.5%，项目内容为聘请第三方实施畜产品质量安全检测成本费，支出人员差旅费、其他交通费等，项目资料主要为合同、票据、单据等财务资料，归档至财务档案中。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②一定时期（本年度或项目期）内项目实际拨付的资金得2.5分，否则不得分。</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资金使用合规性</w:t>
            </w:r>
          </w:p>
        </w:tc>
        <w:tc>
          <w:tcPr>
            <w:tcW w:w="7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项目资金使用是否符合相关的财务管理制度规定，用以反映和考核项目资金的规范运行情况</w:t>
            </w:r>
          </w:p>
        </w:tc>
        <w:tc>
          <w:tcPr>
            <w:tcW w:w="1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①是否符合国家财经法规和财务管理制度以及有关专项资金管理办法的规定得1分，否则不得分；</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②资金的拨付是否有完整的审批程序和手续得1分，否则不得分；               </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③是否符合项目预算批复或合同规定的用途得1分，否则不得分；</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④是否存在截留、挤占、挪用、虚列支出等情况得2分，否则不得分。</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组织实施</w:t>
            </w:r>
          </w:p>
        </w:tc>
        <w:tc>
          <w:tcPr>
            <w:tcW w:w="4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管理制度健全性</w:t>
            </w:r>
          </w:p>
        </w:tc>
        <w:tc>
          <w:tcPr>
            <w:tcW w:w="7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项目实施单位的财务和业务管理制度是否健全，用以反映和考核财务和业务管理制度对项目顺利实施的保障情况。</w:t>
            </w:r>
          </w:p>
        </w:tc>
        <w:tc>
          <w:tcPr>
            <w:tcW w:w="1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①是否已制定或具有相应的财务和业务管理制度得1分，否则不得分；           </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②财务和业务管理制度是否合法、合规、完整得1分，否则不得分。</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制度执行有效性</w:t>
            </w:r>
          </w:p>
        </w:tc>
        <w:tc>
          <w:tcPr>
            <w:tcW w:w="7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项目实施是否符合相关管理规定，用以反映和考核相关管理制度的有效执行情况。</w:t>
            </w:r>
          </w:p>
        </w:tc>
        <w:tc>
          <w:tcPr>
            <w:tcW w:w="1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①是否遵守相关法律法规和相关管理规定得1分，否则不得分；                 </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②项目调整及支出调整手续是否完备得1分，否则不得分；                     </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③项目合同书、验收报告、技术鉴定等资料是否齐全并及时归档得0.5分，否则不得分；                                                 </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④项目实施的人员条件、场地设备、信息支撑等是否落实到位得0.5分，否则不得分。</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29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（40）</w:t>
            </w:r>
          </w:p>
        </w:tc>
        <w:tc>
          <w:tcPr>
            <w:tcW w:w="29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产出数量</w:t>
            </w:r>
          </w:p>
        </w:tc>
        <w:tc>
          <w:tcPr>
            <w:tcW w:w="48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实际完成率</w:t>
            </w:r>
          </w:p>
        </w:tc>
        <w:tc>
          <w:tcPr>
            <w:tcW w:w="79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项目实施的实际产出数与计划产出数的比率，用以反映和考核项目产出数量目标的实现程度</w:t>
            </w:r>
          </w:p>
        </w:tc>
        <w:tc>
          <w:tcPr>
            <w:tcW w:w="17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①畜产品质量安全监测数量目标值为330批次，完成该指标得满分（5分）否则不得分；</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8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政采云检测成本成交价为535元/批次，用差价续签了34批次（包含赠送五批次），实际完成364批次。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②监测样品种类目标值为5个，完成该指标得满分（5分）否则不得分；</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28"/>
                <w:szCs w:val="28"/>
                <w:u w:val="none"/>
              </w:rPr>
            </w:pPr>
            <w:r>
              <w:rPr>
                <w:rStyle w:val="20"/>
                <w:rFonts w:eastAsia="宋体"/>
                <w:lang w:val="en-US" w:eastAsia="zh-CN" w:bidi="ar"/>
              </w:rPr>
              <w:t xml:space="preserve"> </w:t>
            </w:r>
            <w:r>
              <w:rPr>
                <w:rStyle w:val="21"/>
                <w:lang w:val="en-US" w:eastAsia="zh-CN" w:bidi="ar"/>
              </w:rPr>
              <w:t xml:space="preserve">实际完成率=（实际产出数/计划产出数）×100% 。             </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实际产出数：一定时期（本年度或项目期）内项目实际产出的产品或提供的服务数量。</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产出质量</w:t>
            </w:r>
          </w:p>
        </w:tc>
        <w:tc>
          <w:tcPr>
            <w:tcW w:w="48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质量达标率</w:t>
            </w:r>
          </w:p>
        </w:tc>
        <w:tc>
          <w:tcPr>
            <w:tcW w:w="79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项目完成的质量达标产出数与实际产出数的比率，用以反映和考核项目产出质量目标的实现程度。</w:t>
            </w:r>
          </w:p>
        </w:tc>
        <w:tc>
          <w:tcPr>
            <w:tcW w:w="17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①产品质量检测结果合格率目标值为100%，完成该指标得满分（10分）否则不得分；</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6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28"/>
                <w:szCs w:val="28"/>
                <w:u w:val="none"/>
              </w:rPr>
            </w:pPr>
            <w:r>
              <w:rPr>
                <w:rStyle w:val="20"/>
                <w:rFonts w:eastAsia="宋体"/>
                <w:lang w:val="en-US" w:eastAsia="zh-CN" w:bidi="ar"/>
              </w:rPr>
              <w:t xml:space="preserve"> </w:t>
            </w:r>
            <w:r>
              <w:rPr>
                <w:rStyle w:val="21"/>
                <w:lang w:val="en-US" w:eastAsia="zh-CN" w:bidi="ar"/>
              </w:rPr>
              <w:t xml:space="preserve">质量达标率=（质量达标产出数/实际产出数）×100%。          </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质量达标产出数：一定时期（本年度或项目期）内实际达到既定质量标准的产品或服务数量。</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产出时效</w:t>
            </w:r>
          </w:p>
        </w:tc>
        <w:tc>
          <w:tcPr>
            <w:tcW w:w="4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完成及时性</w:t>
            </w:r>
          </w:p>
        </w:tc>
        <w:tc>
          <w:tcPr>
            <w:tcW w:w="7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项目实际完成时间与计划完成时间的比较，用以反映和考核项目产出时效目标的实现程度。</w:t>
            </w:r>
          </w:p>
        </w:tc>
        <w:tc>
          <w:tcPr>
            <w:tcW w:w="17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①资金拨付及时性目标值为100%，完成该指标得满分（10分）否则不得分；</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实际完成时间：项目实施单位完成该项目实际所耗用的时间。                                                计划完成时间：按照项目实施计划或相关规定完成该项目所需的时间。</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产出成本</w:t>
            </w:r>
          </w:p>
        </w:tc>
        <w:tc>
          <w:tcPr>
            <w:tcW w:w="48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成本节约率</w:t>
            </w:r>
          </w:p>
        </w:tc>
        <w:tc>
          <w:tcPr>
            <w:tcW w:w="79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完成项目计划工作目标的实际节约成本与计划成本的比率，用以反映和考核项目的成本节约程度。</w:t>
            </w:r>
          </w:p>
        </w:tc>
        <w:tc>
          <w:tcPr>
            <w:tcW w:w="17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①聘请第三方实施畜产品质量安全检测成本目标值为579元/批次，完成该指标得满分（5分）否则不得分；</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7.95</w:t>
            </w:r>
          </w:p>
        </w:tc>
        <w:tc>
          <w:tcPr>
            <w:tcW w:w="6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通过政采云采购，成本价为535元/批次；受疫情影响人员未产生差旅费，3000元差旅费未执行。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Style w:val="21"/>
                <w:lang w:val="en-US" w:eastAsia="zh-CN" w:bidi="ar"/>
              </w:rPr>
              <w:t>②项目其他相关经费目标值为≤9000元，完成该指标得满分（5分）否则不得分；</w:t>
            </w:r>
            <w:r>
              <w:rPr>
                <w:rStyle w:val="20"/>
                <w:rFonts w:eastAsia="宋体"/>
                <w:lang w:val="en-US" w:eastAsia="zh-CN" w:bidi="ar"/>
              </w:rPr>
              <w:t xml:space="preserve"> </w:t>
            </w:r>
            <w:r>
              <w:rPr>
                <w:rStyle w:val="21"/>
                <w:lang w:val="en-US" w:eastAsia="zh-CN" w:bidi="ar"/>
              </w:rPr>
              <w:t>；</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     （20）</w:t>
            </w:r>
          </w:p>
        </w:tc>
        <w:tc>
          <w:tcPr>
            <w:tcW w:w="29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项目效益</w:t>
            </w:r>
          </w:p>
        </w:tc>
        <w:tc>
          <w:tcPr>
            <w:tcW w:w="48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实施效益</w:t>
            </w:r>
          </w:p>
        </w:tc>
        <w:tc>
          <w:tcPr>
            <w:tcW w:w="79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项目实施所产生的效益</w:t>
            </w:r>
          </w:p>
        </w:tc>
        <w:tc>
          <w:tcPr>
            <w:tcW w:w="17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①经济效益：无</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②社会效益：促进养殖环节科学合理用药目标值为有效促进，完成该指标得满分（5分），否则不得分；                                </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③生态效益：无                                                      </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17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Style w:val="21"/>
                <w:lang w:val="en-US" w:eastAsia="zh-CN" w:bidi="ar"/>
              </w:rPr>
              <w:t>④可持续影响：保障我区动物及动物产品质量安全目标值为1年，完成该指标得满分（5分），否则不得分。</w:t>
            </w:r>
            <w:r>
              <w:rPr>
                <w:rStyle w:val="20"/>
                <w:rFonts w:eastAsia="宋体"/>
                <w:lang w:val="en-US" w:eastAsia="zh-CN" w:bidi="ar"/>
              </w:rPr>
              <w:t xml:space="preserve"> </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48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79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社会公众或服务对象对项目实施效果的满意程度。</w:t>
            </w:r>
          </w:p>
        </w:tc>
        <w:tc>
          <w:tcPr>
            <w:tcW w:w="1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根据问卷调查，检测结果使用工作人员满意度目标值为 100%，完成该指标得满（10分）：     ①满意度大于等于95%，得10分；</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②满意度小于95%大于等于85%，得8分；</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③满意度小于85%大于等于70%，得5分；</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9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79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8"/>
                <w:szCs w:val="18"/>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rPr>
                <w:rFonts w:hint="eastAsia" w:ascii="宋体" w:hAnsi="宋体" w:eastAsia="宋体" w:cs="宋体"/>
                <w:i w:val="0"/>
                <w:iCs w:val="0"/>
                <w:color w:val="000000"/>
                <w:sz w:val="22"/>
                <w:szCs w:val="22"/>
                <w:u w:val="none"/>
              </w:rPr>
            </w:pPr>
          </w:p>
        </w:tc>
        <w:tc>
          <w:tcPr>
            <w:tcW w:w="20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④人满意度小于等于70%，不得分。</w:t>
            </w: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0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7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0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18"/>
                <w:szCs w:val="18"/>
                <w:u w:val="none"/>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97.88</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pStyle w:val="16"/>
        <w:rPr>
          <w:rFonts w:hint="eastAsia"/>
          <w:lang w:val="en-US" w:eastAsia="zh-CN"/>
        </w:rPr>
        <w:sectPr>
          <w:pgSz w:w="16838" w:h="11906" w:orient="landscape"/>
          <w:pgMar w:top="1531" w:right="1984" w:bottom="1531" w:left="1701" w:header="851" w:footer="992" w:gutter="0"/>
          <w:pgNumType w:fmt="decimal" w:start="1"/>
          <w:cols w:space="720" w:num="1"/>
          <w:rtlGutter w:val="0"/>
          <w:docGrid w:type="lines" w:linePitch="386" w:charSpace="0"/>
        </w:sectPr>
      </w:pPr>
    </w:p>
    <w:p>
      <w:pPr>
        <w:pageBreakBefore w:val="0"/>
        <w:kinsoku/>
        <w:wordWrap/>
        <w:overflowPunct w:val="0"/>
        <w:topLinePunct w:val="0"/>
        <w:autoSpaceDE/>
        <w:autoSpaceDN/>
        <w:bidi w:val="0"/>
        <w:spacing w:line="560" w:lineRule="exact"/>
        <w:contextualSpacing/>
        <w:rPr>
          <w:rFonts w:hint="default" w:ascii="Times New Roman" w:hAnsi="Times New Roman" w:eastAsia="方正仿宋_GBK" w:cs="方正仿宋_GBK"/>
          <w:b/>
          <w:bCs/>
          <w:kern w:val="2"/>
          <w:sz w:val="32"/>
          <w:szCs w:val="32"/>
          <w:lang w:val="en-US" w:eastAsia="zh-CN" w:bidi="ar-SA"/>
        </w:rPr>
      </w:pPr>
      <w:r>
        <w:rPr>
          <w:rFonts w:hint="eastAsia" w:ascii="Times New Roman" w:hAnsi="Times New Roman" w:eastAsia="方正仿宋_GBK" w:cs="方正仿宋_GBK"/>
          <w:b/>
          <w:bCs/>
          <w:kern w:val="2"/>
          <w:sz w:val="32"/>
          <w:szCs w:val="32"/>
          <w:lang w:val="en-US" w:eastAsia="zh-CN" w:bidi="ar-SA"/>
        </w:rPr>
        <w:t>附件2：满意度调查问卷</w:t>
      </w:r>
    </w:p>
    <w:p>
      <w:pPr>
        <w:pageBreakBefore w:val="0"/>
        <w:kinsoku/>
        <w:wordWrap/>
        <w:overflowPunct w:val="0"/>
        <w:topLinePunct w:val="0"/>
        <w:autoSpaceDE/>
        <w:autoSpaceDN/>
        <w:bidi w:val="0"/>
        <w:spacing w:line="560" w:lineRule="exact"/>
        <w:ind w:firstLine="643"/>
        <w:contextualSpacing/>
        <w:rPr>
          <w:rFonts w:hint="eastAsia" w:ascii="Times New Roman" w:hAnsi="Times New Roman" w:eastAsia="方正仿宋_GBK" w:cs="方正仿宋_GBK"/>
          <w:sz w:val="32"/>
          <w:szCs w:val="32"/>
        </w:rPr>
      </w:pPr>
    </w:p>
    <w:p>
      <w:pPr>
        <w:spacing w:line="220" w:lineRule="atLeast"/>
        <w:rPr>
          <w:rFonts w:hint="eastAsia" w:eastAsia="微软雅黑"/>
          <w:lang w:eastAsia="zh-CN"/>
        </w:rPr>
      </w:pPr>
      <w:r>
        <w:rPr>
          <w:rFonts w:hint="eastAsia" w:eastAsia="微软雅黑"/>
          <w:lang w:eastAsia="zh-CN"/>
        </w:rPr>
        <w:drawing>
          <wp:inline distT="0" distB="0" distL="114300" distR="114300">
            <wp:extent cx="5662295" cy="7455535"/>
            <wp:effectExtent l="0" t="0" r="1905" b="12065"/>
            <wp:docPr id="1" name="图片 1" descr="畜产品质量安全检测项目满意度调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畜产品质量安全检测项目满意度调查"/>
                    <pic:cNvPicPr>
                      <a:picLocks noChangeAspect="1"/>
                    </pic:cNvPicPr>
                  </pic:nvPicPr>
                  <pic:blipFill>
                    <a:blip r:embed="rId8"/>
                    <a:stretch>
                      <a:fillRect/>
                    </a:stretch>
                  </pic:blipFill>
                  <pic:spPr>
                    <a:xfrm>
                      <a:off x="0" y="0"/>
                      <a:ext cx="5662295" cy="7455535"/>
                    </a:xfrm>
                    <a:prstGeom prst="rect">
                      <a:avLst/>
                    </a:prstGeom>
                  </pic:spPr>
                </pic:pic>
              </a:graphicData>
            </a:graphic>
          </wp:inline>
        </w:drawing>
      </w:r>
    </w:p>
    <w:sectPr>
      <w:pgSz w:w="11906" w:h="16838"/>
      <w:pgMar w:top="1984" w:right="1531" w:bottom="1701" w:left="1531" w:header="851" w:footer="992" w:gutter="0"/>
      <w:pgNumType w:fmt="decimal" w:start="1"/>
      <w:cols w:space="720" w:num="1"/>
      <w:rtlGutter w:val="0"/>
      <w:docGrid w:type="lines" w:linePitch="3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黑体_GBK">
    <w:altName w:val="Arial Unicode MS"/>
    <w:panose1 w:val="03000509000000000000"/>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2</w:t>
                </w:r>
                <w:r>
                  <w:rPr>
                    <w:sz w:val="21"/>
                    <w:szCs w:val="21"/>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262736"/>
    <w:multiLevelType w:val="singleLevel"/>
    <w:tmpl w:val="A826273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endnotePr>
    <w:endnote w:id="0"/>
    <w:endnote w:id="1"/>
  </w:end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ZThmNjAzMWJlZjFkMmQwODUwMTJkYzE2ODFiYmFmYTcifQ=="/>
  </w:docVars>
  <w:rsids>
    <w:rsidRoot w:val="00D31D50"/>
    <w:rsid w:val="00070E4F"/>
    <w:rsid w:val="001B497C"/>
    <w:rsid w:val="00323B43"/>
    <w:rsid w:val="003D37D8"/>
    <w:rsid w:val="00426133"/>
    <w:rsid w:val="004358AB"/>
    <w:rsid w:val="008B7726"/>
    <w:rsid w:val="00D31D50"/>
    <w:rsid w:val="01DD1E9F"/>
    <w:rsid w:val="025659C8"/>
    <w:rsid w:val="027E756D"/>
    <w:rsid w:val="04255E5D"/>
    <w:rsid w:val="0B490CDB"/>
    <w:rsid w:val="0E2A72F2"/>
    <w:rsid w:val="0EC145B8"/>
    <w:rsid w:val="11A47C1D"/>
    <w:rsid w:val="15FC3643"/>
    <w:rsid w:val="16FA2149"/>
    <w:rsid w:val="17505C03"/>
    <w:rsid w:val="1A5E6E30"/>
    <w:rsid w:val="1B721C76"/>
    <w:rsid w:val="1BBB6955"/>
    <w:rsid w:val="1C3C7FC8"/>
    <w:rsid w:val="1D905BC0"/>
    <w:rsid w:val="1ED67812"/>
    <w:rsid w:val="1EF65EF6"/>
    <w:rsid w:val="21455266"/>
    <w:rsid w:val="21E309B4"/>
    <w:rsid w:val="222E0BFE"/>
    <w:rsid w:val="23547131"/>
    <w:rsid w:val="23E7395E"/>
    <w:rsid w:val="2688487A"/>
    <w:rsid w:val="26984063"/>
    <w:rsid w:val="27E43DC6"/>
    <w:rsid w:val="281318C7"/>
    <w:rsid w:val="289E0CDF"/>
    <w:rsid w:val="29F81E6C"/>
    <w:rsid w:val="2A7C2F67"/>
    <w:rsid w:val="2BDD46C6"/>
    <w:rsid w:val="2DE24F80"/>
    <w:rsid w:val="2E676CAE"/>
    <w:rsid w:val="2EFE2478"/>
    <w:rsid w:val="2F715851"/>
    <w:rsid w:val="2FE5270A"/>
    <w:rsid w:val="2FE8101E"/>
    <w:rsid w:val="313254DE"/>
    <w:rsid w:val="32A27DBD"/>
    <w:rsid w:val="34765CAF"/>
    <w:rsid w:val="371F3D79"/>
    <w:rsid w:val="383C2C0E"/>
    <w:rsid w:val="3A53246B"/>
    <w:rsid w:val="3A99023C"/>
    <w:rsid w:val="3C561C62"/>
    <w:rsid w:val="3C8841DA"/>
    <w:rsid w:val="3DEB0EC4"/>
    <w:rsid w:val="3E0D1A50"/>
    <w:rsid w:val="3E0E012A"/>
    <w:rsid w:val="3E310F24"/>
    <w:rsid w:val="3F6167FD"/>
    <w:rsid w:val="42B52814"/>
    <w:rsid w:val="4801526D"/>
    <w:rsid w:val="4B09298A"/>
    <w:rsid w:val="4CF34A04"/>
    <w:rsid w:val="50483034"/>
    <w:rsid w:val="50512FF3"/>
    <w:rsid w:val="51CE1BEE"/>
    <w:rsid w:val="52191529"/>
    <w:rsid w:val="54B50872"/>
    <w:rsid w:val="54C74388"/>
    <w:rsid w:val="57AD1ACD"/>
    <w:rsid w:val="58537699"/>
    <w:rsid w:val="59576FB6"/>
    <w:rsid w:val="5A0D0953"/>
    <w:rsid w:val="5A1F1AC0"/>
    <w:rsid w:val="5A7A1214"/>
    <w:rsid w:val="5AA93841"/>
    <w:rsid w:val="5AD33626"/>
    <w:rsid w:val="5AD41A37"/>
    <w:rsid w:val="5AFF16B3"/>
    <w:rsid w:val="5BA72E97"/>
    <w:rsid w:val="5C532C2C"/>
    <w:rsid w:val="5FE02E0D"/>
    <w:rsid w:val="60B6719D"/>
    <w:rsid w:val="60DD7601"/>
    <w:rsid w:val="61C460A8"/>
    <w:rsid w:val="62712E97"/>
    <w:rsid w:val="636510AF"/>
    <w:rsid w:val="67FF0BDE"/>
    <w:rsid w:val="689A0C6D"/>
    <w:rsid w:val="69BF6BDD"/>
    <w:rsid w:val="69C52D24"/>
    <w:rsid w:val="6A576E16"/>
    <w:rsid w:val="6AD31A89"/>
    <w:rsid w:val="6C02514D"/>
    <w:rsid w:val="6C2B1DC9"/>
    <w:rsid w:val="6C2E1DF8"/>
    <w:rsid w:val="6D2F34A0"/>
    <w:rsid w:val="6EA16AB3"/>
    <w:rsid w:val="70A65D89"/>
    <w:rsid w:val="723A0E28"/>
    <w:rsid w:val="72D17B47"/>
    <w:rsid w:val="73DE7460"/>
    <w:rsid w:val="74077AAC"/>
    <w:rsid w:val="74FF2584"/>
    <w:rsid w:val="751F034E"/>
    <w:rsid w:val="75DC0B17"/>
    <w:rsid w:val="77566A7D"/>
    <w:rsid w:val="7C4D7B2B"/>
    <w:rsid w:val="7E1F15C0"/>
    <w:rsid w:val="7E1F3DC5"/>
    <w:rsid w:val="7E7B399C"/>
    <w:rsid w:val="7EC16EC3"/>
    <w:rsid w:val="7F841B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paragraph" w:styleId="7">
    <w:name w:val="heading 4"/>
    <w:basedOn w:val="1"/>
    <w:next w:val="1"/>
    <w:semiHidden/>
    <w:unhideWhenUsed/>
    <w:qFormat/>
    <w:uiPriority w:val="9"/>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8">
    <w:name w:val="annotation text"/>
    <w:basedOn w:val="1"/>
    <w:unhideWhenUsed/>
    <w:qFormat/>
    <w:uiPriority w:val="99"/>
    <w:rPr>
      <w:rFonts w:cs="Times New Roman"/>
      <w:kern w:val="0"/>
      <w:sz w:val="20"/>
      <w:szCs w:val="20"/>
    </w:rPr>
  </w:style>
  <w:style w:type="paragraph" w:styleId="9">
    <w:name w:val="Body Text"/>
    <w:basedOn w:val="1"/>
    <w:next w:val="1"/>
    <w:qFormat/>
    <w:uiPriority w:val="0"/>
    <w:pPr>
      <w:spacing w:before="240" w:after="240" w:line="360" w:lineRule="auto"/>
      <w:jc w:val="center"/>
    </w:pPr>
    <w:rPr>
      <w:b/>
      <w:sz w:val="44"/>
    </w:rPr>
  </w:style>
  <w:style w:type="paragraph" w:styleId="10">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4">
    <w:name w:val="Strong"/>
    <w:basedOn w:val="13"/>
    <w:qFormat/>
    <w:uiPriority w:val="0"/>
    <w:rPr>
      <w:b/>
      <w:bCs/>
    </w:rPr>
  </w:style>
  <w:style w:type="paragraph" w:customStyle="1" w:styleId="15">
    <w:name w:val="闻政-正文二级标题"/>
    <w:basedOn w:val="6"/>
    <w:next w:val="16"/>
    <w:qFormat/>
    <w:uiPriority w:val="3"/>
    <w:pPr>
      <w:spacing w:before="120" w:after="60" w:line="500" w:lineRule="exact"/>
      <w:ind w:left="200" w:leftChars="200" w:firstLine="0" w:firstLineChars="0"/>
    </w:pPr>
    <w:rPr>
      <w:rFonts w:ascii="Times New Roman" w:hAnsi="Times New Roman"/>
      <w:sz w:val="28"/>
    </w:rPr>
  </w:style>
  <w:style w:type="paragraph" w:customStyle="1" w:styleId="1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7">
    <w:name w:val="闻政-正文一级标题"/>
    <w:basedOn w:val="2"/>
    <w:next w:val="16"/>
    <w:qFormat/>
    <w:uiPriority w:val="3"/>
    <w:pPr>
      <w:spacing w:before="120" w:after="60" w:line="500" w:lineRule="exact"/>
      <w:ind w:firstLine="0" w:firstLineChars="0"/>
      <w:outlineLvl w:val="0"/>
    </w:pPr>
    <w:rPr>
      <w:rFonts w:ascii="黑体" w:hAnsi="黑体" w:eastAsia="黑体"/>
      <w:sz w:val="32"/>
    </w:rPr>
  </w:style>
  <w:style w:type="character" w:customStyle="1" w:styleId="18">
    <w:name w:val="font21"/>
    <w:basedOn w:val="13"/>
    <w:qFormat/>
    <w:uiPriority w:val="0"/>
    <w:rPr>
      <w:rFonts w:hint="default" w:ascii="Times New Roman" w:hAnsi="Times New Roman" w:cs="Times New Roman"/>
      <w:color w:val="000000"/>
      <w:sz w:val="24"/>
      <w:szCs w:val="24"/>
      <w:u w:val="none"/>
    </w:rPr>
  </w:style>
  <w:style w:type="character" w:customStyle="1" w:styleId="19">
    <w:name w:val="font11"/>
    <w:qFormat/>
    <w:uiPriority w:val="0"/>
    <w:rPr>
      <w:rFonts w:hint="eastAsia" w:ascii="方正仿宋_GBK" w:hAnsi="方正仿宋_GBK" w:eastAsia="方正仿宋_GBK" w:cs="方正仿宋_GBK"/>
      <w:color w:val="000000"/>
      <w:sz w:val="24"/>
      <w:szCs w:val="24"/>
      <w:u w:val="none"/>
    </w:rPr>
  </w:style>
  <w:style w:type="character" w:customStyle="1" w:styleId="20">
    <w:name w:val="font51"/>
    <w:basedOn w:val="13"/>
    <w:uiPriority w:val="0"/>
    <w:rPr>
      <w:rFonts w:hint="default" w:ascii="Times New Roman" w:hAnsi="Times New Roman" w:cs="Times New Roman"/>
      <w:color w:val="000000"/>
      <w:sz w:val="28"/>
      <w:szCs w:val="28"/>
      <w:u w:val="none"/>
    </w:rPr>
  </w:style>
  <w:style w:type="character" w:customStyle="1" w:styleId="21">
    <w:name w:val="font41"/>
    <w:basedOn w:val="13"/>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9097</Words>
  <Characters>9663</Characters>
  <Lines>1</Lines>
  <Paragraphs>1</Paragraphs>
  <TotalTime>18</TotalTime>
  <ScaleCrop>false</ScaleCrop>
  <LinksUpToDate>false</LinksUpToDate>
  <CharactersWithSpaces>9878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企业用户_703667156</cp:lastModifiedBy>
  <dcterms:modified xsi:type="dcterms:W3CDTF">2023-08-22T07:51:06Z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C0F1A795A17E4D17B8C4B30E19F3EB59</vt:lpwstr>
  </property>
</Properties>
</file>