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F29FC5">
      <w:pPr>
        <w:spacing w:line="570" w:lineRule="exact"/>
        <w:jc w:val="center"/>
        <w:rPr>
          <w:rFonts w:ascii="华文中宋" w:hAnsi="华文中宋" w:eastAsia="华文中宋" w:cs="宋体"/>
          <w:b/>
          <w:kern w:val="0"/>
          <w:sz w:val="52"/>
          <w:szCs w:val="52"/>
        </w:rPr>
      </w:pPr>
      <w:bookmarkStart w:id="0" w:name="_GoBack"/>
      <w:bookmarkEnd w:id="0"/>
    </w:p>
    <w:p w14:paraId="50F87B37">
      <w:pPr>
        <w:spacing w:line="570" w:lineRule="exact"/>
        <w:jc w:val="center"/>
        <w:rPr>
          <w:rFonts w:ascii="华文中宋" w:hAnsi="华文中宋" w:eastAsia="华文中宋" w:cs="宋体"/>
          <w:b/>
          <w:kern w:val="0"/>
          <w:sz w:val="52"/>
          <w:szCs w:val="52"/>
        </w:rPr>
      </w:pPr>
    </w:p>
    <w:p w14:paraId="38E76D67">
      <w:pPr>
        <w:spacing w:line="570" w:lineRule="exact"/>
        <w:jc w:val="center"/>
        <w:rPr>
          <w:rFonts w:ascii="华文中宋" w:hAnsi="华文中宋" w:eastAsia="华文中宋" w:cs="宋体"/>
          <w:b/>
          <w:kern w:val="0"/>
          <w:sz w:val="52"/>
          <w:szCs w:val="52"/>
        </w:rPr>
      </w:pPr>
    </w:p>
    <w:p w14:paraId="16CDBCA7">
      <w:pPr>
        <w:spacing w:line="570" w:lineRule="exact"/>
        <w:jc w:val="center"/>
        <w:rPr>
          <w:rFonts w:ascii="华文中宋" w:hAnsi="华文中宋" w:eastAsia="华文中宋" w:cs="宋体"/>
          <w:b/>
          <w:kern w:val="0"/>
          <w:sz w:val="52"/>
          <w:szCs w:val="52"/>
        </w:rPr>
      </w:pPr>
    </w:p>
    <w:p w14:paraId="4EAD9DEF">
      <w:pPr>
        <w:spacing w:line="570" w:lineRule="exact"/>
        <w:jc w:val="both"/>
        <w:rPr>
          <w:rFonts w:ascii="华文中宋" w:hAnsi="华文中宋" w:eastAsia="华文中宋" w:cs="宋体"/>
          <w:b/>
          <w:kern w:val="0"/>
          <w:sz w:val="52"/>
          <w:szCs w:val="52"/>
        </w:rPr>
      </w:pPr>
    </w:p>
    <w:p w14:paraId="2C716AEC">
      <w:pPr>
        <w:spacing w:line="570" w:lineRule="exact"/>
        <w:jc w:val="center"/>
        <w:rPr>
          <w:rFonts w:ascii="华文中宋" w:hAnsi="华文中宋" w:eastAsia="华文中宋" w:cs="宋体"/>
          <w:b/>
          <w:kern w:val="0"/>
          <w:sz w:val="52"/>
          <w:szCs w:val="52"/>
        </w:rPr>
      </w:pPr>
    </w:p>
    <w:p w14:paraId="32DA7C6A">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14:paraId="214778A4">
      <w:pPr>
        <w:spacing w:line="570" w:lineRule="exact"/>
        <w:jc w:val="center"/>
        <w:rPr>
          <w:rFonts w:ascii="华文中宋" w:hAnsi="华文中宋" w:eastAsia="华文中宋" w:cs="宋体"/>
          <w:b/>
          <w:kern w:val="0"/>
          <w:sz w:val="52"/>
          <w:szCs w:val="52"/>
        </w:rPr>
      </w:pPr>
    </w:p>
    <w:p w14:paraId="7A958333">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329B2F57">
      <w:pPr>
        <w:spacing w:line="570" w:lineRule="exact"/>
        <w:jc w:val="center"/>
        <w:rPr>
          <w:rFonts w:hAnsi="宋体" w:eastAsia="仿宋_GB2312" w:cs="宋体"/>
          <w:kern w:val="0"/>
          <w:sz w:val="30"/>
          <w:szCs w:val="30"/>
        </w:rPr>
      </w:pPr>
    </w:p>
    <w:p w14:paraId="25BFA1A8">
      <w:pPr>
        <w:spacing w:line="570" w:lineRule="exact"/>
        <w:jc w:val="center"/>
        <w:rPr>
          <w:rFonts w:hAnsi="宋体" w:eastAsia="仿宋_GB2312" w:cs="宋体"/>
          <w:kern w:val="0"/>
          <w:sz w:val="30"/>
          <w:szCs w:val="30"/>
        </w:rPr>
      </w:pPr>
    </w:p>
    <w:p w14:paraId="65D3E6C1">
      <w:pPr>
        <w:spacing w:line="570" w:lineRule="exact"/>
        <w:jc w:val="center"/>
        <w:rPr>
          <w:rFonts w:hAnsi="宋体" w:eastAsia="仿宋_GB2312" w:cs="宋体"/>
          <w:kern w:val="0"/>
          <w:sz w:val="30"/>
          <w:szCs w:val="30"/>
        </w:rPr>
      </w:pPr>
    </w:p>
    <w:p w14:paraId="0BA3FD46">
      <w:pPr>
        <w:spacing w:line="570" w:lineRule="exact"/>
        <w:jc w:val="center"/>
        <w:rPr>
          <w:rFonts w:hAnsi="宋体" w:eastAsia="仿宋_GB2312" w:cs="宋体"/>
          <w:kern w:val="0"/>
          <w:sz w:val="30"/>
          <w:szCs w:val="30"/>
        </w:rPr>
      </w:pPr>
    </w:p>
    <w:p w14:paraId="60723B64">
      <w:pPr>
        <w:spacing w:line="570" w:lineRule="exact"/>
        <w:jc w:val="center"/>
        <w:rPr>
          <w:rFonts w:hAnsi="宋体" w:eastAsia="仿宋_GB2312" w:cs="宋体"/>
          <w:kern w:val="0"/>
          <w:sz w:val="30"/>
          <w:szCs w:val="30"/>
        </w:rPr>
      </w:pPr>
    </w:p>
    <w:p w14:paraId="40EED9B0">
      <w:pPr>
        <w:spacing w:line="570" w:lineRule="exact"/>
        <w:jc w:val="center"/>
        <w:rPr>
          <w:rFonts w:hAnsi="宋体" w:eastAsia="仿宋_GB2312" w:cs="宋体"/>
          <w:kern w:val="0"/>
          <w:sz w:val="30"/>
          <w:szCs w:val="30"/>
        </w:rPr>
      </w:pPr>
    </w:p>
    <w:p w14:paraId="3F2D06EC">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智力援疆创新拓展计划-“小组团”鲁喀蔬菜专家服务团小组团援疆项目</w:t>
      </w:r>
    </w:p>
    <w:p w14:paraId="5FB9C463">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新疆喀什地区瓜果蔬菜产业发展中心</w:t>
      </w:r>
    </w:p>
    <w:p w14:paraId="10A65922">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喀什地区农业农村局</w:t>
      </w:r>
    </w:p>
    <w:p w14:paraId="21E94DE3">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汪俊</w:t>
      </w:r>
    </w:p>
    <w:p w14:paraId="11120873">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2024年03月14日</w:t>
      </w:r>
    </w:p>
    <w:p w14:paraId="5473FB96">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533743B4">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23F8A719">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3B154684">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喀什地区蔬菜产业是巩固拓展脱贫攻坚成果、推动产业振兴的支柱性产业。为立足新发展阶段，贯彻新发展理念，融入新发展格局，深入实施蔬菜产业提质增效工程，推动蔬菜产业高质量发展，实现农民持续稳固增收。针对喀什地区蔬菜产业高质量发展中急需的新品种、新技术、新模式及现代蔬菜产业科技示范园等现代蔬菜产业发展面临的技术需求，特提出本研究示范项目，以解决现代蔬菜产业基地建设及蔬菜产业提质增效园改造关键技术问题，为喀什地区现代蔬菜产业种植提供发展模式和配套技术支撑。</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智力援疆创新拓展计划-“小组团”鲁喀蔬菜专家服务团小组团援疆项目实施前期、过程及效果，评价财政预算资金使用的效率及效益。通过该项目的实施，在疏勒、莎车等建立蔬菜专家工作站，依托疏勒、莎车、叶城等蔬菜示范基地，挂牌成立“蔬菜专家工作站”，相关领域专家进站工作，辐射带动地区其他县，打造生产样板配合县市负责做好设施蔬菜、露地蔬菜关键节点技术指导服务，指导种植户强化田间管理、科学施肥、合理用药，培训本地菜农落实好各项关键管理技术措施，解决生产中的技术问题；以市场为导向，引进蔬菜新优蔬菜品种，开展品种对比筛选试验示范，以及新技术、新模式的集成示范，开展夏季冷凉蔬菜种植试验，充分利用南疆光热水资源条件，筛选抗病毒越夏蔬菜品种，推广露地蔬菜轻简化、机械化栽培技术，打造南疆夏季蔬菜生产新模式。在示范点，通过采取田间授课、现场观摩、开设培训班、发放技术手册，充分利用新媒体微信公众号、抖音等多种形式开展指导及技术培训；组织开展全区性生产生产管理现场会；带动培养基层技术骨干。</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建设根据蔬菜种类和茬口安排，2023年计划引进优良蔬菜新品种50个以上（番茄、辣椒、茄子、白菜、贝贝南瓜、羊角蜜、博洋9薄皮甜瓜、礼品小西瓜等类型，每种5个以上）。筛选出适于喀什地区设施栽培的丰产、抗病、耐低温、耐高温瓜菜类品种各2-3个，适宜在喀什不同茬口种植的蔬菜瓜果类品种各2-3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1、在疏勒县、莎车县、叶城等蔬菜生产基地抓点示范，辐射带动面积3000亩。</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2、各项栽培技术措施得到及时落实，病虫害防治得到有效控制，初步实现生产规程标准化，增产效益明显提高。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3、示范点蔬菜单产提高10%以上，摸索制定蔬菜生产标准化技术规程，基本实现全年生产，均衡供应，提升蔬菜保障能力，促进蔬菜产业高质量发展。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结合指导服务，分层次、分季节、分重要技术节点开展集中培训和现场指导培训5-8场次，培训300人次以上，做到每个示范户都有一个明白人，极大的调动农民种菜的积极性。使种植户相对认知度高，群众满意度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5、在品种优化上取的新成效，筛选出适宜喀什地区栽培的新优蔬菜品种5-8个。为蔬菜产业提质增效奠定基础。</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6、通过抓示范点推行标准化蔬菜生产技术，减少化学品投入，保证食品安全。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新疆喀什地区瓜果蔬菜属于全额财政拨款事业单位，位于喀什市色满路418号院，独立编制机构2个，3个科室（行政办公室、西甜瓜工作站、蔬菜工作站），1个正科级事业单位林果工作推广站。执行政府会计准则。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编制人数32人，其中：事业编制32人。实有在职人数30人，其中：事业在职30人，事业退休22人。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智力援疆创新拓展计划-“小组团”鲁喀蔬菜专家服务团小组团援疆项目，根据《关于下达2023年度新疆人才发展基金第一批重大人才计划项目支持资金的通知》喀地财行【2023】5号共安排下达资金60万元，为人才发展资金，最终确定项目资金总数为60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截至2023年12月31日，实际支出60万元，预算执行率100%。</w:t>
      </w:r>
    </w:p>
    <w:p w14:paraId="7E0C5E79">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6C40C754">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实施任务是针对喀什地区蔬菜产业中存在的问题，突出抓好新品种、新技术、新模式的引进和试验示范，开展技术培训和教学，加强农民的农技知识培训，提高地区蔬菜种植水平，辐射带动周边蔬菜生产，加快喀什蔬菜产业换代升级步伐，促进蔬菜产业高质量发展，为乡村振兴提供有力地科技支撑。主要有以下任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一是以市场为导向，瞄准国内外优良品种，引进各类瓜菜新品种进行试验与示范，引进优质新品种50个以上，筛选出适合喀什地区生态环境的品种5个以上。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二是引进专家在喀什地区开展科研和技术指导培训，培养地区技术人才300人以上。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三是建立3处区县专家工作站，开展技术指导和培训，开展科技研发和技术服务工作。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四是试验示范适应喀什地区的蔬菜栽培轻简化、机械化生产技术，开展技术培训和教学，提高地区蔬菜种植水平，辐射带动周边蔬菜生产3000亩，促进蔬菜产业高质量发展。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五是通过示范推广绿色蔬菜生产技术，单产提高率在10%以上，加强科技创新协同，减少化学品投入，保证食品安全，实现生态效益有效提高。试验合作示范基地服务满意率在95%以上。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实施的前期准备工作：项目立项后，组织专家认真制订项目实施方案，编制项目预算，按照项目实施方案组成以山东省农科院蔬菜研究所专家为主的专家服务团队，确保项目保质保量完成。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具体实施工作：项目专家服务团队9人，在山东省农业科学院蔬菜研究所9名高层次人才，立足喀什地区蔬菜产业发展现状，面向南疆蔬菜产业共性技术以及全产业链发展需求，突出抓好新品种、新技术、新模式的引进和试验示范引领，进一步加强农民技术培训和种植能手培养，提高喀什蔬菜产业产品科技含量和产出效益，为蔬菜产业技术研发、成果转化和产业引领提供科技支撑和服务，加快喀什地区蔬菜产业升级换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实施任务是针对喀什地区蔬菜产业中存在的问题，突出抓好新品种、新技术、新模式的引进和试验示范，开展技术培训和教学，加强农民的农技知识培训，提高地区蔬菜种植水平，辐射带动周边蔬菜生产，加快喀什蔬菜产业换代升级步伐，促进蔬菜产业高质量发展，为乡村振兴提供有力地科技支撑。主要有以下任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一是以市场为导向，瞄准国内外优良品种，引进各类瓜菜新品种进行试验与示范，引进优质新品种50个以上，筛选出适合喀什地区生态环境的品种5个以上。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二是引进专家在喀什地区开展科研和技术指导培训，培养地区技术人才300人以上。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三是建立3处区县专家工作站，开展技术指导和培训，开展科技研发和技术服务工作。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四是试验示范适应喀什地区的蔬菜栽培轻简化、机械化生产技术，开展技术培训和教学，提高地区蔬菜种植水平，辐射带动周边蔬菜生产3000亩，促进蔬菜产业高质量发展。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五是通过示范推广绿色蔬菜生产技术，单产提高率在10%以上，加强科技创新协同，减少化学品投入，保证食品安全，实现生态效益有效提高。试验合作示范基地服务满意率在95%以上。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验收阶段的具体工作：项目实施完成后，地区瓜果蔬菜产业发展中心组织蔬菜专业专家，对项目实施工作进行验收，通过查看项目实施工作资料，听取项目汇报，实地查看项目建设成果等方式，对项目实施成效进行验收。</w:t>
      </w:r>
    </w:p>
    <w:p w14:paraId="2F8356B2">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6F6A8E00">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14:paraId="0E63439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根据绩效评价中发现的问题，调整工作计划，完善绩效目标，加强项目管理，提高管理水平，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14:paraId="0088C936">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2C0B419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本次评价采用定量与定性评价相结合的比较法和公众评判法，总分由各项指标得分汇总形成。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绩效评价标准通常包括计划标准、行业标准、历史标准等，用于对绩效指标完成情况进行比较、分析、评价。本次评价主要采用了计划标准，以预先制定的目标、计划、预算、定额等作为评价标准。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p>
    <w:p w14:paraId="6ACFB4C3">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7B57C584">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汪俊任评价组组长，绩效评价工作职责为负责全盘工作。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张强任评价组副组长，绩效评价工作职责为为对项目实施情况进行实地调查。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塔依尔江？阿不都热合曼任评价组成员，绩效评价工作职责为负责资料审核等工作。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14:paraId="489FEE63">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79D2A8FD">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智力援疆创新拓展计划-“小组团”鲁喀蔬菜专家服务团小组团援疆项目达到了预期效益。项目实施主要通过项目决策、项目过程、项目产出以及项目效益等方面进行评价，其中：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该项目主要通过自治区党委人才工作领导小组2023年1月18日《拟入选创新拓展智力援疆项目公示》文件立项，项目实施符合《拟入选创新拓展智力援疆项目公示》要求，项目立项依据充分，立项程序规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智力援疆创新拓展计划-“小组团”鲁喀蔬菜专家服务团小组团援疆项目预算安排60万元，实际支出60万元，预算执行率100%。项目资金使用合规，项目财务管理制度健全，财务监控到位，所有资金支付均按照国库集中支付制度严格执行，现有项目管理制度执行情况良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项目专家服务团队9人，山东省农业科学院蔬菜研究所9名高层次人才，立足喀什地区蔬菜产业发展现状，面向南疆蔬菜产业共性技术以及全产业链发展需求，突出抓好新品种、新技术、新模式的引进和试验示范引领，进一步加强农民技术培训和种植能手培养，提高喀什蔬菜产业产品科技含量和产出效益，为蔬菜产业技术研发、成果转化和产业引领提供科技支撑和服务，加快喀什地区蔬菜产业升级换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一是以市场为导向，瞄准国内外优良品种，引进各类瓜菜新品种进行试验与示范，引进优质新品种50个以上，筛选出适合喀什地区生态环境的品种5个以上。二是引进专家在喀什地区开展科研和技术指导培训，培养地区技术人才300人以上。三是建立3处区县专家工作站，开展技术指导和培训，开展科技研发和技术服务工作。四是试验示范适应喀什地区的蔬菜栽培轻简化、机械化生产技术，开展技术培训和教学，提高地区蔬菜种植水平，辐射带动周边蔬菜生产3000亩，促进蔬菜产业高质量发展。五是通过示范推广绿色蔬菜生产技术，单产提高率在10%以上，加强科技创新协同，减少化学品投入，保证食品安全，实现生态效益有效提高。试验合作示范基地服务满意率在95%以上。通过项目实施，取得了良好的社会效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智力援疆创新拓展计划-“小组团”鲁喀蔬菜专家服务团小组团援疆项目进行客观评价，最终评分结果：评价总分100分，绩效等级为“优”。</w:t>
      </w:r>
    </w:p>
    <w:p w14:paraId="2FDA852D">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69AD8E01">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48304EF5">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结合地区瓜果蔬菜产业发展中心工作职责，围绕智力援疆创新拓展计划-“小组团”鲁喀蔬菜专家服务团小组团援疆项目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关于下达2023年度新疆人才发展基金第一批重大人才计划项目支持资金的通知》喀地财行【2023】5号决策依据编制智力援疆创新拓展计划-“小组团”鲁喀蔬菜专家服务团小组团援疆项目工作计划和经费预算，经过与喀什地区瓜果蔬菜产业发展中心分管领导进行沟通、筛选确定经费预算计划，上党委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智力援疆创新拓展计划-“小组团”鲁喀蔬菜专家服务团小组团援疆项目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 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 预算编制经过科学论证，内容与智力援疆创新拓展计划-“小组团”鲁喀蔬菜专家服务团小组团援疆项目内容匹配，项目投资额60万元与工作任务相匹配，根据评分标准，该指标不扣分，得3分。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（6）资金分配合理性：资金分配与实际相适应，根据评分标准，该指标不扣分，得2分。</w:t>
      </w:r>
    </w:p>
    <w:p w14:paraId="130434C0">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7E3BECF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项目过程类指标包括资金管理和组织实施两方面的内容，由7个三级指标构成，权重分为20分，实际得分20分，得分率为100%。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（1）资金到位率：资金到位率=（实际到位资金600000/预算资金600000）×100%，财政资金足额拨付到位，牵头单位能够及时足额按照合同约定将专项资金拨付给联合体单位，根据评分标准，该指标不扣分，得3分。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制定了相关的制度和管理规定对经费使用进行规范管理，财务制度健全、执行（2）预算执行率：预算执行率=（实际支出资金600000/实际到位资金600000）×100%预算编制较为详细，项目资金支出总体能够按照预算执行，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严格，根据评分标准，该指标不扣分，得4分。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（4）管理制度健全性：制定了地区瓜果蔬菜产业发展中心财务管理相关管理办法，对财政专项资金进行严格管理，基本做到了专款专用，根据评分标准，该指标不扣分，得5分。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地区瓜果蔬菜产业发展中心提出经费预算支出可行性方案，经过与农业农村局党委分管领导沟通后，报党支部会议研究执行，财务对资金的使用合法合规性进行监督，年底对资金使用效果进行自评，根据评分标准，该指标不扣分，得5分。</w:t>
      </w:r>
      <w:r>
        <w:rPr>
          <w:rStyle w:val="18"/>
          <w:rFonts w:hint="eastAsia" w:ascii="仿宋" w:hAnsi="仿宋" w:eastAsia="仿宋" w:cs="仿宋"/>
          <w:b w:val="0"/>
          <w:bCs w:val="0"/>
          <w:spacing w:val="-4"/>
          <w:sz w:val="32"/>
          <w:szCs w:val="32"/>
        </w:rPr>
        <w:cr/>
      </w:r>
    </w:p>
    <w:p w14:paraId="6DF4910D">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3D53C244">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建立专家工作站，预期指标值为大于等于3个，实际完成值为等于3个，指标完成率为100%，与预期目标一致，根据评分标准，该指标不扣分，得10分。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推广创新产品种类（种），预期指标值为大于等于50种，实际完成值为等于50种，指标完成率为100%，与预期目标一致，根据评分标准，该指标不扣分，得10分。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筛选出高产优质品种，预期指标值为大于等于5种个，实际完成值为等于5种，指标完成率为100%，与预期目标一致，根据评分标准，该指标不扣分，得10分。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时效指标，年度完成项目任务率，预期指标值为等于100%，实际完成值为等于100%，指标完成率为100%，与预期目标一致，根据评分标准，该指标不扣分，得10分。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专家服务站建立平均成本，预期指标值为小于等于20万元，实际完成值为等于20万元，指标完成率为100%，与预期目标一致，根据评分标准，该指标不扣分，得20分。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合计得20分。</w:t>
      </w:r>
    </w:p>
    <w:p w14:paraId="45419708">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6796D177">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社会效益指标，辐射示范带动蔬菜生产，该指标预期指标值为大于等于3000亩，实际完成值为等于3000亩，指标完成率为100%，与预期指标一致，根据评分标准，该指标不扣分，得10分。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（4）满意度指标分析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对于“满意度指标：基地服务满意度100%，该指标预期指标值为100%，实际完成值为100%，指标完成率为100%，与预期目标一致，根据评分标准，该指标不扣分,得10分。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满意度指标合计得10分。</w:t>
      </w:r>
    </w:p>
    <w:p w14:paraId="4A47E73B">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14:paraId="0C488B80">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智力援疆创新拓展计划-“小组团”鲁喀蔬菜专家服务团小组团援疆项目预算60万元，到位60万元，实际支出60万元，预算执行率为100%，项目绩效指标总体完成率为100%，此项目无偏差。</w:t>
      </w:r>
    </w:p>
    <w:p w14:paraId="51EB0F6E">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14:paraId="596236A0">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是山东省农业科学院蔬菜研究所高度重视人才智力援喀科技服务项目，在人财物方面全力支持项目实施。研究所领导多次带领林果专业专家及项目团队成员亲赴喀什开展蔬菜产业调研，检查指导技术服务工作，探索科技人才和技术服务新模式，了解喀什地区蔬菜产业对科技人才需求和如何做好科技援疆工作出台系列政策，为全面完成项目顺利实施和加强创新援疆工作机制创造良好条件。二是本项目的实施，严格按照编制的实施方案开展，完成了项目建设内容。</w:t>
      </w:r>
    </w:p>
    <w:p w14:paraId="1D15558B">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14:paraId="20B84A94">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（一）提早项目立项。建议提早项目立项，蔬菜生产关键技术一般为循环四季按照茬口进行种植。为不影响项目实施各项进度，应提早项目立项或当年下半年立项，来年开始执行项目实施。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建立健全专家绩效考核评价体系。为强化项目实施成效，需制订完善的专家绩效考核管理办法，建立一套科学、合理、公平的绩效考核评价体系，明确专家绩效考核评价指标，加强专家团队人员的管理，充分发挥每个专家的积极性，</w:t>
      </w:r>
      <w:r>
        <w:rPr>
          <w:rStyle w:val="18"/>
          <w:rFonts w:hint="eastAsia" w:ascii="仿宋" w:hAnsi="仿宋" w:eastAsia="仿宋" w:cs="仿宋"/>
          <w:b w:val="0"/>
          <w:bCs w:val="0"/>
          <w:spacing w:val="-4"/>
          <w:sz w:val="32"/>
          <w:szCs w:val="32"/>
          <w:lang w:eastAsia="zh-CN"/>
        </w:rPr>
        <w:t>更好地为</w:t>
      </w:r>
      <w:r>
        <w:rPr>
          <w:rStyle w:val="18"/>
          <w:rFonts w:hint="eastAsia" w:ascii="仿宋" w:hAnsi="仿宋" w:eastAsia="仿宋" w:cs="仿宋"/>
          <w:b w:val="0"/>
          <w:bCs w:val="0"/>
          <w:spacing w:val="-4"/>
          <w:sz w:val="32"/>
          <w:szCs w:val="32"/>
        </w:rPr>
        <w:t>喀什地区蔬菜产业高质量发展服务。</w:t>
      </w:r>
    </w:p>
    <w:p w14:paraId="10A0B73D">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14:paraId="71C22941">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2000000000000000000"/>
    <w:charset w:val="86"/>
    <w:family w:val="auto"/>
    <w:pitch w:val="default"/>
    <w:sig w:usb0="A00002BF" w:usb1="38CF7CFA" w:usb2="00082016" w:usb3="00000000" w:csb0="00040001" w:csb1="00000000"/>
  </w:font>
  <w:font w:name="方正小标宋_GBK">
    <w:panose1 w:val="02000000000000000000"/>
    <w:charset w:val="86"/>
    <w:family w:val="script"/>
    <w:pitch w:val="default"/>
    <w:sig w:usb0="A00002BF" w:usb1="38CF7CFA" w:usb2="00082016" w:usb3="00000000" w:csb0="00040001" w:csb1="00000000"/>
  </w:font>
  <w:font w:name="方正黑体_GBK">
    <w:panose1 w:val="02000000000000000000"/>
    <w:charset w:val="86"/>
    <w:family w:val="auto"/>
    <w:pitch w:val="default"/>
    <w:sig w:usb0="A00002BF" w:usb1="38CF7CFA" w:usb2="00082016" w:usb3="00000000" w:csb0="00040001" w:csb1="00000000"/>
  </w:font>
  <w:font w:name="方正楷体_GBK">
    <w:panose1 w:val="02000000000000000000"/>
    <w:charset w:val="86"/>
    <w:family w:val="auto"/>
    <w:pitch w:val="default"/>
    <w:sig w:usb0="A00002BF" w:usb1="38CF7CFA" w:usb2="00082016" w:usb3="00000000" w:csb0="00040001"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0A83456F">
        <w:pPr>
          <w:pStyle w:val="12"/>
          <w:jc w:val="center"/>
        </w:pPr>
        <w:r>
          <w:fldChar w:fldCharType="begin"/>
        </w:r>
        <w:r>
          <w:instrText xml:space="preserve">PAGE   \* MERGEFORMAT</w:instrText>
        </w:r>
        <w:r>
          <w:fldChar w:fldCharType="separate"/>
        </w:r>
        <w:r>
          <w:rPr>
            <w:lang w:val="zh-CN"/>
          </w:rPr>
          <w:t>1</w:t>
        </w:r>
        <w:r>
          <w:fldChar w:fldCharType="end"/>
        </w:r>
      </w:p>
    </w:sdtContent>
  </w:sdt>
  <w:p w14:paraId="32EFE07F">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37862EF"/>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21</Pages>
  <Words>110</Words>
  <Characters>633</Characters>
  <Lines>5</Lines>
  <Paragraphs>1</Paragraphs>
  <TotalTime>1</TotalTime>
  <ScaleCrop>false</ScaleCrop>
  <LinksUpToDate>false</LinksUpToDate>
  <CharactersWithSpaces>742</CharactersWithSpaces>
  <Application>WPS Office_12.8.2.18606_F1E327BC-269C-435d-A152-05C5408002CA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2024-11-20T03:32:22Z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2052-12.8.2.18606</vt:lpwstr>
  </property>
  <property fmtid="{D5CDD505-2E9C-101B-9397-08002B2CF9AE}" pid="3" name="ICV">
    <vt:lpwstr>01C84A937D2B4A18B821834F23AE299D_12</vt:lpwstr>
  </property>
</Properties>
</file>