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附件1：</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2018年度新疆维吾尔自治区喀什地区交通运输局部门决算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ascii="黑体" w:hAnsi="黑体" w:eastAsia="黑体" w:cs="宋体"/>
          <w:bCs/>
          <w:kern w:val="0"/>
          <w:sz w:val="32"/>
          <w:szCs w:val="32"/>
        </w:rPr>
      </w:pPr>
      <w:r>
        <w:rPr>
          <w:rFonts w:hint="eastAsia" w:ascii="仿宋_GB2312" w:eastAsia="仿宋_GB2312"/>
          <w:sz w:val="32"/>
          <w:szCs w:val="32"/>
        </w:rPr>
        <w:t xml:space="preserve">    1、贯彻执行国家、自治区有关公路交通运输行业以及涉外道路运输的方针、政策、法律、法规并组织实施和监督检查。</w:t>
      </w:r>
      <w:r>
        <w:rPr>
          <w:rFonts w:hint="eastAsia" w:ascii="仿宋_GB2312" w:eastAsia="仿宋_GB2312"/>
          <w:sz w:val="32"/>
          <w:szCs w:val="32"/>
        </w:rPr>
        <w:br w:type="textWrapping"/>
      </w:r>
      <w:r>
        <w:rPr>
          <w:rFonts w:hint="eastAsia" w:ascii="仿宋_GB2312" w:eastAsia="仿宋_GB2312"/>
          <w:sz w:val="32"/>
          <w:szCs w:val="32"/>
        </w:rPr>
        <w:t xml:space="preserve">    2、拟订地区公路交通运输建设发展规划；会同有关部门组织编制地区综合交通运输体系规划；参与拟订地区物流业发展战略与规划；制定公路交通运输战略规划以及科技、战备中长期规划和年度计划并组织实施。</w:t>
      </w:r>
      <w:r>
        <w:rPr>
          <w:rFonts w:hint="eastAsia" w:ascii="仿宋_GB2312" w:eastAsia="仿宋_GB2312"/>
          <w:sz w:val="32"/>
          <w:szCs w:val="32"/>
        </w:rPr>
        <w:br w:type="textWrapping"/>
      </w:r>
      <w:r>
        <w:rPr>
          <w:rFonts w:hint="eastAsia" w:ascii="仿宋_GB2312" w:eastAsia="仿宋_GB2312"/>
          <w:sz w:val="32"/>
          <w:szCs w:val="32"/>
        </w:rPr>
        <w:t xml:space="preserve">    3、负责地区县、乡公路（农村公路）以及专用公路的建设、管理和养护；负责农村公路路政综合管理，依法保护公路路产、路权；负责农村公路安保工作和车辆超限超载治理工作；指导、检查、考核管辖范围骨县道、乡道的建设、管理和养护工作。</w:t>
      </w:r>
      <w:r>
        <w:rPr>
          <w:rFonts w:hint="eastAsia" w:ascii="仿宋_GB2312" w:eastAsia="仿宋_GB2312"/>
          <w:sz w:val="32"/>
          <w:szCs w:val="32"/>
        </w:rPr>
        <w:br w:type="textWrapping"/>
      </w:r>
      <w:r>
        <w:rPr>
          <w:rFonts w:hint="eastAsia" w:ascii="仿宋_GB2312" w:eastAsia="仿宋_GB2312"/>
          <w:sz w:val="32"/>
          <w:szCs w:val="32"/>
        </w:rPr>
        <w:t xml:space="preserve">    4、负责指导地区交通运输市场和交通基础设施建设市场发展，建立完善信息、服务、信用评价考核体系；会同有关部门制定交通运输行业价格，对涉及财政、土地、价格等方面的问题提出政策建议。</w:t>
      </w:r>
      <w:r>
        <w:rPr>
          <w:rFonts w:hint="eastAsia" w:ascii="仿宋_GB2312" w:eastAsia="仿宋_GB2312"/>
          <w:sz w:val="32"/>
          <w:szCs w:val="32"/>
        </w:rPr>
        <w:br w:type="textWrapping"/>
      </w:r>
      <w:r>
        <w:rPr>
          <w:rFonts w:hint="eastAsia" w:ascii="仿宋_GB2312" w:eastAsia="仿宋_GB2312"/>
          <w:sz w:val="32"/>
          <w:szCs w:val="32"/>
        </w:rPr>
        <w:t xml:space="preserve">    1、贯彻执行国家、自治区有关公路交通运输行业以及涉外道路运输的方针、政策、法律、法规并组织实施和监督检查。</w:t>
      </w:r>
      <w:r>
        <w:rPr>
          <w:rFonts w:hint="eastAsia" w:ascii="仿宋_GB2312" w:eastAsia="仿宋_GB2312"/>
          <w:sz w:val="32"/>
          <w:szCs w:val="32"/>
        </w:rPr>
        <w:br w:type="textWrapping"/>
      </w:r>
      <w:r>
        <w:rPr>
          <w:rFonts w:hint="eastAsia" w:ascii="仿宋_GB2312" w:eastAsia="仿宋_GB2312"/>
          <w:sz w:val="32"/>
          <w:szCs w:val="32"/>
        </w:rPr>
        <w:t xml:space="preserve">    2、拟订地区公路交通运输建设发展规划；会同有关部门组织编制地区综合交通运输体系规划；参与拟订地区物流业发展战略与规划；制定公路交通运输战略规划以及科技、战备中长期规划和年度计划并组织实施。</w:t>
      </w:r>
      <w:r>
        <w:rPr>
          <w:rFonts w:hint="eastAsia" w:ascii="仿宋_GB2312" w:eastAsia="仿宋_GB2312"/>
          <w:sz w:val="32"/>
          <w:szCs w:val="32"/>
        </w:rPr>
        <w:br w:type="textWrapping"/>
      </w:r>
      <w:r>
        <w:rPr>
          <w:rFonts w:hint="eastAsia" w:ascii="仿宋_GB2312" w:eastAsia="仿宋_GB2312"/>
          <w:sz w:val="32"/>
          <w:szCs w:val="32"/>
        </w:rPr>
        <w:t xml:space="preserve">    3、负责地区县、乡公路（农村公路）以及专用公路的建设、管理和养护；负责农村公路路政综合管理，依法保护公路路产、路权；负责农村公路安保工作和车辆超限超载治理工作；指导、检查、考核管辖范围骨县道、乡道的建设、管理和养护工作。</w:t>
      </w:r>
      <w:r>
        <w:rPr>
          <w:rFonts w:hint="eastAsia" w:ascii="仿宋_GB2312" w:eastAsia="仿宋_GB2312"/>
          <w:sz w:val="32"/>
          <w:szCs w:val="32"/>
        </w:rPr>
        <w:br w:type="textWrapping"/>
      </w:r>
      <w:r>
        <w:rPr>
          <w:rFonts w:hint="eastAsia" w:ascii="仿宋_GB2312" w:eastAsia="仿宋_GB2312"/>
          <w:sz w:val="32"/>
          <w:szCs w:val="32"/>
        </w:rPr>
        <w:t xml:space="preserve">    4、负责指导地区交通运输市场和交通基础设施建设市场发展，建立完善信息、服务、信用评价考核体系；会同有关部门制定交通运输行业价格，对涉及财政、土地、价格等方面的问题提出政策建议。</w:t>
      </w:r>
      <w:r>
        <w:rPr>
          <w:rFonts w:hint="eastAsia" w:ascii="仿宋_GB2312" w:eastAsia="仿宋_GB2312"/>
          <w:sz w:val="32"/>
          <w:szCs w:val="32"/>
        </w:rPr>
        <w:br w:type="textWrapping"/>
      </w:r>
      <w:r>
        <w:rPr>
          <w:rFonts w:hint="eastAsia" w:ascii="仿宋_GB2312" w:eastAsia="仿宋_GB2312"/>
          <w:sz w:val="32"/>
          <w:szCs w:val="32"/>
        </w:rPr>
        <w:t xml:space="preserve">    5、承担地区道路运输市场监管职责。负责公路运输经济及技术管理；负责指导车辆维修、营运车辆综合性能检测、机动车驾驶员培训等工作的行业管理；指导城乡客运及有关设施规划和管理工作；指导出租汽车行业管理；指导交通运输行业安生和应急管理工作；指导国际道路运输管理与对交流工作；按规定组织协调地区重点物资和紧急客货运输。</w:t>
      </w:r>
      <w:r>
        <w:rPr>
          <w:rFonts w:hint="eastAsia" w:ascii="仿宋_GB2312" w:eastAsia="仿宋_GB2312"/>
          <w:sz w:val="32"/>
          <w:szCs w:val="32"/>
        </w:rPr>
        <w:br w:type="textWrapping"/>
      </w:r>
      <w:r>
        <w:rPr>
          <w:rFonts w:hint="eastAsia" w:ascii="仿宋_GB2312" w:eastAsia="仿宋_GB2312"/>
          <w:sz w:val="32"/>
          <w:szCs w:val="32"/>
        </w:rPr>
        <w:t xml:space="preserve">    6、指导地区交通运输行业体制改革，引导交通行业优化结构、协调发展；会同有关部门培育和管理交通运输市场和交通基础设施建设市场，维护地区交通运输行业的平等竞争秩序；负责对交通运输行业单位有国资产的管理和保值增值的监督；指导地区交通运输行业环境保护和节能减排工作。</w:t>
      </w:r>
      <w:r>
        <w:rPr>
          <w:rFonts w:hint="eastAsia" w:ascii="仿宋_GB2312" w:eastAsia="仿宋_GB2312"/>
          <w:sz w:val="32"/>
          <w:szCs w:val="32"/>
        </w:rPr>
        <w:br w:type="textWrapping"/>
      </w:r>
      <w:r>
        <w:rPr>
          <w:rFonts w:hint="eastAsia" w:ascii="仿宋_GB2312" w:eastAsia="仿宋_GB2312"/>
          <w:sz w:val="32"/>
          <w:szCs w:val="32"/>
        </w:rPr>
        <w:t xml:space="preserve">    7、承担地区农村公路建设市场监管职责；组织协调公路交通重点工程建设和工程质量、安全监督管理。</w:t>
      </w:r>
      <w:r>
        <w:rPr>
          <w:rFonts w:hint="eastAsia" w:ascii="仿宋_GB2312" w:eastAsia="仿宋_GB2312"/>
          <w:sz w:val="32"/>
          <w:szCs w:val="32"/>
        </w:rPr>
        <w:br w:type="textWrapping"/>
      </w:r>
      <w:r>
        <w:rPr>
          <w:rFonts w:hint="eastAsia" w:ascii="仿宋_GB2312" w:eastAsia="仿宋_GB2312"/>
          <w:sz w:val="32"/>
          <w:szCs w:val="32"/>
        </w:rPr>
        <w:t xml:space="preserve">    8、指导地区交通运输行业精神文明建设以及交通运输文化建设；指导交通运输行业职工教育和培训工作；负责公路交通运输科技管理和重大科研项目的组织实施。</w:t>
      </w:r>
      <w:r>
        <w:rPr>
          <w:rFonts w:hint="eastAsia" w:ascii="仿宋_GB2312" w:eastAsia="仿宋_GB2312"/>
          <w:sz w:val="32"/>
          <w:szCs w:val="32"/>
        </w:rPr>
        <w:br w:type="textWrapping"/>
      </w:r>
      <w:r>
        <w:rPr>
          <w:rFonts w:hint="eastAsia" w:ascii="仿宋_GB2312" w:eastAsia="仿宋_GB2312"/>
          <w:sz w:val="32"/>
          <w:szCs w:val="32"/>
        </w:rPr>
        <w:t xml:space="preserve">    9、指导地区公路交通运输行业财务、审计和统计工作。</w:t>
      </w:r>
      <w:r>
        <w:rPr>
          <w:rFonts w:hint="eastAsia" w:ascii="仿宋_GB2312" w:eastAsia="仿宋_GB2312"/>
          <w:sz w:val="32"/>
          <w:szCs w:val="32"/>
        </w:rPr>
        <w:br w:type="textWrapping"/>
      </w:r>
      <w:r>
        <w:rPr>
          <w:rFonts w:hint="eastAsia" w:ascii="仿宋_GB2312" w:eastAsia="仿宋_GB2312"/>
          <w:sz w:val="32"/>
          <w:szCs w:val="32"/>
        </w:rPr>
        <w:t xml:space="preserve">    10、指导地区交通运输行业法制宣传、行政复议、行政应诉、</w:t>
      </w:r>
      <w:r>
        <w:rPr>
          <w:rFonts w:hint="eastAsia" w:ascii="仿宋_GB2312" w:eastAsia="仿宋_GB2312"/>
          <w:sz w:val="32"/>
          <w:szCs w:val="32"/>
          <w:lang w:eastAsia="zh-CN"/>
        </w:rPr>
        <w:t>行政执法</w:t>
      </w:r>
      <w:r>
        <w:rPr>
          <w:rFonts w:hint="eastAsia" w:ascii="仿宋_GB2312" w:eastAsia="仿宋_GB2312"/>
          <w:sz w:val="32"/>
          <w:szCs w:val="32"/>
        </w:rPr>
        <w:t>和监督工作。</w:t>
      </w:r>
      <w:r>
        <w:rPr>
          <w:rFonts w:hint="eastAsia" w:ascii="仿宋_GB2312" w:eastAsia="仿宋_GB2312"/>
          <w:sz w:val="32"/>
          <w:szCs w:val="32"/>
        </w:rPr>
        <w:br w:type="textWrapping"/>
      </w:r>
      <w:r>
        <w:rPr>
          <w:rFonts w:hint="eastAsia" w:ascii="仿宋_GB2312" w:eastAsia="仿宋_GB2312"/>
          <w:sz w:val="32"/>
          <w:szCs w:val="32"/>
        </w:rPr>
        <w:t xml:space="preserve">    11、负责地区国防交通战备工作。承办地委、行署交办的其他工作。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新疆维吾尔自治区喀什地区交通运输局</w:t>
      </w:r>
      <w:r>
        <w:rPr>
          <w:rFonts w:hint="eastAsia" w:ascii="仿宋_GB2312" w:eastAsia="仿宋_GB2312"/>
          <w:sz w:val="32"/>
          <w:szCs w:val="32"/>
        </w:rPr>
        <w:t>部门决算包括：</w:t>
      </w:r>
      <w:r>
        <w:rPr>
          <w:rFonts w:ascii="仿宋_GB2312" w:eastAsia="仿宋_GB2312"/>
          <w:sz w:val="32"/>
          <w:szCs w:val="32"/>
        </w:rPr>
        <w:t>新疆维吾尔自治区喀什地区交通运输局</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新疆维吾尔自治区喀什地区交通运输局</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3"/>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序号</w:t>
            </w:r>
          </w:p>
        </w:tc>
        <w:tc>
          <w:tcPr>
            <w:tcW w:w="3870" w:type="dxa"/>
            <w:vAlign w:val="center"/>
          </w:tcPr>
          <w:p>
            <w:pPr>
              <w:spacing w:line="50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单位名称</w:t>
            </w:r>
          </w:p>
        </w:tc>
        <w:tc>
          <w:tcPr>
            <w:tcW w:w="2538" w:type="dxa"/>
            <w:vAlign w:val="center"/>
          </w:tcPr>
          <w:p>
            <w:pPr>
              <w:spacing w:line="500" w:lineRule="exact"/>
              <w:ind w:firstLine="1280" w:firstLineChars="400"/>
              <w:rPr>
                <w:rFonts w:ascii="仿宋_GB2312" w:eastAsia="仿宋_GB2312"/>
                <w:color w:val="000000" w:themeColor="text1"/>
                <w:sz w:val="32"/>
                <w:szCs w:val="32"/>
                <w:highlight w:val="yellow"/>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position w:val="-1"/>
                <w:sz w:val="32"/>
              </w:rPr>
              <w:t>1</w:t>
            </w:r>
          </w:p>
        </w:tc>
        <w:tc>
          <w:tcPr>
            <w:tcW w:w="3870" w:type="dxa"/>
          </w:tcPr>
          <w:p>
            <w:pPr>
              <w:spacing w:line="500" w:lineRule="exact"/>
              <w:ind w:firstLine="640" w:firstLineChars="200"/>
              <w:jc w:val="left"/>
            </w:pPr>
            <w:r>
              <w:rPr>
                <w:rFonts w:ascii="仿宋_GB2312" w:eastAsia="仿宋_GB2312"/>
                <w:position w:val="-1"/>
                <w:sz w:val="32"/>
              </w:rPr>
              <w:t>新疆维吾尔自治区喀什地区交通运输局</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14:textFill>
            <w14:solidFill>
              <w14:schemeClr w14:val="tx1"/>
            </w14:solidFill>
          </w14:textFill>
        </w:rPr>
      </w:pPr>
      <w:bookmarkStart w:id="4" w:name="OLE_LINK100"/>
      <w:bookmarkStart w:id="5" w:name="OLE_LINK99"/>
      <w:bookmarkStart w:id="6" w:name="OLE_LINK52"/>
      <w:r>
        <w:rPr>
          <w:rFonts w:hint="eastAsia" w:ascii="仿宋_GB2312" w:eastAsia="仿宋_GB2312"/>
          <w:color w:val="000000" w:themeColor="text1"/>
          <w:sz w:val="32"/>
          <w:szCs w:val="32"/>
          <w14:textFill>
            <w14:solidFill>
              <w14:schemeClr w14:val="tx1"/>
            </w14:solidFill>
          </w14:textFill>
        </w:rPr>
        <w:t>2018年度收入</w:t>
      </w:r>
      <w:r>
        <w:rPr>
          <w:rFonts w:hint="eastAsia" w:ascii="仿宋_GB2312" w:eastAsia="仿宋_GB2312"/>
          <w:sz w:val="32"/>
          <w:szCs w:val="32"/>
        </w:rPr>
        <w:t>1,424.41</w:t>
      </w:r>
      <w:r>
        <w:rPr>
          <w:rFonts w:hint="eastAsia" w:ascii="仿宋_GB2312" w:eastAsia="仿宋_GB2312"/>
          <w:color w:val="000000" w:themeColor="text1"/>
          <w:sz w:val="32"/>
          <w:szCs w:val="32"/>
          <w14:textFill>
            <w14:solidFill>
              <w14:schemeClr w14:val="tx1"/>
            </w14:solidFill>
          </w14:textFill>
        </w:rPr>
        <w:t>万元</w:t>
      </w:r>
      <w:bookmarkEnd w:id="4"/>
      <w:bookmarkEnd w:id="5"/>
      <w:r>
        <w:rPr>
          <w:rFonts w:hint="eastAsia" w:ascii="仿宋_GB2312" w:eastAsia="仿宋_GB2312"/>
          <w:sz w:val="32"/>
          <w:szCs w:val="32"/>
        </w:rPr>
        <w:t>，与上年相比，增加520.33万元，增长57.55%，增加的主要原因是：</w:t>
      </w:r>
      <w:r>
        <w:rPr>
          <w:rFonts w:hint="eastAsia" w:ascii="仿宋_GB2312" w:eastAsia="仿宋_GB2312"/>
          <w:color w:val="000000" w:themeColor="text1"/>
          <w:sz w:val="32"/>
          <w:szCs w:val="32"/>
          <w14:textFill>
            <w14:solidFill>
              <w14:schemeClr w14:val="tx1"/>
            </w14:solidFill>
          </w14:textFill>
        </w:rPr>
        <w:t>工作经费增加，新增人员5人，人员工资晋升增资；</w:t>
      </w:r>
      <w:bookmarkEnd w:id="6"/>
      <w:bookmarkStart w:id="7" w:name="OLE_LINK53"/>
      <w:r>
        <w:rPr>
          <w:rFonts w:hint="eastAsia" w:ascii="仿宋_GB2312" w:eastAsia="仿宋_GB2312"/>
          <w:color w:val="000000" w:themeColor="text1"/>
          <w:sz w:val="32"/>
          <w:szCs w:val="32"/>
          <w14:textFill>
            <w14:solidFill>
              <w14:schemeClr w14:val="tx1"/>
            </w14:solidFill>
          </w14:textFill>
        </w:rPr>
        <w:t>支出</w:t>
      </w:r>
      <w:r>
        <w:rPr>
          <w:rFonts w:hint="eastAsia" w:ascii="仿宋_GB2312" w:eastAsia="仿宋_GB2312"/>
          <w:sz w:val="32"/>
          <w:szCs w:val="32"/>
        </w:rPr>
        <w:t>1,424.41</w:t>
      </w:r>
      <w:r>
        <w:rPr>
          <w:rFonts w:hint="eastAsia" w:ascii="仿宋_GB2312" w:eastAsia="仿宋_GB2312"/>
          <w:color w:val="000000" w:themeColor="text1"/>
          <w:sz w:val="32"/>
          <w:szCs w:val="32"/>
          <w14:textFill>
            <w14:solidFill>
              <w14:schemeClr w14:val="tx1"/>
            </w14:solidFill>
          </w14:textFill>
        </w:rPr>
        <w:t>万元</w:t>
      </w:r>
      <w:r>
        <w:rPr>
          <w:rFonts w:hint="eastAsia" w:ascii="仿宋_GB2312" w:eastAsia="仿宋_GB2312"/>
          <w:sz w:val="32"/>
          <w:szCs w:val="32"/>
        </w:rPr>
        <w:t>，与上年相比，增加520.33万元，增长57.55%，增加的主要原因是：</w:t>
      </w:r>
      <w:r>
        <w:rPr>
          <w:rFonts w:hint="eastAsia" w:ascii="仿宋_GB2312" w:eastAsia="仿宋_GB2312"/>
          <w:color w:val="000000" w:themeColor="text1"/>
          <w:sz w:val="32"/>
          <w:szCs w:val="32"/>
          <w14:textFill>
            <w14:solidFill>
              <w14:schemeClr w14:val="tx1"/>
            </w14:solidFill>
          </w14:textFill>
        </w:rPr>
        <w:t>工作经费增加，新增人员工资晋升增资</w:t>
      </w:r>
      <w:r>
        <w:rPr>
          <w:rFonts w:hint="eastAsia" w:ascii="仿宋_GB2312" w:eastAsia="仿宋_GB2312"/>
          <w:color w:val="000000" w:themeColor="text1"/>
          <w:sz w:val="32"/>
          <w:szCs w:val="32"/>
          <w:lang w:eastAsia="zh-CN"/>
          <w14:textFill>
            <w14:solidFill>
              <w14:schemeClr w14:val="tx1"/>
            </w14:solidFill>
          </w14:textFill>
        </w:rPr>
        <w:t>和新增项目经费</w:t>
      </w:r>
      <w:r>
        <w:rPr>
          <w:rFonts w:hint="eastAsia" w:ascii="仿宋_GB2312" w:eastAsia="仿宋_GB2312"/>
          <w:color w:val="000000" w:themeColor="text1"/>
          <w:sz w:val="32"/>
          <w:szCs w:val="32"/>
          <w:lang w:val="en-US" w:eastAsia="zh-CN"/>
          <w14:textFill>
            <w14:solidFill>
              <w14:schemeClr w14:val="tx1"/>
            </w14:solidFill>
          </w14:textFill>
        </w:rPr>
        <w:t>389万元</w:t>
      </w:r>
      <w:r>
        <w:rPr>
          <w:rFonts w:hint="eastAsia" w:ascii="仿宋_GB2312" w:eastAsia="仿宋_GB2312"/>
          <w:color w:val="000000" w:themeColor="text1"/>
          <w:sz w:val="32"/>
          <w:szCs w:val="32"/>
          <w14:textFill>
            <w14:solidFill>
              <w14:schemeClr w14:val="tx1"/>
            </w14:solidFill>
          </w14:textFill>
        </w:rPr>
        <w:t>；</w:t>
      </w:r>
      <w:bookmarkEnd w:id="7"/>
      <w:bookmarkStart w:id="8" w:name="OLE_LINK54"/>
      <w:r>
        <w:rPr>
          <w:rFonts w:hint="eastAsia" w:ascii="仿宋_GB2312" w:eastAsia="仿宋_GB2312"/>
          <w:color w:val="000000" w:themeColor="text1"/>
          <w:sz w:val="32"/>
          <w:szCs w:val="32"/>
          <w14:textFill>
            <w14:solidFill>
              <w14:schemeClr w14:val="tx1"/>
            </w14:solidFill>
          </w14:textFill>
        </w:rPr>
        <w:t>结余</w:t>
      </w:r>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万元</w:t>
      </w:r>
      <w:r>
        <w:rPr>
          <w:rFonts w:hint="eastAsia" w:ascii="仿宋_GB2312" w:eastAsia="仿宋_GB2312"/>
          <w:sz w:val="32"/>
          <w:szCs w:val="32"/>
        </w:rPr>
        <w:t>，与上年相比，增加0万元，增长0%，主要原因是：</w:t>
      </w:r>
      <w:r>
        <w:rPr>
          <w:rFonts w:ascii="仿宋_GB2312" w:eastAsia="仿宋_GB2312"/>
          <w:color w:val="000000" w:themeColor="text1"/>
          <w:sz w:val="32"/>
          <w:szCs w:val="32"/>
          <w14:textFill>
            <w14:solidFill>
              <w14:schemeClr w14:val="tx1"/>
            </w14:solidFill>
          </w14:textFill>
        </w:rPr>
        <w:t>无变化。</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本年收入合计</w:t>
      </w:r>
      <w:r>
        <w:rPr>
          <w:rFonts w:hint="eastAsia" w:ascii="仿宋_GB2312" w:eastAsia="仿宋_GB2312"/>
          <w:sz w:val="32"/>
          <w:szCs w:val="32"/>
        </w:rPr>
        <w:t>1,424.41</w:t>
      </w:r>
      <w:r>
        <w:rPr>
          <w:rFonts w:hint="eastAsia" w:ascii="仿宋_GB2312" w:eastAsia="仿宋_GB2312"/>
          <w:color w:val="000000" w:themeColor="text1"/>
          <w:sz w:val="32"/>
          <w:szCs w:val="32"/>
          <w14:textFill>
            <w14:solidFill>
              <w14:schemeClr w14:val="tx1"/>
            </w14:solidFill>
          </w14:textFill>
        </w:rPr>
        <w:t>万元，其中：</w:t>
      </w:r>
      <w:bookmarkStart w:id="9" w:name="OLE_LINK1"/>
      <w:r>
        <w:rPr>
          <w:rFonts w:hint="eastAsia" w:ascii="仿宋_GB2312" w:eastAsia="仿宋_GB2312"/>
          <w:color w:val="000000" w:themeColor="text1"/>
          <w:sz w:val="32"/>
          <w:szCs w:val="32"/>
          <w14:textFill>
            <w14:solidFill>
              <w14:schemeClr w14:val="tx1"/>
            </w14:solidFill>
          </w14:textFill>
        </w:rPr>
        <w:t>财政拨款收入</w:t>
      </w:r>
      <w:bookmarkEnd w:id="9"/>
      <w:r>
        <w:rPr>
          <w:rFonts w:hint="eastAsia" w:ascii="仿宋_GB2312" w:eastAsia="仿宋_GB2312"/>
          <w:sz w:val="32"/>
          <w:szCs w:val="32"/>
        </w:rPr>
        <w:t>1,424.41</w:t>
      </w:r>
      <w:r>
        <w:rPr>
          <w:rFonts w:hint="eastAsia" w:ascii="仿宋_GB2312" w:eastAsia="仿宋_GB2312"/>
          <w:color w:val="000000" w:themeColor="text1"/>
          <w:sz w:val="32"/>
          <w:szCs w:val="32"/>
          <w14:textFill>
            <w14:solidFill>
              <w14:schemeClr w14:val="tx1"/>
            </w14:solidFill>
          </w14:textFill>
        </w:rPr>
        <w:t>万元，占</w:t>
      </w:r>
      <w:r>
        <w:rPr>
          <w:rFonts w:hint="eastAsia" w:ascii="仿宋_GB2312" w:eastAsia="仿宋_GB2312"/>
          <w:sz w:val="32"/>
          <w:szCs w:val="32"/>
        </w:rPr>
        <w:t>100%</w:t>
      </w:r>
      <w:r>
        <w:rPr>
          <w:rFonts w:hint="eastAsia" w:ascii="仿宋_GB2312" w:eastAsia="仿宋_GB2312"/>
          <w:color w:val="000000" w:themeColor="text1"/>
          <w:sz w:val="32"/>
          <w:szCs w:val="32"/>
          <w14:textFill>
            <w14:solidFill>
              <w14:schemeClr w14:val="tx1"/>
            </w14:solidFill>
          </w14:textFill>
        </w:rPr>
        <w:t>；</w:t>
      </w:r>
      <w:bookmarkStart w:id="10" w:name="OLE_LINK2"/>
      <w:r>
        <w:rPr>
          <w:rFonts w:hint="eastAsia" w:ascii="仿宋_GB2312" w:eastAsia="仿宋_GB2312"/>
          <w:color w:val="000000" w:themeColor="text1"/>
          <w:sz w:val="32"/>
          <w:szCs w:val="32"/>
          <w14:textFill>
            <w14:solidFill>
              <w14:schemeClr w14:val="tx1"/>
            </w14:solidFill>
          </w14:textFill>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万元，占</w:t>
      </w:r>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w:t>
      </w:r>
      <w:bookmarkStart w:id="11" w:name="OLE_LINK3"/>
      <w:r>
        <w:rPr>
          <w:rFonts w:hint="eastAsia" w:ascii="仿宋_GB2312" w:eastAsia="仿宋_GB2312"/>
          <w:color w:val="000000" w:themeColor="text1"/>
          <w:sz w:val="32"/>
          <w:szCs w:val="32"/>
          <w14:textFill>
            <w14:solidFill>
              <w14:schemeClr w14:val="tx1"/>
            </w14:solidFill>
          </w14:textFill>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万元，占</w:t>
      </w:r>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w:t>
      </w:r>
      <w:bookmarkStart w:id="12" w:name="OLE_LINK4"/>
      <w:r>
        <w:rPr>
          <w:rFonts w:hint="eastAsia" w:ascii="仿宋_GB2312" w:eastAsia="仿宋_GB2312"/>
          <w:color w:val="000000" w:themeColor="text1"/>
          <w:sz w:val="32"/>
          <w:szCs w:val="32"/>
          <w14:textFill>
            <w14:solidFill>
              <w14:schemeClr w14:val="tx1"/>
            </w14:solidFill>
          </w14:textFill>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万元，占</w:t>
      </w:r>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w:t>
      </w:r>
      <w:bookmarkStart w:id="13" w:name="OLE_LINK5"/>
      <w:r>
        <w:rPr>
          <w:rFonts w:hint="eastAsia" w:ascii="仿宋_GB2312" w:eastAsia="仿宋_GB2312"/>
          <w:color w:val="000000" w:themeColor="text1"/>
          <w:sz w:val="32"/>
          <w:szCs w:val="32"/>
          <w14:textFill>
            <w14:solidFill>
              <w14:schemeClr w14:val="tx1"/>
            </w14:solidFill>
          </w14:textFill>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万元，占</w:t>
      </w:r>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w:t>
      </w:r>
      <w:bookmarkStart w:id="14" w:name="OLE_LINK6"/>
      <w:r>
        <w:rPr>
          <w:rFonts w:hint="eastAsia" w:ascii="仿宋_GB2312" w:eastAsia="仿宋_GB2312"/>
          <w:color w:val="000000" w:themeColor="text1"/>
          <w:sz w:val="32"/>
          <w:szCs w:val="32"/>
          <w14:textFill>
            <w14:solidFill>
              <w14:schemeClr w14:val="tx1"/>
            </w14:solidFill>
          </w14:textFill>
        </w:rPr>
        <w:t>其他收入</w:t>
      </w:r>
      <w:bookmarkEnd w:id="14"/>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万元，占</w:t>
      </w:r>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14:textFill>
            <w14:solidFill>
              <w14:schemeClr w14:val="tx1"/>
            </w14:solidFill>
          </w14:textFill>
        </w:rPr>
        <w:t>况：本年收入年初预算数1,007.98万元</w:t>
      </w:r>
      <w:r>
        <w:rPr>
          <w:rFonts w:hint="eastAsia" w:ascii="仿宋_GB2312" w:eastAsia="仿宋_GB2312"/>
          <w:sz w:val="32"/>
          <w:szCs w:val="32"/>
        </w:rPr>
        <w:t>，决算数1,424.41万元</w:t>
      </w:r>
      <w:r>
        <w:rPr>
          <w:rFonts w:ascii="仿宋_GB2312" w:eastAsia="仿宋_GB2312"/>
          <w:sz w:val="32"/>
          <w:szCs w:val="32"/>
        </w:rPr>
        <w:t>，预决算差异率41.31%，差异主要原因是:工作经费增加，新增人员5人，人员工资增资。</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14:textFill>
            <w14:solidFill>
              <w14:schemeClr w14:val="tx1"/>
            </w14:solidFill>
          </w14:textFill>
        </w:rPr>
      </w:pPr>
      <w:bookmarkStart w:id="16" w:name="OLE_LINK7"/>
      <w:r>
        <w:rPr>
          <w:rFonts w:hint="eastAsia" w:ascii="仿宋_GB2312" w:eastAsia="仿宋_GB2312"/>
          <w:color w:val="000000" w:themeColor="text1"/>
          <w:sz w:val="32"/>
          <w:szCs w:val="32"/>
          <w14:textFill>
            <w14:solidFill>
              <w14:schemeClr w14:val="tx1"/>
            </w14:solidFill>
          </w14:textFill>
        </w:rPr>
        <w:t>本年支出合计</w:t>
      </w:r>
      <w:bookmarkEnd w:id="16"/>
      <w:r>
        <w:rPr>
          <w:rFonts w:hint="eastAsia" w:ascii="仿宋_GB2312" w:eastAsia="仿宋_GB2312"/>
          <w:sz w:val="32"/>
          <w:szCs w:val="32"/>
        </w:rPr>
        <w:t>1,424.41</w:t>
      </w:r>
      <w:r>
        <w:rPr>
          <w:rFonts w:hint="eastAsia" w:ascii="仿宋_GB2312" w:eastAsia="仿宋_GB2312"/>
          <w:color w:val="000000" w:themeColor="text1"/>
          <w:sz w:val="32"/>
          <w:szCs w:val="32"/>
          <w14:textFill>
            <w14:solidFill>
              <w14:schemeClr w14:val="tx1"/>
            </w14:solidFill>
          </w14:textFill>
        </w:rPr>
        <w:t>万元，其中：</w:t>
      </w:r>
      <w:bookmarkStart w:id="17" w:name="OLE_LINK8"/>
      <w:r>
        <w:rPr>
          <w:rFonts w:hint="eastAsia" w:ascii="仿宋_GB2312" w:eastAsia="仿宋_GB2312"/>
          <w:color w:val="000000" w:themeColor="text1"/>
          <w:sz w:val="32"/>
          <w:szCs w:val="32"/>
          <w14:textFill>
            <w14:solidFill>
              <w14:schemeClr w14:val="tx1"/>
            </w14:solidFill>
          </w14:textFill>
        </w:rPr>
        <w:t>基本支出</w:t>
      </w:r>
      <w:bookmarkEnd w:id="17"/>
      <w:r>
        <w:rPr>
          <w:rFonts w:hint="eastAsia" w:ascii="仿宋_GB2312" w:eastAsia="仿宋_GB2312"/>
          <w:sz w:val="32"/>
          <w:szCs w:val="32"/>
        </w:rPr>
        <w:t>989.72</w:t>
      </w:r>
      <w:r>
        <w:rPr>
          <w:rFonts w:hint="eastAsia" w:ascii="仿宋_GB2312" w:eastAsia="仿宋_GB2312"/>
          <w:color w:val="000000" w:themeColor="text1"/>
          <w:sz w:val="32"/>
          <w:szCs w:val="32"/>
          <w14:textFill>
            <w14:solidFill>
              <w14:schemeClr w14:val="tx1"/>
            </w14:solidFill>
          </w14:textFill>
        </w:rPr>
        <w:t>万元，占</w:t>
      </w:r>
      <w:r>
        <w:rPr>
          <w:rFonts w:hint="eastAsia" w:ascii="仿宋_GB2312" w:eastAsia="仿宋_GB2312"/>
          <w:sz w:val="32"/>
          <w:szCs w:val="32"/>
        </w:rPr>
        <w:t>69.48%</w:t>
      </w:r>
      <w:r>
        <w:rPr>
          <w:rFonts w:hint="eastAsia" w:ascii="仿宋_GB2312" w:eastAsia="仿宋_GB2312"/>
          <w:color w:val="000000" w:themeColor="text1"/>
          <w:sz w:val="32"/>
          <w:szCs w:val="32"/>
          <w14:textFill>
            <w14:solidFill>
              <w14:schemeClr w14:val="tx1"/>
            </w14:solidFill>
          </w14:textFill>
        </w:rPr>
        <w:t>；</w:t>
      </w:r>
      <w:bookmarkStart w:id="18" w:name="OLE_LINK9"/>
      <w:r>
        <w:rPr>
          <w:rFonts w:hint="eastAsia" w:ascii="仿宋_GB2312" w:eastAsia="仿宋_GB2312"/>
          <w:color w:val="000000" w:themeColor="text1"/>
          <w:sz w:val="32"/>
          <w:szCs w:val="32"/>
          <w14:textFill>
            <w14:solidFill>
              <w14:schemeClr w14:val="tx1"/>
            </w14:solidFill>
          </w14:textFill>
        </w:rPr>
        <w:t>项目支出</w:t>
      </w:r>
      <w:bookmarkEnd w:id="18"/>
      <w:r>
        <w:rPr>
          <w:rFonts w:hint="eastAsia" w:ascii="仿宋_GB2312" w:eastAsia="仿宋_GB2312"/>
          <w:sz w:val="32"/>
          <w:szCs w:val="32"/>
        </w:rPr>
        <w:t>434.69</w:t>
      </w:r>
      <w:r>
        <w:rPr>
          <w:rFonts w:hint="eastAsia" w:ascii="仿宋_GB2312" w:eastAsia="仿宋_GB2312"/>
          <w:color w:val="000000" w:themeColor="text1"/>
          <w:sz w:val="32"/>
          <w:szCs w:val="32"/>
          <w14:textFill>
            <w14:solidFill>
              <w14:schemeClr w14:val="tx1"/>
            </w14:solidFill>
          </w14:textFill>
        </w:rPr>
        <w:t>万元，占</w:t>
      </w:r>
      <w:r>
        <w:rPr>
          <w:rFonts w:hint="eastAsia" w:ascii="仿宋_GB2312" w:eastAsia="仿宋_GB2312"/>
          <w:sz w:val="32"/>
          <w:szCs w:val="32"/>
        </w:rPr>
        <w:t>30.52%</w:t>
      </w:r>
      <w:r>
        <w:rPr>
          <w:rFonts w:hint="eastAsia" w:ascii="仿宋_GB2312" w:eastAsia="仿宋_GB2312"/>
          <w:color w:val="000000" w:themeColor="text1"/>
          <w:sz w:val="32"/>
          <w:szCs w:val="32"/>
          <w14:textFill>
            <w14:solidFill>
              <w14:schemeClr w14:val="tx1"/>
            </w14:solidFill>
          </w14:textFill>
        </w:rPr>
        <w:t>；</w:t>
      </w:r>
      <w:bookmarkStart w:id="19" w:name="OLE_LINK10"/>
      <w:r>
        <w:rPr>
          <w:rFonts w:hint="eastAsia" w:ascii="仿宋_GB2312" w:eastAsia="仿宋_GB2312"/>
          <w:color w:val="000000" w:themeColor="text1"/>
          <w:sz w:val="32"/>
          <w:szCs w:val="32"/>
          <w14:textFill>
            <w14:solidFill>
              <w14:schemeClr w14:val="tx1"/>
            </w14:solidFill>
          </w14:textFill>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万元，占</w:t>
      </w:r>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w:t>
      </w:r>
      <w:bookmarkStart w:id="20" w:name="OLE_LINK11"/>
      <w:r>
        <w:rPr>
          <w:rFonts w:hint="eastAsia" w:ascii="仿宋_GB2312" w:eastAsia="仿宋_GB2312"/>
          <w:color w:val="000000" w:themeColor="text1"/>
          <w:spacing w:val="-6"/>
          <w:sz w:val="32"/>
          <w:szCs w:val="32"/>
          <w14:textFill>
            <w14:solidFill>
              <w14:schemeClr w14:val="tx1"/>
            </w14:solidFill>
          </w14:textFill>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14:textFill>
            <w14:solidFill>
              <w14:schemeClr w14:val="tx1"/>
            </w14:solidFill>
          </w14:textFill>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14:textFill>
            <w14:solidFill>
              <w14:schemeClr w14:val="tx1"/>
            </w14:solidFill>
          </w14:textFill>
        </w:rPr>
        <w:t>；</w:t>
      </w:r>
      <w:bookmarkStart w:id="21" w:name="OLE_LINK12"/>
      <w:r>
        <w:rPr>
          <w:rFonts w:hint="eastAsia" w:ascii="仿宋_GB2312" w:eastAsia="仿宋_GB2312"/>
          <w:color w:val="000000" w:themeColor="text1"/>
          <w:spacing w:val="-6"/>
          <w:sz w:val="32"/>
          <w:szCs w:val="32"/>
          <w14:textFill>
            <w14:solidFill>
              <w14:schemeClr w14:val="tx1"/>
            </w14:solidFill>
          </w14:textFill>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14:textFill>
            <w14:solidFill>
              <w14:schemeClr w14:val="tx1"/>
            </w14:solidFill>
          </w14:textFill>
        </w:rPr>
        <w:t>万元，占</w:t>
      </w:r>
      <w:r>
        <w:rPr>
          <w:rFonts w:hint="eastAsia"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14:textFill>
            <w14:solidFill>
              <w14:schemeClr w14:val="tx1"/>
            </w14:solidFill>
          </w14:textFill>
        </w:rPr>
        <w:t>与年初预算数相比情况：本年支出年初预算数34,124.23万元，</w:t>
      </w:r>
      <w:r>
        <w:rPr>
          <w:rFonts w:hint="eastAsia" w:ascii="仿宋_GB2312" w:eastAsia="仿宋_GB2312"/>
          <w:sz w:val="32"/>
          <w:szCs w:val="32"/>
        </w:rPr>
        <w:t>决算数1,424.41万元</w:t>
      </w:r>
      <w:r>
        <w:rPr>
          <w:rFonts w:ascii="仿宋_GB2312" w:eastAsia="仿宋_GB2312"/>
          <w:sz w:val="32"/>
          <w:szCs w:val="32"/>
        </w:rPr>
        <w:t>，预决算差异率-95.83%，差异主要原因是:</w:t>
      </w:r>
      <w:r>
        <w:rPr>
          <w:rFonts w:hint="eastAsia" w:ascii="仿宋_GB2312" w:eastAsia="仿宋_GB2312"/>
          <w:sz w:val="32"/>
          <w:szCs w:val="32"/>
          <w:lang w:eastAsia="zh-CN"/>
        </w:rPr>
        <w:t>年初填列预算时包含项目经费，所以年初预算数比决算数据大</w:t>
      </w:r>
      <w:r>
        <w:rPr>
          <w:rFonts w:ascii="仿宋_GB2312" w:eastAsia="仿宋_GB2312"/>
          <w:sz w:val="32"/>
          <w:szCs w:val="32"/>
        </w:rPr>
        <w:t>。</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14:textFill>
            <w14:solidFill>
              <w14:schemeClr w14:val="tx1"/>
            </w14:solidFill>
          </w14:textFill>
        </w:rPr>
      </w:pPr>
      <w:bookmarkStart w:id="23" w:name="OLE_LINK57"/>
      <w:bookmarkStart w:id="24" w:name="OLE_LINK58"/>
      <w:r>
        <w:rPr>
          <w:rFonts w:hint="eastAsia" w:ascii="仿宋_GB2312" w:eastAsia="仿宋_GB2312"/>
          <w:color w:val="000000" w:themeColor="text1"/>
          <w:sz w:val="32"/>
          <w:szCs w:val="32"/>
          <w14:textFill>
            <w14:solidFill>
              <w14:schemeClr w14:val="tx1"/>
            </w14:solidFill>
          </w14:textFill>
        </w:rPr>
        <w:t>2018年度</w:t>
      </w:r>
      <w:bookmarkStart w:id="25" w:name="OLE_LINK13"/>
      <w:r>
        <w:rPr>
          <w:rFonts w:hint="eastAsia" w:ascii="仿宋_GB2312" w:eastAsia="仿宋_GB2312"/>
          <w:color w:val="000000" w:themeColor="text1"/>
          <w:sz w:val="32"/>
          <w:szCs w:val="32"/>
          <w14:textFill>
            <w14:solidFill>
              <w14:schemeClr w14:val="tx1"/>
            </w14:solidFill>
          </w14:textFill>
        </w:rPr>
        <w:t>财政拨款收入</w:t>
      </w:r>
      <w:bookmarkEnd w:id="25"/>
      <w:r>
        <w:rPr>
          <w:rFonts w:hint="eastAsia" w:ascii="仿宋_GB2312" w:eastAsia="仿宋_GB2312"/>
          <w:sz w:val="32"/>
          <w:szCs w:val="32"/>
        </w:rPr>
        <w:t>1,424.41</w:t>
      </w:r>
      <w:r>
        <w:rPr>
          <w:rFonts w:hint="eastAsia" w:ascii="仿宋_GB2312" w:eastAsia="仿宋_GB2312"/>
          <w:color w:val="000000" w:themeColor="text1"/>
          <w:sz w:val="32"/>
          <w:szCs w:val="32"/>
          <w14:textFill>
            <w14:solidFill>
              <w14:schemeClr w14:val="tx1"/>
            </w14:solidFill>
          </w14:textFill>
        </w:rPr>
        <w:t>万元</w:t>
      </w:r>
      <w:r>
        <w:rPr>
          <w:rFonts w:hint="eastAsia" w:ascii="仿宋_GB2312" w:eastAsia="仿宋_GB2312"/>
          <w:sz w:val="32"/>
          <w:szCs w:val="32"/>
        </w:rPr>
        <w:t>，与上年相比，增加579.53万元，增长68.59%，增加的主要原因是：工作经费增加，新增人员5人，人员工资晋升增资。</w:t>
      </w:r>
      <w:bookmarkEnd w:id="23"/>
      <w:bookmarkEnd w:id="24"/>
      <w:bookmarkStart w:id="26" w:name="OLE_LINK14"/>
      <w:bookmarkStart w:id="27" w:name="OLE_LINK60"/>
      <w:bookmarkStart w:id="28" w:name="OLE_LINK59"/>
      <w:r>
        <w:rPr>
          <w:rFonts w:hint="eastAsia" w:ascii="仿宋_GB2312" w:eastAsia="仿宋_GB2312"/>
          <w:color w:val="000000" w:themeColor="text1"/>
          <w:sz w:val="32"/>
          <w:szCs w:val="32"/>
          <w14:textFill>
            <w14:solidFill>
              <w14:schemeClr w14:val="tx1"/>
            </w14:solidFill>
          </w14:textFill>
        </w:rPr>
        <w:t>财政拨款支出</w:t>
      </w:r>
      <w:bookmarkEnd w:id="26"/>
      <w:r>
        <w:rPr>
          <w:rFonts w:hint="eastAsia" w:ascii="仿宋_GB2312" w:eastAsia="仿宋_GB2312"/>
          <w:sz w:val="32"/>
          <w:szCs w:val="32"/>
        </w:rPr>
        <w:t>1,424.41</w:t>
      </w:r>
      <w:r>
        <w:rPr>
          <w:rFonts w:hint="eastAsia" w:ascii="仿宋_GB2312" w:eastAsia="仿宋_GB2312"/>
          <w:color w:val="000000" w:themeColor="text1"/>
          <w:sz w:val="32"/>
          <w:szCs w:val="32"/>
          <w14:textFill>
            <w14:solidFill>
              <w14:schemeClr w14:val="tx1"/>
            </w14:solidFill>
          </w14:textFill>
        </w:rPr>
        <w:t>万元</w:t>
      </w:r>
      <w:r>
        <w:rPr>
          <w:rFonts w:hint="eastAsia" w:ascii="仿宋_GB2312" w:eastAsia="仿宋_GB2312"/>
          <w:sz w:val="32"/>
          <w:szCs w:val="32"/>
        </w:rPr>
        <w:t>，与上年相比，增加579.53万元，增长68.59%，增加的主要原因是：</w:t>
      </w:r>
      <w:r>
        <w:rPr>
          <w:rFonts w:ascii="仿宋_GB2312" w:eastAsia="仿宋_GB2312"/>
          <w:sz w:val="32"/>
          <w:szCs w:val="32"/>
        </w:rPr>
        <w:t>工作经费增加，新增人员5人，人员工资晋升增资。</w:t>
      </w:r>
      <w:bookmarkEnd w:id="27"/>
      <w:bookmarkEnd w:id="28"/>
      <w:bookmarkStart w:id="29" w:name="OLE_LINK61"/>
      <w:r>
        <w:rPr>
          <w:rFonts w:hint="eastAsia" w:ascii="仿宋_GB2312" w:eastAsia="仿宋_GB2312"/>
          <w:color w:val="000000" w:themeColor="text1"/>
          <w:sz w:val="32"/>
          <w:szCs w:val="32"/>
          <w14:textFill>
            <w14:solidFill>
              <w14:schemeClr w14:val="tx1"/>
            </w14:solidFill>
          </w14:textFill>
        </w:rPr>
        <w:t>其中：</w:t>
      </w:r>
      <w:bookmarkStart w:id="30" w:name="OLE_LINK15"/>
      <w:r>
        <w:rPr>
          <w:rFonts w:hint="eastAsia" w:ascii="仿宋_GB2312" w:eastAsia="仿宋_GB2312"/>
          <w:color w:val="000000" w:themeColor="text1"/>
          <w:sz w:val="32"/>
          <w:szCs w:val="32"/>
          <w14:textFill>
            <w14:solidFill>
              <w14:schemeClr w14:val="tx1"/>
            </w14:solidFill>
          </w14:textFill>
        </w:rPr>
        <w:t>基本支出</w:t>
      </w:r>
      <w:bookmarkEnd w:id="30"/>
      <w:r>
        <w:rPr>
          <w:rFonts w:hint="eastAsia" w:ascii="仿宋_GB2312" w:eastAsia="仿宋_GB2312"/>
          <w:sz w:val="32"/>
          <w:szCs w:val="32"/>
        </w:rPr>
        <w:t>989.72</w:t>
      </w:r>
      <w:r>
        <w:rPr>
          <w:rFonts w:hint="eastAsia" w:ascii="仿宋_GB2312" w:eastAsia="仿宋_GB2312"/>
          <w:color w:val="000000" w:themeColor="text1"/>
          <w:sz w:val="32"/>
          <w:szCs w:val="32"/>
          <w14:textFill>
            <w14:solidFill>
              <w14:schemeClr w14:val="tx1"/>
            </w14:solidFill>
          </w14:textFill>
        </w:rPr>
        <w:t>万元，项目支出</w:t>
      </w:r>
      <w:r>
        <w:rPr>
          <w:rFonts w:hint="eastAsia" w:ascii="仿宋_GB2312" w:eastAsia="仿宋_GB2312"/>
          <w:sz w:val="32"/>
          <w:szCs w:val="32"/>
        </w:rPr>
        <w:t>434.69</w:t>
      </w:r>
      <w:r>
        <w:rPr>
          <w:rFonts w:hint="eastAsia" w:ascii="仿宋_GB2312" w:eastAsia="仿宋_GB2312"/>
          <w:color w:val="000000" w:themeColor="text1"/>
          <w:sz w:val="32"/>
          <w:szCs w:val="32"/>
          <w14:textFill>
            <w14:solidFill>
              <w14:schemeClr w14:val="tx1"/>
            </w14:solidFill>
          </w14:textFill>
        </w:rPr>
        <w:t>万元。</w:t>
      </w:r>
      <w:bookmarkStart w:id="31" w:name="OLE_LINK16"/>
      <w:r>
        <w:rPr>
          <w:rFonts w:hint="eastAsia" w:ascii="仿宋_GB2312" w:eastAsia="仿宋_GB2312"/>
          <w:color w:val="000000" w:themeColor="text1"/>
          <w:sz w:val="32"/>
          <w:szCs w:val="32"/>
          <w14:textFill>
            <w14:solidFill>
              <w14:schemeClr w14:val="tx1"/>
            </w14:solidFill>
          </w14:textFill>
        </w:rPr>
        <w:t>财政拨款结转结余</w:t>
      </w:r>
      <w:bookmarkEnd w:id="31"/>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万元</w:t>
      </w:r>
      <w:r>
        <w:rPr>
          <w:rFonts w:hint="eastAsia" w:ascii="仿宋_GB2312" w:eastAsia="仿宋_GB2312"/>
          <w:sz w:val="32"/>
          <w:szCs w:val="32"/>
        </w:rPr>
        <w:t>，与上年相比，增加0万元，增长0%，主要原因是：新增5人经费，工作经费增加，正常增资调资，增加农村公路小修养护资金及工作经费。</w:t>
      </w:r>
      <w:bookmarkEnd w:id="29"/>
    </w:p>
    <w:p>
      <w:pPr>
        <w:spacing w:line="540" w:lineRule="exact"/>
        <w:ind w:firstLine="640" w:firstLineChars="200"/>
        <w:rPr>
          <w:rFonts w:ascii="仿宋_GB2312" w:eastAsia="仿宋_GB2312"/>
          <w:color w:val="000000" w:themeColor="text1"/>
          <w:sz w:val="32"/>
          <w:szCs w:val="32"/>
          <w14:textFill>
            <w14:solidFill>
              <w14:schemeClr w14:val="tx1"/>
            </w14:solidFill>
          </w14:textFill>
        </w:rPr>
      </w:pPr>
      <w:bookmarkStart w:id="32" w:name="OLE_LINK62"/>
      <w:r>
        <w:rPr>
          <w:rFonts w:hint="eastAsia" w:ascii="仿宋_GB2312" w:eastAsia="仿宋_GB2312"/>
          <w:color w:val="000000" w:themeColor="text1"/>
          <w:sz w:val="32"/>
          <w:szCs w:val="32"/>
          <w14:textFill>
            <w14:solidFill>
              <w14:schemeClr w14:val="tx1"/>
            </w14:solidFill>
          </w14:textFill>
        </w:rPr>
        <w:t>与年初预算数相比情况：财政拨款收入年初预算数</w:t>
      </w:r>
      <w:r>
        <w:rPr>
          <w:rFonts w:ascii="仿宋_GB2312" w:eastAsia="仿宋_GB2312"/>
          <w:color w:val="000000" w:themeColor="text1"/>
          <w:sz w:val="32"/>
          <w:szCs w:val="32"/>
          <w14:textFill>
            <w14:solidFill>
              <w14:schemeClr w14:val="tx1"/>
            </w14:solidFill>
          </w14:textFill>
        </w:rPr>
        <w:t>1,007.98</w:t>
      </w:r>
      <w:r>
        <w:rPr>
          <w:rFonts w:hint="eastAsia" w:ascii="仿宋_GB2312" w:eastAsia="仿宋_GB2312"/>
          <w:color w:val="000000" w:themeColor="text1"/>
          <w:sz w:val="32"/>
          <w:szCs w:val="32"/>
          <w14:textFill>
            <w14:solidFill>
              <w14:schemeClr w14:val="tx1"/>
            </w14:solidFill>
          </w14:textFill>
        </w:rPr>
        <w:t>万元，决算数</w:t>
      </w:r>
      <w:r>
        <w:rPr>
          <w:rFonts w:hint="eastAsia" w:ascii="仿宋_GB2312" w:eastAsia="仿宋_GB2312"/>
          <w:sz w:val="32"/>
          <w:szCs w:val="32"/>
        </w:rPr>
        <w:t>1,424.41</w:t>
      </w:r>
      <w:r>
        <w:rPr>
          <w:rFonts w:hint="eastAsia" w:ascii="仿宋_GB2312" w:eastAsia="仿宋_GB2312"/>
          <w:color w:val="000000" w:themeColor="text1"/>
          <w:sz w:val="32"/>
          <w:szCs w:val="32"/>
          <w14:textFill>
            <w14:solidFill>
              <w14:schemeClr w14:val="tx1"/>
            </w14:solidFill>
          </w14:textFill>
        </w:rPr>
        <w:t>万元</w:t>
      </w:r>
      <w:r>
        <w:rPr>
          <w:rFonts w:ascii="仿宋_GB2312" w:eastAsia="仿宋_GB2312"/>
          <w:color w:val="000000" w:themeColor="text1"/>
          <w:sz w:val="32"/>
          <w:szCs w:val="32"/>
          <w14:textFill>
            <w14:solidFill>
              <w14:schemeClr w14:val="tx1"/>
            </w14:solidFill>
          </w14:textFill>
        </w:rPr>
        <w:t>，预决算差异率41.31%，差异主要原因是:工作经费增加，新增人员5人，人员工资增资，农村公路小修养护费项目。</w:t>
      </w:r>
      <w:bookmarkEnd w:id="32"/>
      <w:bookmarkStart w:id="33" w:name="OLE_LINK63"/>
      <w:r>
        <w:rPr>
          <w:rFonts w:hint="eastAsia" w:ascii="仿宋_GB2312" w:eastAsia="仿宋_GB2312"/>
          <w:color w:val="000000" w:themeColor="text1"/>
          <w:sz w:val="32"/>
          <w:szCs w:val="32"/>
          <w14:textFill>
            <w14:solidFill>
              <w14:schemeClr w14:val="tx1"/>
            </w14:solidFill>
          </w14:textFill>
        </w:rPr>
        <w:t>财政拨款支出年初预算数</w:t>
      </w:r>
      <w:r>
        <w:rPr>
          <w:rFonts w:ascii="仿宋_GB2312" w:eastAsia="仿宋_GB2312"/>
          <w:color w:val="000000" w:themeColor="text1"/>
          <w:sz w:val="32"/>
          <w:szCs w:val="32"/>
          <w14:textFill>
            <w14:solidFill>
              <w14:schemeClr w14:val="tx1"/>
            </w14:solidFill>
          </w14:textFill>
        </w:rPr>
        <w:t>1,007.98</w:t>
      </w:r>
      <w:r>
        <w:rPr>
          <w:rFonts w:hint="eastAsia" w:ascii="仿宋_GB2312" w:eastAsia="仿宋_GB2312"/>
          <w:color w:val="000000" w:themeColor="text1"/>
          <w:sz w:val="32"/>
          <w:szCs w:val="32"/>
          <w14:textFill>
            <w14:solidFill>
              <w14:schemeClr w14:val="tx1"/>
            </w14:solidFill>
          </w14:textFill>
        </w:rPr>
        <w:t>万元，决算数</w:t>
      </w:r>
      <w:r>
        <w:rPr>
          <w:rFonts w:hint="eastAsia" w:ascii="仿宋_GB2312" w:eastAsia="仿宋_GB2312"/>
          <w:sz w:val="32"/>
          <w:szCs w:val="32"/>
        </w:rPr>
        <w:t>1,424.41</w:t>
      </w:r>
      <w:r>
        <w:rPr>
          <w:rFonts w:hint="eastAsia" w:ascii="仿宋_GB2312" w:eastAsia="仿宋_GB2312"/>
          <w:color w:val="000000" w:themeColor="text1"/>
          <w:sz w:val="32"/>
          <w:szCs w:val="32"/>
          <w14:textFill>
            <w14:solidFill>
              <w14:schemeClr w14:val="tx1"/>
            </w14:solidFill>
          </w14:textFill>
        </w:rPr>
        <w:t>万元</w:t>
      </w:r>
      <w:r>
        <w:rPr>
          <w:rFonts w:ascii="仿宋_GB2312" w:eastAsia="仿宋_GB2312"/>
          <w:color w:val="000000" w:themeColor="text1"/>
          <w:sz w:val="32"/>
          <w:szCs w:val="32"/>
          <w14:textFill>
            <w14:solidFill>
              <w14:schemeClr w14:val="tx1"/>
            </w14:solidFill>
          </w14:textFill>
        </w:rPr>
        <w:t>，预决算差异率41.31%，差异主要原因是:增加工作经费，新增人员工资，工资正常晋升及农村公路小修养护费项目。</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14:textFill>
            <w14:solidFill>
              <w14:schemeClr w14:val="tx1"/>
            </w14:solidFill>
          </w14:textFill>
        </w:rPr>
      </w:pPr>
      <w:bookmarkStart w:id="34" w:name="OLE_LINK64"/>
      <w:r>
        <w:rPr>
          <w:rFonts w:hint="eastAsia" w:ascii="仿宋_GB2312" w:eastAsia="仿宋_GB2312"/>
          <w:color w:val="000000" w:themeColor="text1"/>
          <w:sz w:val="32"/>
          <w:szCs w:val="32"/>
          <w14:textFill>
            <w14:solidFill>
              <w14:schemeClr w14:val="tx1"/>
            </w14:solidFill>
          </w14:textFill>
        </w:rPr>
        <w:t>2018年度</w:t>
      </w:r>
      <w:bookmarkStart w:id="35" w:name="OLE_LINK17"/>
      <w:r>
        <w:rPr>
          <w:rFonts w:hint="eastAsia" w:ascii="仿宋_GB2312" w:eastAsia="仿宋_GB2312"/>
          <w:color w:val="000000" w:themeColor="text1"/>
          <w:sz w:val="32"/>
          <w:szCs w:val="32"/>
          <w14:textFill>
            <w14:solidFill>
              <w14:schemeClr w14:val="tx1"/>
            </w14:solidFill>
          </w14:textFill>
        </w:rPr>
        <w:t>一般公共预算财政拨款收入</w:t>
      </w:r>
      <w:bookmarkEnd w:id="35"/>
      <w:r>
        <w:rPr>
          <w:rFonts w:ascii="仿宋_GB2312" w:eastAsia="仿宋_GB2312"/>
          <w:color w:val="000000" w:themeColor="text1"/>
          <w:sz w:val="32"/>
          <w:szCs w:val="32"/>
          <w14:textFill>
            <w14:solidFill>
              <w14:schemeClr w14:val="tx1"/>
            </w14:solidFill>
          </w14:textFill>
        </w:rPr>
        <w:t>1,424.41</w:t>
      </w:r>
      <w:r>
        <w:rPr>
          <w:rFonts w:hint="eastAsia" w:ascii="仿宋_GB2312" w:eastAsia="仿宋_GB2312"/>
          <w:color w:val="000000" w:themeColor="text1"/>
          <w:sz w:val="32"/>
          <w:szCs w:val="32"/>
          <w14:textFill>
            <w14:solidFill>
              <w14:schemeClr w14:val="tx1"/>
            </w14:solidFill>
          </w14:textFill>
        </w:rPr>
        <w:t>万元</w:t>
      </w:r>
      <w:r>
        <w:rPr>
          <w:rFonts w:ascii="仿宋_GB2312" w:eastAsia="仿宋_GB2312"/>
          <w:color w:val="000000" w:themeColor="text1"/>
          <w:sz w:val="32"/>
          <w:szCs w:val="32"/>
          <w14:textFill>
            <w14:solidFill>
              <w14:schemeClr w14:val="tx1"/>
            </w14:solidFill>
          </w14:textFill>
        </w:rPr>
        <w:t>，与上年相比，增加579.53万元，增长68.59%，增加的主要原因是：工作经费增加，新增人员5人，人员工资增资。</w:t>
      </w:r>
      <w:bookmarkEnd w:id="34"/>
      <w:bookmarkStart w:id="36" w:name="OLE_LINK18"/>
      <w:bookmarkStart w:id="37" w:name="OLE_LINK65"/>
      <w:r>
        <w:rPr>
          <w:rFonts w:hint="eastAsia" w:ascii="仿宋_GB2312" w:eastAsia="仿宋_GB2312"/>
          <w:color w:val="000000" w:themeColor="text1"/>
          <w:sz w:val="32"/>
          <w:szCs w:val="32"/>
          <w14:textFill>
            <w14:solidFill>
              <w14:schemeClr w14:val="tx1"/>
            </w14:solidFill>
          </w14:textFill>
        </w:rPr>
        <w:t>一般公共预算财政拨款支出</w:t>
      </w:r>
      <w:r>
        <w:rPr>
          <w:rFonts w:hint="eastAsia" w:ascii="仿宋_GB2312" w:eastAsia="仿宋_GB2312"/>
          <w:sz w:val="32"/>
          <w:szCs w:val="32"/>
        </w:rPr>
        <w:t>1,424.41</w:t>
      </w:r>
      <w:r>
        <w:rPr>
          <w:rFonts w:hint="eastAsia" w:ascii="仿宋_GB2312" w:eastAsia="仿宋_GB2312"/>
          <w:color w:val="000000" w:themeColor="text1"/>
          <w:sz w:val="32"/>
          <w:szCs w:val="32"/>
          <w14:textFill>
            <w14:solidFill>
              <w14:schemeClr w14:val="tx1"/>
            </w14:solidFill>
          </w14:textFill>
        </w:rPr>
        <w:t>万元</w:t>
      </w:r>
      <w:bookmarkEnd w:id="36"/>
      <w:r>
        <w:rPr>
          <w:rFonts w:hint="eastAsia" w:ascii="仿宋_GB2312" w:eastAsia="仿宋_GB2312"/>
          <w:sz w:val="32"/>
          <w:szCs w:val="32"/>
        </w:rPr>
        <w:t>，与上年相比，增加579.53万元，增长68.59%，增加的主要原因是：工作经费增加，农村公路小修养护费项目增加。</w:t>
      </w:r>
      <w:bookmarkEnd w:id="37"/>
      <w:r>
        <w:rPr>
          <w:rFonts w:hint="eastAsia" w:ascii="仿宋_GB2312" w:eastAsia="仿宋_GB2312"/>
          <w:color w:val="000000" w:themeColor="text1"/>
          <w:sz w:val="32"/>
          <w:szCs w:val="32"/>
          <w14:textFill>
            <w14:solidFill>
              <w14:schemeClr w14:val="tx1"/>
            </w14:solidFill>
          </w14:textFill>
        </w:rPr>
        <w:t>其中：</w:t>
      </w:r>
      <w:bookmarkStart w:id="38" w:name="OLE_LINK19"/>
      <w:r>
        <w:rPr>
          <w:rFonts w:hint="eastAsia" w:ascii="仿宋_GB2312" w:eastAsia="仿宋_GB2312"/>
          <w:color w:val="000000" w:themeColor="text1"/>
          <w:sz w:val="32"/>
          <w:szCs w:val="32"/>
          <w14:textFill>
            <w14:solidFill>
              <w14:schemeClr w14:val="tx1"/>
            </w14:solidFill>
          </w14:textFill>
        </w:rPr>
        <w:t>按功能分类科目（按类级科目公开）</w:t>
      </w:r>
      <w:bookmarkEnd w:id="38"/>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sz w:val="32"/>
          <w:szCs w:val="32"/>
        </w:rPr>
        <w:t>住房保障支出53.41万元,交通运输支出1,225.61万元,教育支出12.74万元,其他支出52.81万元,社会保障和就业支出79.84万元。</w:t>
      </w:r>
      <w:bookmarkStart w:id="39" w:name="OLE_LINK20"/>
      <w:bookmarkStart w:id="40" w:name="OLE_LINK21"/>
      <w:r>
        <w:rPr>
          <w:rFonts w:hint="eastAsia" w:ascii="仿宋_GB2312" w:eastAsia="仿宋_GB2312"/>
          <w:color w:val="000000" w:themeColor="text1"/>
          <w:sz w:val="32"/>
          <w:szCs w:val="32"/>
          <w14:textFill>
            <w14:solidFill>
              <w14:schemeClr w14:val="tx1"/>
            </w14:solidFill>
          </w14:textFill>
        </w:rPr>
        <w:t>按经济分类科目</w:t>
      </w:r>
      <w:bookmarkEnd w:id="39"/>
      <w:r>
        <w:rPr>
          <w:rFonts w:hint="eastAsia" w:ascii="仿宋_GB2312" w:eastAsia="仿宋_GB2312"/>
          <w:color w:val="000000" w:themeColor="text1"/>
          <w:sz w:val="32"/>
          <w:szCs w:val="32"/>
          <w14:textFill>
            <w14:solidFill>
              <w14:schemeClr w14:val="tx1"/>
            </w14:solidFill>
          </w14:textFill>
        </w:rPr>
        <w:t>（按类级科目公开）</w:t>
      </w:r>
      <w:bookmarkEnd w:id="40"/>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sz w:val="32"/>
          <w:szCs w:val="32"/>
        </w:rPr>
        <w:t>工资福利支出779.57万元,商品和服务支出22.79万元,对个人和家庭的补助233.05万元,资本性支出389万元。</w:t>
      </w:r>
    </w:p>
    <w:p>
      <w:pPr>
        <w:spacing w:line="540" w:lineRule="exact"/>
        <w:ind w:firstLine="640" w:firstLineChars="200"/>
        <w:rPr>
          <w:rFonts w:ascii="仿宋_GB2312" w:eastAsia="仿宋_GB2312"/>
          <w:color w:val="000000" w:themeColor="text1"/>
          <w:sz w:val="32"/>
          <w:szCs w:val="32"/>
          <w14:textFill>
            <w14:solidFill>
              <w14:schemeClr w14:val="tx1"/>
            </w14:solidFill>
          </w14:textFill>
        </w:rPr>
      </w:pPr>
      <w:bookmarkStart w:id="41" w:name="OLE_LINK67"/>
      <w:bookmarkStart w:id="42" w:name="OLE_LINK66"/>
      <w:r>
        <w:rPr>
          <w:rFonts w:hint="eastAsia" w:ascii="仿宋_GB2312" w:eastAsia="仿宋_GB2312"/>
          <w:color w:val="000000" w:themeColor="text1"/>
          <w:sz w:val="32"/>
          <w:szCs w:val="32"/>
          <w14:textFill>
            <w14:solidFill>
              <w14:schemeClr w14:val="tx1"/>
            </w14:solidFill>
          </w14:textFill>
        </w:rPr>
        <w:t>与年初预算数相比情况：一般公共预算财政拨款收入年初预算数</w:t>
      </w:r>
      <w:r>
        <w:rPr>
          <w:rFonts w:ascii="仿宋_GB2312" w:eastAsia="仿宋_GB2312"/>
          <w:color w:val="000000" w:themeColor="text1"/>
          <w:sz w:val="32"/>
          <w:szCs w:val="32"/>
          <w14:textFill>
            <w14:solidFill>
              <w14:schemeClr w14:val="tx1"/>
            </w14:solidFill>
          </w14:textFill>
        </w:rPr>
        <w:t>1,007.98</w:t>
      </w:r>
      <w:r>
        <w:rPr>
          <w:rFonts w:hint="eastAsia" w:ascii="仿宋_GB2312" w:eastAsia="仿宋_GB2312"/>
          <w:color w:val="000000" w:themeColor="text1"/>
          <w:sz w:val="32"/>
          <w:szCs w:val="32"/>
          <w14:textFill>
            <w14:solidFill>
              <w14:schemeClr w14:val="tx1"/>
            </w14:solidFill>
          </w14:textFill>
        </w:rPr>
        <w:t>万元，决算数</w:t>
      </w:r>
      <w:r>
        <w:rPr>
          <w:rFonts w:ascii="仿宋_GB2312" w:eastAsia="仿宋_GB2312"/>
          <w:color w:val="000000" w:themeColor="text1"/>
          <w:sz w:val="32"/>
          <w:szCs w:val="32"/>
          <w14:textFill>
            <w14:solidFill>
              <w14:schemeClr w14:val="tx1"/>
            </w14:solidFill>
          </w14:textFill>
        </w:rPr>
        <w:t>1,424.41</w:t>
      </w:r>
      <w:r>
        <w:rPr>
          <w:rFonts w:hint="eastAsia" w:ascii="仿宋_GB2312" w:eastAsia="仿宋_GB2312"/>
          <w:color w:val="000000" w:themeColor="text1"/>
          <w:sz w:val="32"/>
          <w:szCs w:val="32"/>
          <w14:textFill>
            <w14:solidFill>
              <w14:schemeClr w14:val="tx1"/>
            </w14:solidFill>
          </w14:textFill>
        </w:rPr>
        <w:t>万元</w:t>
      </w:r>
      <w:r>
        <w:rPr>
          <w:rFonts w:ascii="仿宋_GB2312" w:eastAsia="仿宋_GB2312"/>
          <w:color w:val="000000" w:themeColor="text1"/>
          <w:sz w:val="32"/>
          <w:szCs w:val="32"/>
          <w14:textFill>
            <w14:solidFill>
              <w14:schemeClr w14:val="tx1"/>
            </w14:solidFill>
          </w14:textFill>
        </w:rPr>
        <w:t>，预决算差异率41.31%，差异主要原因是:工作经费增加，新增人员5人，人员工资增资。</w:t>
      </w:r>
      <w:bookmarkEnd w:id="41"/>
      <w:bookmarkEnd w:id="42"/>
      <w:bookmarkStart w:id="43" w:name="OLE_LINK68"/>
      <w:r>
        <w:rPr>
          <w:rFonts w:hint="eastAsia" w:ascii="仿宋_GB2312" w:eastAsia="仿宋_GB2312"/>
          <w:color w:val="000000" w:themeColor="text1"/>
          <w:sz w:val="32"/>
          <w:szCs w:val="32"/>
          <w14:textFill>
            <w14:solidFill>
              <w14:schemeClr w14:val="tx1"/>
            </w14:solidFill>
          </w14:textFill>
        </w:rPr>
        <w:t>一般公共预算财政拨款支出年初预算数</w:t>
      </w:r>
      <w:r>
        <w:rPr>
          <w:rFonts w:ascii="仿宋_GB2312" w:eastAsia="仿宋_GB2312"/>
          <w:color w:val="000000" w:themeColor="text1"/>
          <w:sz w:val="32"/>
          <w:szCs w:val="32"/>
          <w14:textFill>
            <w14:solidFill>
              <w14:schemeClr w14:val="tx1"/>
            </w14:solidFill>
          </w14:textFill>
        </w:rPr>
        <w:t>1,007.98</w:t>
      </w:r>
      <w:r>
        <w:rPr>
          <w:rFonts w:hint="eastAsia" w:ascii="仿宋_GB2312" w:eastAsia="仿宋_GB2312"/>
          <w:color w:val="000000" w:themeColor="text1"/>
          <w:sz w:val="32"/>
          <w:szCs w:val="32"/>
          <w14:textFill>
            <w14:solidFill>
              <w14:schemeClr w14:val="tx1"/>
            </w14:solidFill>
          </w14:textFill>
        </w:rPr>
        <w:t>万元，决算数</w:t>
      </w:r>
      <w:r>
        <w:rPr>
          <w:rFonts w:ascii="仿宋_GB2312" w:eastAsia="仿宋_GB2312"/>
          <w:color w:val="000000" w:themeColor="text1"/>
          <w:sz w:val="32"/>
          <w:szCs w:val="32"/>
          <w14:textFill>
            <w14:solidFill>
              <w14:schemeClr w14:val="tx1"/>
            </w14:solidFill>
          </w14:textFill>
        </w:rPr>
        <w:t>1,424.41</w:t>
      </w:r>
      <w:r>
        <w:rPr>
          <w:rFonts w:hint="eastAsia" w:ascii="仿宋_GB2312" w:eastAsia="仿宋_GB2312"/>
          <w:color w:val="000000" w:themeColor="text1"/>
          <w:sz w:val="32"/>
          <w:szCs w:val="32"/>
          <w14:textFill>
            <w14:solidFill>
              <w14:schemeClr w14:val="tx1"/>
            </w14:solidFill>
          </w14:textFill>
        </w:rPr>
        <w:t>万元</w:t>
      </w:r>
      <w:r>
        <w:rPr>
          <w:rFonts w:ascii="仿宋_GB2312" w:eastAsia="仿宋_GB2312"/>
          <w:color w:val="000000" w:themeColor="text1"/>
          <w:sz w:val="32"/>
          <w:szCs w:val="32"/>
          <w14:textFill>
            <w14:solidFill>
              <w14:schemeClr w14:val="tx1"/>
            </w14:solidFill>
          </w14:textFill>
        </w:rPr>
        <w:t>，预决算差异率41.31%，差异主要原因是:工作经费增加，新增人员5人，人员工资增资。</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14:textFill>
            <w14:solidFill>
              <w14:schemeClr w14:val="tx1"/>
            </w14:solidFill>
          </w14:textFill>
        </w:rPr>
      </w:pPr>
      <w:bookmarkStart w:id="44" w:name="OLE_LINK69"/>
      <w:r>
        <w:rPr>
          <w:rFonts w:hint="eastAsia" w:ascii="仿宋_GB2312" w:eastAsia="仿宋_GB2312"/>
          <w:color w:val="000000" w:themeColor="text1"/>
          <w:sz w:val="32"/>
          <w:szCs w:val="32"/>
          <w14:textFill>
            <w14:solidFill>
              <w14:schemeClr w14:val="tx1"/>
            </w14:solidFill>
          </w14:textFill>
        </w:rPr>
        <w:t>2018年度</w:t>
      </w:r>
      <w:bookmarkStart w:id="45" w:name="OLE_LINK22"/>
      <w:r>
        <w:rPr>
          <w:rFonts w:hint="eastAsia" w:ascii="仿宋_GB2312" w:eastAsia="仿宋_GB2312"/>
          <w:color w:val="000000" w:themeColor="text1"/>
          <w:sz w:val="32"/>
          <w:szCs w:val="32"/>
          <w14:textFill>
            <w14:solidFill>
              <w14:schemeClr w14:val="tx1"/>
            </w14:solidFill>
          </w14:textFill>
        </w:rPr>
        <w:t>政府性基金预算财政拨款收入</w:t>
      </w:r>
      <w:bookmarkEnd w:id="45"/>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万元</w:t>
      </w:r>
      <w:r>
        <w:rPr>
          <w:rFonts w:hint="eastAsia" w:ascii="仿宋_GB2312" w:eastAsia="仿宋_GB2312"/>
          <w:sz w:val="32"/>
          <w:szCs w:val="32"/>
        </w:rPr>
        <w:t>，与上年相比，增加0万元，增长0%，主要原因是：无政府性基金收入。</w:t>
      </w:r>
      <w:bookmarkEnd w:id="44"/>
      <w:bookmarkStart w:id="46" w:name="OLE_LINK23"/>
      <w:bookmarkStart w:id="47" w:name="OLE_LINK70"/>
      <w:r>
        <w:rPr>
          <w:rFonts w:hint="eastAsia" w:ascii="仿宋_GB2312" w:eastAsia="仿宋_GB2312"/>
          <w:color w:val="000000" w:themeColor="text1"/>
          <w:sz w:val="32"/>
          <w:szCs w:val="32"/>
          <w14:textFill>
            <w14:solidFill>
              <w14:schemeClr w14:val="tx1"/>
            </w14:solidFill>
          </w14:textFill>
        </w:rPr>
        <w:t>政府性基金预算支出</w:t>
      </w:r>
      <w:bookmarkEnd w:id="46"/>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万元</w:t>
      </w:r>
      <w:r>
        <w:rPr>
          <w:rFonts w:hint="eastAsia" w:ascii="仿宋_GB2312" w:eastAsia="仿宋_GB2312"/>
          <w:sz w:val="32"/>
          <w:szCs w:val="32"/>
        </w:rPr>
        <w:t>，与上年相比，增加0万元，增长0%，主要原因是：无政府性基金支出。</w:t>
      </w:r>
      <w:bookmarkEnd w:id="47"/>
      <w:r>
        <w:rPr>
          <w:rFonts w:hint="eastAsia" w:ascii="仿宋_GB2312" w:eastAsia="仿宋_GB2312"/>
          <w:color w:val="000000" w:themeColor="text1"/>
          <w:sz w:val="32"/>
          <w:szCs w:val="32"/>
          <w14:textFill>
            <w14:solidFill>
              <w14:schemeClr w14:val="tx1"/>
            </w14:solidFill>
          </w14:textFill>
        </w:rPr>
        <w:t>其中：</w:t>
      </w:r>
      <w:bookmarkStart w:id="48" w:name="OLE_LINK24"/>
      <w:r>
        <w:rPr>
          <w:rFonts w:hint="eastAsia" w:ascii="仿宋_GB2312" w:eastAsia="仿宋_GB2312"/>
          <w:color w:val="000000" w:themeColor="text1"/>
          <w:sz w:val="32"/>
          <w:szCs w:val="32"/>
          <w14:textFill>
            <w14:solidFill>
              <w14:schemeClr w14:val="tx1"/>
            </w14:solidFill>
          </w14:textFill>
        </w:rPr>
        <w:t>按功能分类科目（按类级科目公开）</w:t>
      </w:r>
      <w:bookmarkEnd w:id="48"/>
      <w:r>
        <w:rPr>
          <w:rFonts w:hint="eastAsia" w:ascii="仿宋_GB2312" w:eastAsia="仿宋_GB2312"/>
          <w:color w:val="000000" w:themeColor="text1"/>
          <w:sz w:val="32"/>
          <w:szCs w:val="32"/>
          <w14:textFill>
            <w14:solidFill>
              <w14:schemeClr w14:val="tx1"/>
            </w14:solidFill>
          </w14:textFill>
        </w:rPr>
        <w:t>，无。按经济分类科目（按类级科目公开），无。</w:t>
      </w:r>
    </w:p>
    <w:p>
      <w:pPr>
        <w:spacing w:line="540" w:lineRule="exact"/>
        <w:ind w:firstLine="640" w:firstLineChars="200"/>
        <w:rPr>
          <w:rFonts w:ascii="仿宋_GB2312" w:eastAsia="仿宋_GB2312"/>
          <w:color w:val="000000" w:themeColor="text1"/>
          <w:sz w:val="32"/>
          <w:szCs w:val="32"/>
          <w14:textFill>
            <w14:solidFill>
              <w14:schemeClr w14:val="tx1"/>
            </w14:solidFill>
          </w14:textFill>
        </w:rPr>
      </w:pPr>
      <w:bookmarkStart w:id="49" w:name="OLE_LINK71"/>
      <w:bookmarkStart w:id="50" w:name="OLE_LINK72"/>
      <w:r>
        <w:rPr>
          <w:rFonts w:hint="eastAsia" w:ascii="仿宋_GB2312" w:eastAsia="仿宋_GB2312"/>
          <w:color w:val="000000" w:themeColor="text1"/>
          <w:sz w:val="32"/>
          <w:szCs w:val="32"/>
          <w14:textFill>
            <w14:solidFill>
              <w14:schemeClr w14:val="tx1"/>
            </w14:solidFill>
          </w14:textFill>
        </w:rPr>
        <w:t>与年初预算数相比情况：政府性基金预算财政拨款收入年初预算数0万元，决算数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万元</w:t>
      </w:r>
      <w:r>
        <w:rPr>
          <w:rFonts w:ascii="仿宋_GB2312" w:eastAsia="仿宋_GB2312"/>
          <w:color w:val="000000" w:themeColor="text1"/>
          <w:sz w:val="32"/>
          <w:szCs w:val="32"/>
          <w14:textFill>
            <w14:solidFill>
              <w14:schemeClr w14:val="tx1"/>
            </w14:solidFill>
          </w14:textFill>
        </w:rPr>
        <w:t>，预决算差异率0%，差异主要原因是:无政府性基金收入。</w:t>
      </w:r>
      <w:bookmarkEnd w:id="49"/>
      <w:bookmarkEnd w:id="50"/>
      <w:bookmarkStart w:id="51" w:name="OLE_LINK73"/>
      <w:r>
        <w:rPr>
          <w:rFonts w:hint="eastAsia" w:ascii="仿宋_GB2312" w:eastAsia="仿宋_GB2312"/>
          <w:color w:val="000000" w:themeColor="text1"/>
          <w:sz w:val="32"/>
          <w:szCs w:val="32"/>
          <w14:textFill>
            <w14:solidFill>
              <w14:schemeClr w14:val="tx1"/>
            </w14:solidFill>
          </w14:textFill>
        </w:rPr>
        <w:t>政府性基金预算财政拨款支出年初预算数0万元，决算数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万元</w:t>
      </w:r>
      <w:r>
        <w:rPr>
          <w:rFonts w:ascii="仿宋_GB2312" w:eastAsia="仿宋_GB2312"/>
          <w:color w:val="000000" w:themeColor="text1"/>
          <w:sz w:val="32"/>
          <w:szCs w:val="32"/>
          <w14:textFill>
            <w14:solidFill>
              <w14:schemeClr w14:val="tx1"/>
            </w14:solidFill>
          </w14:textFill>
        </w:rPr>
        <w:t>，预决算差异率0%，差异主要原因是:无政府性基金支出。</w:t>
      </w:r>
      <w:bookmarkEnd w:id="51"/>
    </w:p>
    <w:p>
      <w:pPr>
        <w:spacing w:line="540" w:lineRule="exact"/>
        <w:ind w:firstLine="640" w:firstLineChars="20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三、部门结转结余情况</w:t>
      </w:r>
    </w:p>
    <w:p>
      <w:pPr>
        <w:spacing w:line="540" w:lineRule="exact"/>
        <w:ind w:firstLine="640" w:firstLineChars="200"/>
        <w:rPr>
          <w:rFonts w:ascii="仿宋_GB2312" w:eastAsia="仿宋_GB2312"/>
          <w:color w:val="000000" w:themeColor="text1"/>
          <w:sz w:val="32"/>
          <w:szCs w:val="32"/>
          <w14:textFill>
            <w14:solidFill>
              <w14:schemeClr w14:val="tx1"/>
            </w14:solidFill>
          </w14:textFill>
        </w:rPr>
      </w:pPr>
      <w:bookmarkStart w:id="52" w:name="OLE_LINK26"/>
      <w:bookmarkStart w:id="53" w:name="OLE_LINK25"/>
      <w:r>
        <w:rPr>
          <w:rFonts w:hint="eastAsia" w:ascii="仿宋_GB2312" w:eastAsia="仿宋_GB2312"/>
          <w:color w:val="000000" w:themeColor="text1"/>
          <w:sz w:val="32"/>
          <w:szCs w:val="32"/>
          <w14:textFill>
            <w14:solidFill>
              <w14:schemeClr w14:val="tx1"/>
            </w14:solidFill>
          </w14:textFill>
        </w:rPr>
        <w:t>年末结转结余</w:t>
      </w:r>
      <w:bookmarkEnd w:id="52"/>
      <w:bookmarkEnd w:id="53"/>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万元</w:t>
      </w:r>
      <w:r>
        <w:rPr>
          <w:rFonts w:hint="eastAsia" w:ascii="仿宋_GB2312" w:eastAsia="仿宋_GB2312"/>
          <w:sz w:val="32"/>
          <w:szCs w:val="32"/>
        </w:rPr>
        <w:t>。与上年相比，增加0万元，增长0%</w:t>
      </w:r>
      <w:r>
        <w:rPr>
          <w:rFonts w:hint="eastAsia" w:ascii="仿宋_GB2312" w:eastAsia="仿宋_GB2312"/>
          <w:color w:val="000000" w:themeColor="text1"/>
          <w:sz w:val="32"/>
          <w:szCs w:val="32"/>
          <w14:textFill>
            <w14:solidFill>
              <w14:schemeClr w14:val="tx1"/>
            </w14:solidFill>
          </w14:textFill>
        </w:rPr>
        <w:t>。</w:t>
      </w:r>
    </w:p>
    <w:p>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14:textFill>
            <w14:solidFill>
              <w14:schemeClr w14:val="tx1"/>
            </w14:solidFill>
          </w14:textFill>
        </w:rPr>
        <w:t>其中</w:t>
      </w:r>
      <w:bookmarkStart w:id="54" w:name="OLE_LINK27"/>
      <w:bookmarkStart w:id="55" w:name="OLE_LINK28"/>
      <w:r>
        <w:rPr>
          <w:rFonts w:hint="eastAsia" w:ascii="仿宋_GB2312" w:eastAsia="仿宋_GB2312"/>
          <w:color w:val="000000" w:themeColor="text1"/>
          <w:sz w:val="32"/>
          <w:szCs w:val="32"/>
          <w14:textFill>
            <w14:solidFill>
              <w14:schemeClr w14:val="tx1"/>
            </w14:solidFill>
          </w14:textFill>
        </w:rPr>
        <w:t>财政拨款结转结余</w:t>
      </w:r>
      <w:bookmarkEnd w:id="54"/>
      <w:bookmarkEnd w:id="55"/>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万元</w:t>
      </w:r>
      <w:r>
        <w:rPr>
          <w:rFonts w:hint="eastAsia" w:ascii="仿宋_GB2312" w:eastAsia="仿宋_GB2312"/>
          <w:sz w:val="32"/>
          <w:szCs w:val="32"/>
        </w:rPr>
        <w:t>。与上年相比，增加0万元，增长0%。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14:textFill>
            <w14:solidFill>
              <w14:schemeClr w14:val="tx1"/>
            </w14:solidFill>
          </w14:textFill>
        </w:rPr>
      </w:pPr>
      <w:bookmarkStart w:id="56" w:name="OLE_LINK74"/>
      <w:r>
        <w:rPr>
          <w:rFonts w:hint="eastAsia" w:ascii="仿宋_GB2312" w:eastAsia="仿宋_GB2312"/>
          <w:color w:val="000000" w:themeColor="text1"/>
          <w:sz w:val="32"/>
          <w:szCs w:val="32"/>
          <w14:textFill>
            <w14:solidFill>
              <w14:schemeClr w14:val="tx1"/>
            </w14:solidFill>
          </w14:textFill>
        </w:rPr>
        <w:t>2018年度</w:t>
      </w:r>
      <w:bookmarkStart w:id="57" w:name="OLE_LINK29"/>
      <w:r>
        <w:rPr>
          <w:rFonts w:hint="eastAsia" w:ascii="仿宋_GB2312" w:eastAsia="仿宋_GB2312"/>
          <w:color w:val="000000" w:themeColor="text1"/>
          <w:sz w:val="32"/>
          <w:szCs w:val="32"/>
          <w14:textFill>
            <w14:solidFill>
              <w14:schemeClr w14:val="tx1"/>
            </w14:solidFill>
          </w14:textFill>
        </w:rPr>
        <w:t>一般公共预算“三公”经费支出决算</w:t>
      </w:r>
      <w:bookmarkEnd w:id="57"/>
      <w:r>
        <w:rPr>
          <w:rFonts w:hint="eastAsia" w:ascii="仿宋_GB2312" w:eastAsia="仿宋_GB2312"/>
          <w:sz w:val="32"/>
          <w:szCs w:val="32"/>
        </w:rPr>
        <w:t>5.4</w:t>
      </w:r>
      <w:r>
        <w:rPr>
          <w:rFonts w:hint="eastAsia" w:ascii="仿宋_GB2312" w:eastAsia="仿宋_GB2312"/>
          <w:color w:val="000000" w:themeColor="text1"/>
          <w:sz w:val="32"/>
          <w:szCs w:val="32"/>
          <w14:textFill>
            <w14:solidFill>
              <w14:schemeClr w14:val="tx1"/>
            </w14:solidFill>
          </w14:textFill>
        </w:rPr>
        <w:t>万元</w:t>
      </w:r>
      <w:r>
        <w:rPr>
          <w:rFonts w:hint="eastAsia" w:ascii="仿宋_GB2312" w:eastAsia="仿宋_GB2312"/>
          <w:sz w:val="32"/>
          <w:szCs w:val="32"/>
        </w:rPr>
        <w:t>，与上年相比，增加0万元，增长0%，主要原因是：无变化。</w:t>
      </w:r>
      <w:bookmarkEnd w:id="56"/>
      <w:bookmarkStart w:id="58" w:name="OLE_LINK75"/>
      <w:r>
        <w:rPr>
          <w:rFonts w:hint="eastAsia" w:ascii="仿宋_GB2312" w:eastAsia="仿宋_GB2312"/>
          <w:color w:val="000000" w:themeColor="text1"/>
          <w:sz w:val="32"/>
          <w:szCs w:val="32"/>
          <w14:textFill>
            <w14:solidFill>
              <w14:schemeClr w14:val="tx1"/>
            </w14:solidFill>
          </w14:textFill>
        </w:rPr>
        <w:t>其中，</w:t>
      </w:r>
      <w:bookmarkStart w:id="59" w:name="OLE_LINK30"/>
      <w:r>
        <w:rPr>
          <w:rFonts w:hint="eastAsia" w:ascii="仿宋_GB2312" w:eastAsia="仿宋_GB2312"/>
          <w:color w:val="000000" w:themeColor="text1"/>
          <w:sz w:val="32"/>
          <w:szCs w:val="32"/>
          <w14:textFill>
            <w14:solidFill>
              <w14:schemeClr w14:val="tx1"/>
            </w14:solidFill>
          </w14:textFill>
        </w:rPr>
        <w:t>因公出国（境）费支出</w:t>
      </w:r>
      <w:bookmarkEnd w:id="59"/>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万元，占</w:t>
      </w:r>
      <w:r>
        <w:rPr>
          <w:rFonts w:hint="eastAsia" w:ascii="仿宋_GB2312" w:eastAsia="仿宋_GB2312"/>
          <w:sz w:val="32"/>
          <w:szCs w:val="32"/>
        </w:rPr>
        <w:t>0%，与上年相比，增加0万元，增长0%，主要原因是：无因公出国出（境）费；</w:t>
      </w:r>
      <w:bookmarkEnd w:id="58"/>
      <w:bookmarkStart w:id="60" w:name="OLE_LINK31"/>
      <w:bookmarkStart w:id="61" w:name="OLE_LINK76"/>
      <w:r>
        <w:rPr>
          <w:rFonts w:hint="eastAsia" w:ascii="仿宋_GB2312" w:eastAsia="仿宋_GB2312"/>
          <w:color w:val="000000" w:themeColor="text1"/>
          <w:sz w:val="32"/>
          <w:szCs w:val="32"/>
          <w14:textFill>
            <w14:solidFill>
              <w14:schemeClr w14:val="tx1"/>
            </w14:solidFill>
          </w14:textFill>
        </w:rPr>
        <w:t>公务用车购置及运行维护费支出</w:t>
      </w:r>
      <w:bookmarkEnd w:id="60"/>
      <w:r>
        <w:rPr>
          <w:rFonts w:hint="eastAsia" w:ascii="仿宋_GB2312" w:eastAsia="仿宋_GB2312"/>
          <w:sz w:val="32"/>
          <w:szCs w:val="32"/>
        </w:rPr>
        <w:t>5.4</w:t>
      </w:r>
      <w:r>
        <w:rPr>
          <w:rFonts w:hint="eastAsia" w:ascii="仿宋_GB2312" w:eastAsia="仿宋_GB2312"/>
          <w:color w:val="000000" w:themeColor="text1"/>
          <w:sz w:val="32"/>
          <w:szCs w:val="32"/>
          <w14:textFill>
            <w14:solidFill>
              <w14:schemeClr w14:val="tx1"/>
            </w14:solidFill>
          </w14:textFill>
        </w:rPr>
        <w:t>万元，占</w:t>
      </w:r>
      <w:r>
        <w:rPr>
          <w:rFonts w:hint="eastAsia" w:ascii="仿宋_GB2312" w:eastAsia="仿宋_GB2312"/>
          <w:sz w:val="32"/>
          <w:szCs w:val="32"/>
        </w:rPr>
        <w:t>100%，与上年相比，增加0万元，增长0%，主要原因是：无公务用车购置及运行维护费；</w:t>
      </w:r>
      <w:bookmarkEnd w:id="61"/>
      <w:bookmarkStart w:id="62" w:name="OLE_LINK32"/>
      <w:bookmarkStart w:id="63" w:name="OLE_LINK77"/>
      <w:bookmarkStart w:id="64" w:name="OLE_LINK78"/>
      <w:r>
        <w:rPr>
          <w:rFonts w:hint="eastAsia" w:ascii="仿宋_GB2312" w:eastAsia="仿宋_GB2312"/>
          <w:color w:val="000000" w:themeColor="text1"/>
          <w:sz w:val="32"/>
          <w:szCs w:val="32"/>
          <w14:textFill>
            <w14:solidFill>
              <w14:schemeClr w14:val="tx1"/>
            </w14:solidFill>
          </w14:textFill>
        </w:rPr>
        <w:t>公务接待费支出</w:t>
      </w:r>
      <w:bookmarkEnd w:id="62"/>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万元，占</w:t>
      </w:r>
      <w:r>
        <w:rPr>
          <w:rFonts w:hint="eastAsia" w:ascii="仿宋_GB2312" w:eastAsia="仿宋_GB2312"/>
          <w:sz w:val="32"/>
          <w:szCs w:val="32"/>
        </w:rPr>
        <w:t>0%，与上年相比，增加0万元，增长0%，主要原因是：无公务接待费用。</w:t>
      </w:r>
      <w:bookmarkEnd w:id="63"/>
      <w:bookmarkEnd w:id="64"/>
      <w:r>
        <w:rPr>
          <w:rFonts w:hint="eastAsia" w:ascii="仿宋_GB2312" w:eastAsia="仿宋_GB2312"/>
          <w:color w:val="000000" w:themeColor="text1"/>
          <w:sz w:val="32"/>
          <w:szCs w:val="32"/>
          <w14:textFill>
            <w14:solidFill>
              <w14:schemeClr w14:val="tx1"/>
            </w14:solidFill>
          </w14:textFill>
        </w:rPr>
        <w:t>具体情况如下：</w:t>
      </w:r>
    </w:p>
    <w:p>
      <w:pPr>
        <w:spacing w:line="540" w:lineRule="exact"/>
        <w:ind w:firstLine="640" w:firstLineChars="200"/>
        <w:rPr>
          <w:rFonts w:ascii="仿宋_GB2312" w:eastAsia="仿宋_GB2312"/>
          <w:color w:val="000000" w:themeColor="text1"/>
          <w:sz w:val="32"/>
          <w:szCs w:val="32"/>
          <w14:textFill>
            <w14:solidFill>
              <w14:schemeClr w14:val="tx1"/>
            </w14:solidFill>
          </w14:textFill>
        </w:rPr>
      </w:pPr>
      <w:bookmarkStart w:id="65" w:name="OLE_LINK80"/>
      <w:bookmarkStart w:id="66" w:name="OLE_LINK79"/>
      <w:r>
        <w:rPr>
          <w:rFonts w:hint="eastAsia" w:ascii="仿宋_GB2312" w:eastAsia="仿宋_GB2312"/>
          <w:color w:val="000000" w:themeColor="text1"/>
          <w:sz w:val="32"/>
          <w:szCs w:val="32"/>
          <w14:textFill>
            <w14:solidFill>
              <w14:schemeClr w14:val="tx1"/>
            </w14:solidFill>
          </w14:textFill>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万元。</w:t>
      </w:r>
      <w:r>
        <w:rPr>
          <w:rFonts w:hint="eastAsia" w:ascii="仿宋_GB2312" w:eastAsia="仿宋_GB2312"/>
          <w:sz w:val="32"/>
          <w:szCs w:val="32"/>
        </w:rPr>
        <w:t>新疆维吾尔自治区喀什地区交通运输局</w:t>
      </w:r>
      <w:r>
        <w:rPr>
          <w:rFonts w:hint="eastAsia" w:ascii="仿宋_GB2312" w:eastAsia="仿宋_GB2312"/>
          <w:color w:val="000000" w:themeColor="text1"/>
          <w:sz w:val="32"/>
          <w:szCs w:val="32"/>
          <w14:textFill>
            <w14:solidFill>
              <w14:schemeClr w14:val="tx1"/>
            </w14:solidFill>
          </w14:textFill>
        </w:rPr>
        <w:t>单位</w:t>
      </w:r>
      <w:bookmarkStart w:id="67" w:name="OLE_LINK33"/>
      <w:r>
        <w:rPr>
          <w:rFonts w:hint="eastAsia" w:ascii="仿宋_GB2312" w:eastAsia="仿宋_GB2312"/>
          <w:color w:val="000000" w:themeColor="text1"/>
          <w:sz w:val="32"/>
          <w:szCs w:val="32"/>
          <w14:textFill>
            <w14:solidFill>
              <w14:schemeClr w14:val="tx1"/>
            </w14:solidFill>
          </w14:textFill>
        </w:rPr>
        <w:t>全年</w:t>
      </w:r>
      <w:bookmarkStart w:id="68" w:name="OLE_LINK34"/>
      <w:bookmarkStart w:id="69" w:name="OLE_LINK35"/>
      <w:bookmarkStart w:id="70" w:name="OLE_LINK36"/>
      <w:r>
        <w:rPr>
          <w:rFonts w:hint="eastAsia" w:ascii="仿宋_GB2312" w:eastAsia="仿宋_GB2312"/>
          <w:color w:val="000000" w:themeColor="text1"/>
          <w:sz w:val="32"/>
          <w:szCs w:val="32"/>
          <w14:textFill>
            <w14:solidFill>
              <w14:schemeClr w14:val="tx1"/>
            </w14:solidFill>
          </w14:textFill>
        </w:rPr>
        <w:t>使用一般公共预算财政拨款安排的出国（境）团组</w:t>
      </w:r>
      <w:bookmarkEnd w:id="67"/>
      <w:bookmarkEnd w:id="68"/>
      <w:bookmarkEnd w:id="69"/>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个</w:t>
      </w:r>
      <w:bookmarkEnd w:id="70"/>
      <w:r>
        <w:rPr>
          <w:rFonts w:hint="eastAsia" w:ascii="仿宋_GB2312" w:eastAsia="仿宋_GB2312"/>
          <w:color w:val="000000" w:themeColor="text1"/>
          <w:sz w:val="32"/>
          <w:szCs w:val="32"/>
          <w14:textFill>
            <w14:solidFill>
              <w14:schemeClr w14:val="tx1"/>
            </w14:solidFill>
          </w14:textFill>
        </w:rPr>
        <w:t>，</w:t>
      </w:r>
      <w:bookmarkStart w:id="71" w:name="OLE_LINK37"/>
      <w:r>
        <w:rPr>
          <w:rFonts w:hint="eastAsia" w:ascii="仿宋_GB2312" w:eastAsia="仿宋_GB2312"/>
          <w:color w:val="000000" w:themeColor="text1"/>
          <w:sz w:val="32"/>
          <w:szCs w:val="32"/>
          <w14:textFill>
            <w14:solidFill>
              <w14:schemeClr w14:val="tx1"/>
            </w14:solidFill>
          </w14:textFill>
        </w:rPr>
        <w:t>累计</w:t>
      </w:r>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人次</w:t>
      </w:r>
      <w:bookmarkEnd w:id="71"/>
      <w:r>
        <w:rPr>
          <w:rFonts w:hint="eastAsia" w:ascii="仿宋_GB2312" w:eastAsia="仿宋_GB2312"/>
          <w:color w:val="000000" w:themeColor="text1"/>
          <w:sz w:val="32"/>
          <w:szCs w:val="32"/>
          <w14:textFill>
            <w14:solidFill>
              <w14:schemeClr w14:val="tx1"/>
            </w14:solidFill>
          </w14:textFill>
        </w:rPr>
        <w:t>。</w:t>
      </w:r>
      <w:bookmarkStart w:id="72" w:name="OLE_LINK38"/>
      <w:r>
        <w:rPr>
          <w:rFonts w:hint="eastAsia" w:ascii="仿宋_GB2312" w:eastAsia="仿宋_GB2312"/>
          <w:color w:val="000000" w:themeColor="text1"/>
          <w:sz w:val="32"/>
          <w:szCs w:val="32"/>
          <w14:textFill>
            <w14:solidFill>
              <w14:schemeClr w14:val="tx1"/>
            </w14:solidFill>
          </w14:textFill>
        </w:rPr>
        <w:t>开支内容包括：</w:t>
      </w:r>
      <w:r>
        <w:rPr>
          <w:rFonts w:ascii="仿宋_GB2312" w:eastAsia="仿宋_GB2312"/>
          <w:color w:val="000000" w:themeColor="text1"/>
          <w:sz w:val="32"/>
          <w:szCs w:val="32"/>
          <w14:textFill>
            <w14:solidFill>
              <w14:schemeClr w14:val="tx1"/>
            </w14:solidFill>
          </w14:textFill>
        </w:rPr>
        <w:t>无公务接待费。</w:t>
      </w:r>
      <w:bookmarkEnd w:id="65"/>
      <w:bookmarkEnd w:id="66"/>
      <w:bookmarkEnd w:id="72"/>
    </w:p>
    <w:p>
      <w:pPr>
        <w:spacing w:line="540" w:lineRule="exact"/>
        <w:ind w:firstLine="640" w:firstLineChars="200"/>
        <w:rPr>
          <w:rFonts w:ascii="仿宋_GB2312" w:eastAsia="仿宋_GB2312"/>
          <w:color w:val="000000" w:themeColor="text1"/>
          <w:sz w:val="32"/>
          <w:szCs w:val="32"/>
          <w14:textFill>
            <w14:solidFill>
              <w14:schemeClr w14:val="tx1"/>
            </w14:solidFill>
          </w14:textFill>
        </w:rPr>
      </w:pPr>
      <w:bookmarkStart w:id="73" w:name="OLE_LINK81"/>
      <w:r>
        <w:rPr>
          <w:rFonts w:hint="eastAsia" w:ascii="仿宋_GB2312" w:eastAsia="仿宋_GB2312"/>
          <w:color w:val="000000" w:themeColor="text1"/>
          <w:sz w:val="32"/>
          <w:szCs w:val="32"/>
          <w14:textFill>
            <w14:solidFill>
              <w14:schemeClr w14:val="tx1"/>
            </w14:solidFill>
          </w14:textFill>
        </w:rPr>
        <w:t>公务用车购置及运行维护费</w:t>
      </w:r>
      <w:r>
        <w:rPr>
          <w:rFonts w:hint="eastAsia" w:ascii="仿宋_GB2312" w:eastAsia="仿宋_GB2312"/>
          <w:sz w:val="32"/>
          <w:szCs w:val="32"/>
        </w:rPr>
        <w:t>5.4</w:t>
      </w:r>
      <w:r>
        <w:rPr>
          <w:rFonts w:hint="eastAsia" w:ascii="仿宋_GB2312" w:eastAsia="仿宋_GB2312"/>
          <w:color w:val="000000" w:themeColor="text1"/>
          <w:sz w:val="32"/>
          <w:szCs w:val="32"/>
          <w14:textFill>
            <w14:solidFill>
              <w14:schemeClr w14:val="tx1"/>
            </w14:solidFill>
          </w14:textFill>
        </w:rPr>
        <w:t>万元,其中，</w:t>
      </w:r>
      <w:bookmarkStart w:id="74" w:name="OLE_LINK39"/>
      <w:r>
        <w:rPr>
          <w:rFonts w:hint="eastAsia" w:ascii="仿宋_GB2312" w:eastAsia="仿宋_GB2312"/>
          <w:color w:val="000000" w:themeColor="text1"/>
          <w:sz w:val="32"/>
          <w:szCs w:val="32"/>
          <w14:textFill>
            <w14:solidFill>
              <w14:schemeClr w14:val="tx1"/>
            </w14:solidFill>
          </w14:textFill>
        </w:rPr>
        <w:t>公务用车购置</w:t>
      </w:r>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万元</w:t>
      </w:r>
      <w:bookmarkEnd w:id="74"/>
      <w:r>
        <w:rPr>
          <w:rFonts w:hint="eastAsia" w:ascii="仿宋_GB2312" w:eastAsia="仿宋_GB2312"/>
          <w:color w:val="000000" w:themeColor="text1"/>
          <w:sz w:val="32"/>
          <w:szCs w:val="32"/>
          <w14:textFill>
            <w14:solidFill>
              <w14:schemeClr w14:val="tx1"/>
            </w14:solidFill>
          </w14:textFill>
        </w:rPr>
        <w:t>，</w:t>
      </w:r>
      <w:bookmarkStart w:id="75" w:name="OLE_LINK40"/>
      <w:bookmarkStart w:id="76" w:name="OLE_LINK41"/>
      <w:r>
        <w:rPr>
          <w:rFonts w:hint="eastAsia" w:ascii="仿宋_GB2312" w:eastAsia="仿宋_GB2312"/>
          <w:color w:val="000000" w:themeColor="text1"/>
          <w:sz w:val="32"/>
          <w:szCs w:val="32"/>
          <w14:textFill>
            <w14:solidFill>
              <w14:schemeClr w14:val="tx1"/>
            </w14:solidFill>
          </w14:textFill>
        </w:rPr>
        <w:t>公务用车运行维护费</w:t>
      </w:r>
      <w:r>
        <w:rPr>
          <w:rFonts w:hint="eastAsia" w:ascii="仿宋_GB2312" w:eastAsia="仿宋_GB2312"/>
          <w:sz w:val="32"/>
          <w:szCs w:val="32"/>
        </w:rPr>
        <w:t>5.4</w:t>
      </w:r>
      <w:r>
        <w:rPr>
          <w:rFonts w:hint="eastAsia" w:ascii="仿宋_GB2312" w:eastAsia="仿宋_GB2312"/>
          <w:color w:val="000000" w:themeColor="text1"/>
          <w:sz w:val="32"/>
          <w:szCs w:val="32"/>
          <w14:textFill>
            <w14:solidFill>
              <w14:schemeClr w14:val="tx1"/>
            </w14:solidFill>
          </w14:textFill>
        </w:rPr>
        <w:t>万元</w:t>
      </w:r>
      <w:bookmarkEnd w:id="75"/>
      <w:bookmarkEnd w:id="76"/>
      <w:r>
        <w:rPr>
          <w:rFonts w:hint="eastAsia" w:ascii="仿宋_GB2312" w:eastAsia="仿宋_GB2312"/>
          <w:color w:val="000000" w:themeColor="text1"/>
          <w:sz w:val="32"/>
          <w:szCs w:val="32"/>
          <w14:textFill>
            <w14:solidFill>
              <w14:schemeClr w14:val="tx1"/>
            </w14:solidFill>
          </w14:textFill>
        </w:rPr>
        <w:t>。主要用于</w:t>
      </w:r>
      <w:r>
        <w:rPr>
          <w:rFonts w:hint="eastAsia" w:ascii="仿宋_GB2312" w:eastAsia="仿宋_GB2312"/>
          <w:sz w:val="32"/>
          <w:szCs w:val="32"/>
        </w:rPr>
        <w:t>车辆保险费及维修、加油费用</w:t>
      </w:r>
      <w:r>
        <w:rPr>
          <w:rFonts w:hint="eastAsia" w:ascii="仿宋_GB2312" w:eastAsia="仿宋_GB2312"/>
          <w:color w:val="000000" w:themeColor="text1"/>
          <w:sz w:val="32"/>
          <w:szCs w:val="32"/>
          <w14:textFill>
            <w14:solidFill>
              <w14:schemeClr w14:val="tx1"/>
            </w14:solidFill>
          </w14:textFill>
        </w:rPr>
        <w:t>等。</w:t>
      </w:r>
      <w:bookmarkEnd w:id="73"/>
      <w:bookmarkStart w:id="77" w:name="OLE_LINK82"/>
      <w:r>
        <w:rPr>
          <w:rFonts w:hint="eastAsia" w:ascii="仿宋_GB2312" w:eastAsia="仿宋_GB2312"/>
          <w:color w:val="000000" w:themeColor="text1"/>
          <w:sz w:val="32"/>
          <w:szCs w:val="32"/>
          <w14:textFill>
            <w14:solidFill>
              <w14:schemeClr w14:val="tx1"/>
            </w14:solidFill>
          </w14:textFill>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辆，保有量为</w:t>
      </w:r>
      <w:r>
        <w:rPr>
          <w:rFonts w:hint="eastAsia" w:ascii="仿宋_GB2312" w:eastAsia="仿宋_GB2312"/>
          <w:sz w:val="32"/>
          <w:szCs w:val="32"/>
        </w:rPr>
        <w:t>8</w:t>
      </w:r>
      <w:r>
        <w:rPr>
          <w:rFonts w:hint="eastAsia" w:ascii="仿宋_GB2312" w:eastAsia="仿宋_GB2312"/>
          <w:color w:val="000000" w:themeColor="text1"/>
          <w:sz w:val="32"/>
          <w:szCs w:val="32"/>
          <w14:textFill>
            <w14:solidFill>
              <w14:schemeClr w14:val="tx1"/>
            </w14:solidFill>
          </w14:textFill>
        </w:rPr>
        <w:t>辆。</w:t>
      </w:r>
      <w:bookmarkEnd w:id="77"/>
    </w:p>
    <w:p>
      <w:pPr>
        <w:spacing w:line="540" w:lineRule="exact"/>
        <w:ind w:firstLine="640" w:firstLineChars="200"/>
        <w:rPr>
          <w:rFonts w:ascii="仿宋_GB2312" w:eastAsia="仿宋_GB2312"/>
          <w:color w:val="000000" w:themeColor="text1"/>
          <w:sz w:val="32"/>
          <w:szCs w:val="32"/>
          <w14:textFill>
            <w14:solidFill>
              <w14:schemeClr w14:val="tx1"/>
            </w14:solidFill>
          </w14:textFill>
        </w:rPr>
      </w:pPr>
      <w:bookmarkStart w:id="78" w:name="OLE_LINK83"/>
      <w:r>
        <w:rPr>
          <w:rFonts w:hint="eastAsia" w:ascii="仿宋_GB2312" w:eastAsia="仿宋_GB2312"/>
          <w:color w:val="000000" w:themeColor="text1"/>
          <w:sz w:val="32"/>
          <w:szCs w:val="32"/>
          <w14:textFill>
            <w14:solidFill>
              <w14:schemeClr w14:val="tx1"/>
            </w14:solidFill>
          </w14:textFill>
        </w:rPr>
        <w:t>公务接待费</w:t>
      </w:r>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万元，主要是</w:t>
      </w:r>
      <w:r>
        <w:rPr>
          <w:rFonts w:hint="eastAsia" w:ascii="仿宋_GB2312" w:eastAsia="仿宋_GB2312"/>
          <w:sz w:val="32"/>
          <w:szCs w:val="32"/>
        </w:rPr>
        <w:t>无公务接待费</w:t>
      </w:r>
      <w:r>
        <w:rPr>
          <w:rFonts w:hint="eastAsia" w:ascii="仿宋_GB2312" w:eastAsia="仿宋_GB2312"/>
          <w:color w:val="000000" w:themeColor="text1"/>
          <w:sz w:val="32"/>
          <w:szCs w:val="32"/>
          <w14:textFill>
            <w14:solidFill>
              <w14:schemeClr w14:val="tx1"/>
            </w14:solidFill>
          </w14:textFill>
        </w:rPr>
        <w:t>等。</w:t>
      </w:r>
      <w:bookmarkEnd w:id="78"/>
      <w:bookmarkStart w:id="79" w:name="OLE_LINK84"/>
      <w:r>
        <w:rPr>
          <w:rFonts w:hint="eastAsia" w:ascii="仿宋_GB2312" w:eastAsia="仿宋_GB2312"/>
          <w:sz w:val="32"/>
          <w:szCs w:val="32"/>
        </w:rPr>
        <w:t>新疆维吾尔自治区喀什地区交通运输局</w:t>
      </w:r>
      <w:r>
        <w:rPr>
          <w:rFonts w:hint="eastAsia" w:ascii="仿宋_GB2312" w:eastAsia="仿宋_GB2312"/>
          <w:color w:val="000000" w:themeColor="text1"/>
          <w:sz w:val="32"/>
          <w:szCs w:val="32"/>
          <w14:textFill>
            <w14:solidFill>
              <w14:schemeClr w14:val="tx1"/>
            </w14:solidFill>
          </w14:textFill>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批次，</w:t>
      </w:r>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人次。</w:t>
      </w:r>
      <w:bookmarkEnd w:id="79"/>
    </w:p>
    <w:p>
      <w:pPr>
        <w:spacing w:line="54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bookmarkStart w:id="80" w:name="OLE_LINK85"/>
      <w:r>
        <w:rPr>
          <w:rFonts w:hint="eastAsia" w:ascii="仿宋_GB2312" w:eastAsia="仿宋_GB2312"/>
          <w:color w:val="000000" w:themeColor="text1"/>
          <w:sz w:val="32"/>
          <w:szCs w:val="32"/>
          <w14:textFill>
            <w14:solidFill>
              <w14:schemeClr w14:val="tx1"/>
            </w14:solidFill>
          </w14:textFill>
        </w:rPr>
        <w:t>与年初预算数相比情况：一般公共预算“三公”经费支出年初预算数</w:t>
      </w:r>
      <w:r>
        <w:rPr>
          <w:rFonts w:ascii="仿宋_GB2312" w:eastAsia="仿宋_GB2312"/>
          <w:color w:val="000000" w:themeColor="text1"/>
          <w:sz w:val="32"/>
          <w:szCs w:val="32"/>
          <w14:textFill>
            <w14:solidFill>
              <w14:schemeClr w14:val="tx1"/>
            </w14:solidFill>
          </w14:textFill>
        </w:rPr>
        <w:t>5.4</w:t>
      </w:r>
      <w:r>
        <w:rPr>
          <w:rFonts w:hint="eastAsia" w:ascii="仿宋_GB2312" w:eastAsia="仿宋_GB2312"/>
          <w:color w:val="000000" w:themeColor="text1"/>
          <w:sz w:val="32"/>
          <w:szCs w:val="32"/>
          <w14:textFill>
            <w14:solidFill>
              <w14:schemeClr w14:val="tx1"/>
            </w14:solidFill>
          </w14:textFill>
        </w:rPr>
        <w:t>万元，决算数5.4万元</w:t>
      </w:r>
      <w:r>
        <w:rPr>
          <w:rFonts w:ascii="仿宋_GB2312" w:eastAsia="仿宋_GB2312"/>
          <w:color w:val="000000" w:themeColor="text1"/>
          <w:sz w:val="32"/>
          <w:szCs w:val="32"/>
          <w14:textFill>
            <w14:solidFill>
              <w14:schemeClr w14:val="tx1"/>
            </w14:solidFill>
          </w14:textFill>
        </w:rPr>
        <w:t>，预决算差异率0%，差异主要原因是:严格按照预算执行。</w:t>
      </w:r>
      <w:bookmarkEnd w:id="80"/>
      <w:bookmarkStart w:id="81" w:name="OLE_LINK86"/>
      <w:bookmarkStart w:id="82" w:name="OLE_LINK87"/>
      <w:r>
        <w:rPr>
          <w:rFonts w:hint="eastAsia" w:ascii="仿宋_GB2312" w:hAnsi="宋体" w:eastAsia="仿宋_GB2312" w:cs="宋体"/>
          <w:color w:val="000000" w:themeColor="text1"/>
          <w:kern w:val="0"/>
          <w:sz w:val="32"/>
          <w:szCs w:val="32"/>
          <w14:textFill>
            <w14:solidFill>
              <w14:schemeClr w14:val="tx1"/>
            </w14:solidFill>
          </w14:textFill>
        </w:rPr>
        <w:t>其中：因公出国（境）费</w:t>
      </w:r>
      <w:r>
        <w:rPr>
          <w:rFonts w:hint="eastAsia" w:ascii="仿宋_GB2312" w:eastAsia="仿宋_GB2312"/>
          <w:color w:val="000000" w:themeColor="text1"/>
          <w:sz w:val="32"/>
          <w:szCs w:val="32"/>
          <w14:textFill>
            <w14:solidFill>
              <w14:schemeClr w14:val="tx1"/>
            </w14:solidFill>
          </w14:textFill>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万元，决算数0万元</w:t>
      </w:r>
      <w:r>
        <w:rPr>
          <w:rFonts w:ascii="仿宋_GB2312" w:eastAsia="仿宋_GB2312"/>
          <w:color w:val="000000" w:themeColor="text1"/>
          <w:sz w:val="32"/>
          <w:szCs w:val="32"/>
          <w14:textFill>
            <w14:solidFill>
              <w14:schemeClr w14:val="tx1"/>
            </w14:solidFill>
          </w14:textFill>
        </w:rPr>
        <w:t>，预决算差异率0%，差异主要原因是:无变化；</w:t>
      </w:r>
      <w:bookmarkEnd w:id="81"/>
      <w:bookmarkEnd w:id="82"/>
      <w:bookmarkStart w:id="83" w:name="OLE_LINK89"/>
      <w:bookmarkStart w:id="84" w:name="OLE_LINK88"/>
      <w:r>
        <w:rPr>
          <w:rFonts w:hint="eastAsia" w:ascii="仿宋_GB2312" w:hAnsi="宋体" w:eastAsia="仿宋_GB2312" w:cs="宋体"/>
          <w:color w:val="000000" w:themeColor="text1"/>
          <w:kern w:val="0"/>
          <w:sz w:val="32"/>
          <w:szCs w:val="32"/>
          <w14:textFill>
            <w14:solidFill>
              <w14:schemeClr w14:val="tx1"/>
            </w14:solidFill>
          </w14:textFill>
        </w:rPr>
        <w:t>公务用车购置</w:t>
      </w:r>
      <w:r>
        <w:rPr>
          <w:rFonts w:hint="eastAsia" w:ascii="仿宋_GB2312" w:eastAsia="仿宋_GB2312"/>
          <w:color w:val="000000" w:themeColor="text1"/>
          <w:sz w:val="32"/>
          <w:szCs w:val="32"/>
          <w14:textFill>
            <w14:solidFill>
              <w14:schemeClr w14:val="tx1"/>
            </w14:solidFill>
          </w14:textFill>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万元，决算数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万元</w:t>
      </w:r>
      <w:r>
        <w:rPr>
          <w:rFonts w:ascii="仿宋_GB2312" w:eastAsia="仿宋_GB2312"/>
          <w:color w:val="000000" w:themeColor="text1"/>
          <w:sz w:val="32"/>
          <w:szCs w:val="32"/>
          <w14:textFill>
            <w14:solidFill>
              <w14:schemeClr w14:val="tx1"/>
            </w14:solidFill>
          </w14:textFill>
        </w:rPr>
        <w:t>，预决算差异率0%，差异主要原因是:无变化；</w:t>
      </w:r>
      <w:bookmarkEnd w:id="83"/>
      <w:bookmarkEnd w:id="84"/>
      <w:bookmarkStart w:id="85" w:name="OLE_LINK90"/>
      <w:r>
        <w:rPr>
          <w:rFonts w:hint="eastAsia" w:ascii="仿宋_GB2312" w:hAnsi="宋体" w:eastAsia="仿宋_GB2312" w:cs="宋体"/>
          <w:color w:val="000000" w:themeColor="text1"/>
          <w:kern w:val="0"/>
          <w:sz w:val="32"/>
          <w:szCs w:val="32"/>
          <w14:textFill>
            <w14:solidFill>
              <w14:schemeClr w14:val="tx1"/>
            </w14:solidFill>
          </w14:textFill>
        </w:rPr>
        <w:t>公务用车运行费</w:t>
      </w:r>
      <w:r>
        <w:rPr>
          <w:rFonts w:hint="eastAsia" w:ascii="仿宋_GB2312" w:eastAsia="仿宋_GB2312"/>
          <w:color w:val="000000" w:themeColor="text1"/>
          <w:sz w:val="32"/>
          <w:szCs w:val="32"/>
          <w14:textFill>
            <w14:solidFill>
              <w14:schemeClr w14:val="tx1"/>
            </w14:solidFill>
          </w14:textFill>
        </w:rPr>
        <w:t>预算数</w:t>
      </w:r>
      <w:r>
        <w:rPr>
          <w:rFonts w:ascii="仿宋_GB2312" w:eastAsia="仿宋_GB2312"/>
          <w:color w:val="000000" w:themeColor="text1"/>
          <w:sz w:val="32"/>
          <w:szCs w:val="32"/>
          <w14:textFill>
            <w14:solidFill>
              <w14:schemeClr w14:val="tx1"/>
            </w14:solidFill>
          </w14:textFill>
        </w:rPr>
        <w:t>5.4</w:t>
      </w:r>
      <w:r>
        <w:rPr>
          <w:rFonts w:hint="eastAsia" w:ascii="仿宋_GB2312" w:eastAsia="仿宋_GB2312"/>
          <w:color w:val="000000" w:themeColor="text1"/>
          <w:sz w:val="32"/>
          <w:szCs w:val="32"/>
          <w14:textFill>
            <w14:solidFill>
              <w14:schemeClr w14:val="tx1"/>
            </w14:solidFill>
          </w14:textFill>
        </w:rPr>
        <w:t>万元，决算数</w:t>
      </w:r>
      <w:r>
        <w:rPr>
          <w:rFonts w:ascii="仿宋_GB2312" w:eastAsia="仿宋_GB2312"/>
          <w:color w:val="000000" w:themeColor="text1"/>
          <w:sz w:val="32"/>
          <w:szCs w:val="32"/>
          <w14:textFill>
            <w14:solidFill>
              <w14:schemeClr w14:val="tx1"/>
            </w14:solidFill>
          </w14:textFill>
        </w:rPr>
        <w:t>5.4</w:t>
      </w:r>
      <w:r>
        <w:rPr>
          <w:rFonts w:hint="eastAsia" w:ascii="仿宋_GB2312" w:eastAsia="仿宋_GB2312"/>
          <w:color w:val="000000" w:themeColor="text1"/>
          <w:sz w:val="32"/>
          <w:szCs w:val="32"/>
          <w14:textFill>
            <w14:solidFill>
              <w14:schemeClr w14:val="tx1"/>
            </w14:solidFill>
          </w14:textFill>
        </w:rPr>
        <w:t>万元</w:t>
      </w:r>
      <w:r>
        <w:rPr>
          <w:rFonts w:ascii="仿宋_GB2312" w:eastAsia="仿宋_GB2312"/>
          <w:color w:val="000000" w:themeColor="text1"/>
          <w:sz w:val="32"/>
          <w:szCs w:val="32"/>
          <w14:textFill>
            <w14:solidFill>
              <w14:schemeClr w14:val="tx1"/>
            </w14:solidFill>
          </w14:textFill>
        </w:rPr>
        <w:t>，预决算差异率0%，差异主要原因是:无变化；</w:t>
      </w:r>
      <w:bookmarkEnd w:id="85"/>
      <w:bookmarkStart w:id="86" w:name="OLE_LINK91"/>
      <w:r>
        <w:rPr>
          <w:rFonts w:hint="eastAsia" w:ascii="仿宋_GB2312" w:hAnsi="宋体" w:eastAsia="仿宋_GB2312" w:cs="宋体"/>
          <w:color w:val="000000" w:themeColor="text1"/>
          <w:kern w:val="0"/>
          <w:sz w:val="32"/>
          <w:szCs w:val="32"/>
          <w14:textFill>
            <w14:solidFill>
              <w14:schemeClr w14:val="tx1"/>
            </w14:solidFill>
          </w14:textFill>
        </w:rPr>
        <w:t>公务接待费</w:t>
      </w:r>
      <w:r>
        <w:rPr>
          <w:rFonts w:hint="eastAsia" w:ascii="仿宋_GB2312" w:eastAsia="仿宋_GB2312"/>
          <w:color w:val="000000" w:themeColor="text1"/>
          <w:sz w:val="32"/>
          <w:szCs w:val="32"/>
          <w14:textFill>
            <w14:solidFill>
              <w14:schemeClr w14:val="tx1"/>
            </w14:solidFill>
          </w14:textFill>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万元，决算数0万元</w:t>
      </w:r>
      <w:r>
        <w:rPr>
          <w:rFonts w:ascii="仿宋_GB2312" w:eastAsia="仿宋_GB2312"/>
          <w:color w:val="000000" w:themeColor="text1"/>
          <w:sz w:val="32"/>
          <w:szCs w:val="32"/>
          <w14:textFill>
            <w14:solidFill>
              <w14:schemeClr w14:val="tx1"/>
            </w14:solidFill>
          </w14:textFill>
        </w:rPr>
        <w:t>，预决算差异率0%，差异主要原因是:</w:t>
      </w:r>
      <w:bookmarkEnd w:id="86"/>
      <w:r>
        <w:rPr>
          <w:rFonts w:ascii="仿宋_GB2312" w:eastAsia="仿宋_GB2312"/>
          <w:color w:val="000000" w:themeColor="text1"/>
          <w:sz w:val="32"/>
          <w:szCs w:val="32"/>
          <w14:textFill>
            <w14:solidFill>
              <w14:schemeClr w14:val="tx1"/>
            </w14:solidFill>
          </w14:textFill>
        </w:rPr>
        <w:t>无变化。</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2018年度新疆维吾尔自治区喀什地区交通运输局机关运行经费支出22.79万元，与上年相比，减少60.58万元，下降72.66%，减少的主要原因是：压缩机关运行经费。</w:t>
      </w:r>
    </w:p>
    <w:p>
      <w:pPr>
        <w:spacing w:line="540" w:lineRule="exact"/>
        <w:ind w:firstLine="640" w:firstLineChars="20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六、政府采购情况</w:t>
      </w:r>
    </w:p>
    <w:p>
      <w:pPr>
        <w:spacing w:line="54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2018年度</w:t>
      </w:r>
      <w:bookmarkStart w:id="87" w:name="OLE_LINK45"/>
      <w:r>
        <w:rPr>
          <w:rFonts w:hint="eastAsia" w:ascii="仿宋_GB2312" w:eastAsia="仿宋_GB2312"/>
          <w:color w:val="000000" w:themeColor="text1"/>
          <w:sz w:val="32"/>
          <w:szCs w:val="32"/>
          <w14:textFill>
            <w14:solidFill>
              <w14:schemeClr w14:val="tx1"/>
            </w14:solidFill>
          </w14:textFill>
        </w:rPr>
        <w:t>政府采购支出总额</w:t>
      </w:r>
      <w:bookmarkEnd w:id="87"/>
      <w:r>
        <w:rPr>
          <w:rFonts w:hint="eastAsia" w:ascii="仿宋_GB2312" w:eastAsia="仿宋_GB2312"/>
          <w:sz w:val="32"/>
          <w:szCs w:val="32"/>
        </w:rPr>
        <w:t>17.59</w:t>
      </w:r>
      <w:r>
        <w:rPr>
          <w:rFonts w:hint="eastAsia" w:ascii="仿宋_GB2312" w:eastAsia="仿宋_GB2312"/>
          <w:color w:val="000000" w:themeColor="text1"/>
          <w:sz w:val="32"/>
          <w:szCs w:val="32"/>
          <w14:textFill>
            <w14:solidFill>
              <w14:schemeClr w14:val="tx1"/>
            </w14:solidFill>
          </w14:textFill>
        </w:rPr>
        <w:t>万元，其中：</w:t>
      </w:r>
      <w:bookmarkStart w:id="88" w:name="OLE_LINK46"/>
      <w:r>
        <w:rPr>
          <w:rFonts w:hint="eastAsia" w:ascii="仿宋_GB2312" w:eastAsia="仿宋_GB2312"/>
          <w:color w:val="000000" w:themeColor="text1"/>
          <w:sz w:val="32"/>
          <w:szCs w:val="32"/>
          <w14:textFill>
            <w14:solidFill>
              <w14:schemeClr w14:val="tx1"/>
            </w14:solidFill>
          </w14:textFill>
        </w:rPr>
        <w:t>政府采购货物支出</w:t>
      </w:r>
      <w:bookmarkEnd w:id="88"/>
      <w:r>
        <w:rPr>
          <w:rFonts w:hint="eastAsia" w:ascii="仿宋_GB2312" w:eastAsia="仿宋_GB2312"/>
          <w:sz w:val="32"/>
          <w:szCs w:val="32"/>
        </w:rPr>
        <w:t>15.74</w:t>
      </w:r>
      <w:r>
        <w:rPr>
          <w:rFonts w:hint="eastAsia" w:ascii="仿宋_GB2312" w:eastAsia="仿宋_GB2312"/>
          <w:color w:val="000000" w:themeColor="text1"/>
          <w:sz w:val="32"/>
          <w:szCs w:val="32"/>
          <w14:textFill>
            <w14:solidFill>
              <w14:schemeClr w14:val="tx1"/>
            </w14:solidFill>
          </w14:textFill>
        </w:rPr>
        <w:t>万元、</w:t>
      </w:r>
      <w:bookmarkStart w:id="89" w:name="OLE_LINK47"/>
      <w:r>
        <w:rPr>
          <w:rFonts w:hint="eastAsia" w:ascii="仿宋_GB2312" w:eastAsia="仿宋_GB2312"/>
          <w:color w:val="000000" w:themeColor="text1"/>
          <w:sz w:val="32"/>
          <w:szCs w:val="32"/>
          <w14:textFill>
            <w14:solidFill>
              <w14:schemeClr w14:val="tx1"/>
            </w14:solidFill>
          </w14:textFill>
        </w:rPr>
        <w:t>政府采购工程支出</w:t>
      </w:r>
      <w:bookmarkEnd w:id="89"/>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万元、</w:t>
      </w:r>
      <w:bookmarkStart w:id="90" w:name="OLE_LINK48"/>
      <w:r>
        <w:rPr>
          <w:rFonts w:hint="eastAsia" w:ascii="仿宋_GB2312" w:eastAsia="仿宋_GB2312"/>
          <w:color w:val="000000" w:themeColor="text1"/>
          <w:sz w:val="32"/>
          <w:szCs w:val="32"/>
          <w14:textFill>
            <w14:solidFill>
              <w14:schemeClr w14:val="tx1"/>
            </w14:solidFill>
          </w14:textFill>
        </w:rPr>
        <w:t>政府采购服务支出</w:t>
      </w:r>
      <w:bookmarkEnd w:id="90"/>
      <w:r>
        <w:rPr>
          <w:rFonts w:hint="eastAsia" w:ascii="仿宋_GB2312" w:eastAsia="仿宋_GB2312"/>
          <w:sz w:val="32"/>
          <w:szCs w:val="32"/>
        </w:rPr>
        <w:t>1.86</w:t>
      </w:r>
      <w:r>
        <w:rPr>
          <w:rFonts w:hint="eastAsia" w:ascii="仿宋_GB2312" w:eastAsia="仿宋_GB2312"/>
          <w:color w:val="000000" w:themeColor="text1"/>
          <w:sz w:val="32"/>
          <w:szCs w:val="32"/>
          <w14:textFill>
            <w14:solidFill>
              <w14:schemeClr w14:val="tx1"/>
            </w14:solidFill>
          </w14:textFill>
        </w:rPr>
        <w:t>万元。</w:t>
      </w:r>
    </w:p>
    <w:p>
      <w:pPr>
        <w:spacing w:line="540" w:lineRule="exact"/>
        <w:ind w:firstLine="640" w:firstLineChars="20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七、其他重要事项的情况</w:t>
      </w:r>
    </w:p>
    <w:p>
      <w:pPr>
        <w:spacing w:line="540" w:lineRule="exact"/>
        <w:ind w:firstLine="643" w:firstLineChars="200"/>
        <w:rPr>
          <w:rFonts w:ascii="楷体_GB2312" w:eastAsia="楷体_GB2312"/>
          <w:b/>
          <w:bCs/>
          <w:color w:val="000000" w:themeColor="text1"/>
          <w:sz w:val="32"/>
          <w:szCs w:val="32"/>
          <w14:textFill>
            <w14:solidFill>
              <w14:schemeClr w14:val="tx1"/>
            </w14:solidFill>
          </w14:textFill>
        </w:rPr>
      </w:pPr>
      <w:r>
        <w:rPr>
          <w:rFonts w:hint="eastAsia" w:ascii="楷体_GB2312" w:eastAsia="楷体_GB2312"/>
          <w:b/>
          <w:bCs/>
          <w:color w:val="000000" w:themeColor="text1"/>
          <w:sz w:val="32"/>
          <w:szCs w:val="32"/>
          <w14:textFill>
            <w14:solidFill>
              <w14:schemeClr w14:val="tx1"/>
            </w14:solidFill>
          </w14:textFill>
        </w:rPr>
        <w:t>（一）国有资产占用情况说明</w:t>
      </w:r>
    </w:p>
    <w:p>
      <w:pPr>
        <w:spacing w:line="540" w:lineRule="exact"/>
        <w:ind w:firstLine="640" w:firstLineChars="200"/>
        <w:rPr>
          <w:rFonts w:ascii="仿宋_GB2312" w:eastAsia="仿宋_GB2312"/>
          <w:color w:val="000000" w:themeColor="text1"/>
          <w:sz w:val="32"/>
          <w:szCs w:val="32"/>
          <w14:textFill>
            <w14:solidFill>
              <w14:schemeClr w14:val="tx1"/>
            </w14:solidFill>
          </w14:textFill>
        </w:rPr>
      </w:pPr>
      <w:bookmarkStart w:id="91" w:name="OLE_LINK97"/>
      <w:r>
        <w:rPr>
          <w:rFonts w:hint="eastAsia" w:ascii="仿宋_GB2312" w:eastAsia="仿宋_GB2312"/>
          <w:color w:val="000000" w:themeColor="text1"/>
          <w:sz w:val="32"/>
          <w:szCs w:val="32"/>
          <w14:textFill>
            <w14:solidFill>
              <w14:schemeClr w14:val="tx1"/>
            </w14:solidFill>
          </w14:textFill>
        </w:rPr>
        <w:t>截至2018年12月31日，单位共有车辆</w:t>
      </w:r>
      <w:r>
        <w:rPr>
          <w:rFonts w:hint="eastAsia" w:ascii="仿宋_GB2312" w:eastAsia="仿宋_GB2312"/>
          <w:sz w:val="32"/>
          <w:szCs w:val="32"/>
        </w:rPr>
        <w:t>8</w:t>
      </w:r>
      <w:r>
        <w:rPr>
          <w:rFonts w:hint="eastAsia" w:ascii="仿宋_GB2312" w:eastAsia="仿宋_GB2312"/>
          <w:color w:val="000000" w:themeColor="text1"/>
          <w:sz w:val="32"/>
          <w:szCs w:val="32"/>
          <w14:textFill>
            <w14:solidFill>
              <w14:schemeClr w14:val="tx1"/>
            </w14:solidFill>
          </w14:textFill>
        </w:rPr>
        <w:t>辆，价值</w:t>
      </w:r>
      <w:r>
        <w:rPr>
          <w:rFonts w:hint="eastAsia" w:ascii="仿宋_GB2312" w:eastAsia="仿宋_GB2312"/>
          <w:sz w:val="32"/>
          <w:szCs w:val="32"/>
        </w:rPr>
        <w:t>203.78</w:t>
      </w:r>
      <w:r>
        <w:rPr>
          <w:rFonts w:hint="eastAsia" w:ascii="仿宋_GB2312" w:eastAsia="仿宋_GB2312"/>
          <w:color w:val="000000" w:themeColor="text1"/>
          <w:sz w:val="32"/>
          <w:szCs w:val="32"/>
          <w14:textFill>
            <w14:solidFill>
              <w14:schemeClr w14:val="tx1"/>
            </w14:solidFill>
          </w14:textFill>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辆、主要领导干部用车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辆、机要通信用车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辆、应急保障用车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辆、执法执勤用车</w:t>
      </w:r>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辆、离退休干部用车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辆、其他用车</w:t>
      </w:r>
      <w:r>
        <w:rPr>
          <w:rFonts w:ascii="仿宋_GB2312" w:eastAsia="仿宋_GB2312"/>
          <w:color w:val="000000" w:themeColor="text1"/>
          <w:sz w:val="32"/>
          <w:szCs w:val="32"/>
          <w14:textFill>
            <w14:solidFill>
              <w14:schemeClr w14:val="tx1"/>
            </w14:solidFill>
          </w14:textFill>
        </w:rPr>
        <w:t>8</w:t>
      </w:r>
      <w:r>
        <w:rPr>
          <w:rFonts w:hint="eastAsia" w:ascii="仿宋_GB2312" w:eastAsia="仿宋_GB2312"/>
          <w:color w:val="000000" w:themeColor="text1"/>
          <w:sz w:val="32"/>
          <w:szCs w:val="32"/>
          <w14:textFill>
            <w14:solidFill>
              <w14:schemeClr w14:val="tx1"/>
            </w14:solidFill>
          </w14:textFill>
        </w:rPr>
        <w:t>辆，其他用车主要是：</w:t>
      </w:r>
      <w:r>
        <w:rPr>
          <w:rFonts w:ascii="仿宋_GB2312" w:eastAsia="仿宋_GB2312"/>
          <w:color w:val="000000" w:themeColor="text1"/>
          <w:sz w:val="32"/>
          <w:szCs w:val="32"/>
          <w14:textFill>
            <w14:solidFill>
              <w14:schemeClr w14:val="tx1"/>
            </w14:solidFill>
          </w14:textFill>
        </w:rPr>
        <w:t>单位公务用车；</w:t>
      </w:r>
      <w:r>
        <w:rPr>
          <w:rFonts w:hint="eastAsia" w:ascii="仿宋_GB2312" w:eastAsia="仿宋_GB2312"/>
          <w:color w:val="000000" w:themeColor="text1"/>
          <w:sz w:val="32"/>
          <w:szCs w:val="32"/>
          <w14:textFill>
            <w14:solidFill>
              <w14:schemeClr w14:val="tx1"/>
            </w14:solidFill>
          </w14:textFill>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14:textFill>
            <w14:solidFill>
              <w14:schemeClr w14:val="tx1"/>
            </w14:solidFill>
          </w14:textFill>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2018年度，本部门单位预算绩效自评情况：自述有关预算绩效管理和绩效自评开展情况。</w:t>
      </w:r>
    </w:p>
    <w:p>
      <w:pPr>
        <w:spacing w:line="540" w:lineRule="exact"/>
        <w:ind w:firstLine="640" w:firstLineChars="20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1、新疆维吾尔自治区喀什地区交通运输局工作经费项目绩效自评综述：根据年初设定的绩效目标，该项目绩效自评得分为8</w:t>
      </w:r>
      <w:r>
        <w:rPr>
          <w:rFonts w:hint="eastAsia" w:ascii="仿宋_GB2312" w:eastAsia="仿宋_GB2312"/>
          <w:color w:val="000000" w:themeColor="text1"/>
          <w:sz w:val="32"/>
          <w:szCs w:val="32"/>
          <w:lang w:val="en-US" w:eastAsia="zh-CN"/>
          <w14:textFill>
            <w14:solidFill>
              <w14:schemeClr w14:val="tx1"/>
            </w14:solidFill>
          </w14:textFill>
        </w:rPr>
        <w:t>3</w:t>
      </w:r>
      <w:r>
        <w:rPr>
          <w:rFonts w:hint="eastAsia" w:ascii="仿宋_GB2312" w:eastAsia="仿宋_GB2312"/>
          <w:color w:val="000000" w:themeColor="text1"/>
          <w:sz w:val="32"/>
          <w:szCs w:val="32"/>
          <w14:textFill>
            <w14:solidFill>
              <w14:schemeClr w14:val="tx1"/>
            </w14:solidFill>
          </w14:textFill>
        </w:rPr>
        <w:t>分</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项目全年预算数为</w:t>
      </w:r>
      <w:r>
        <w:rPr>
          <w:rFonts w:hint="eastAsia" w:ascii="仿宋_GB2312" w:eastAsia="仿宋_GB2312"/>
          <w:color w:val="000000" w:themeColor="text1"/>
          <w:sz w:val="32"/>
          <w:szCs w:val="32"/>
          <w:lang w:val="en-US" w:eastAsia="zh-CN"/>
          <w14:textFill>
            <w14:solidFill>
              <w14:schemeClr w14:val="tx1"/>
            </w14:solidFill>
          </w14:textFill>
        </w:rPr>
        <w:t>45.69</w:t>
      </w:r>
      <w:r>
        <w:rPr>
          <w:rFonts w:hint="eastAsia" w:ascii="仿宋_GB2312" w:eastAsia="仿宋_GB2312"/>
          <w:color w:val="000000" w:themeColor="text1"/>
          <w:sz w:val="32"/>
          <w:szCs w:val="32"/>
          <w14:textFill>
            <w14:solidFill>
              <w14:schemeClr w14:val="tx1"/>
            </w14:solidFill>
          </w14:textFill>
        </w:rPr>
        <w:t>万元，执行数为</w:t>
      </w:r>
      <w:r>
        <w:rPr>
          <w:rFonts w:hint="eastAsia" w:ascii="仿宋_GB2312" w:eastAsia="仿宋_GB2312"/>
          <w:color w:val="000000" w:themeColor="text1"/>
          <w:sz w:val="32"/>
          <w:szCs w:val="32"/>
          <w:lang w:val="en-US" w:eastAsia="zh-CN"/>
          <w14:textFill>
            <w14:solidFill>
              <w14:schemeClr w14:val="tx1"/>
            </w14:solidFill>
          </w14:textFill>
        </w:rPr>
        <w:t>45.69</w:t>
      </w:r>
      <w:r>
        <w:rPr>
          <w:rFonts w:hint="eastAsia" w:ascii="仿宋_GB2312" w:eastAsia="仿宋_GB2312"/>
          <w:color w:val="000000" w:themeColor="text1"/>
          <w:sz w:val="32"/>
          <w:szCs w:val="32"/>
          <w14:textFill>
            <w14:solidFill>
              <w14:schemeClr w14:val="tx1"/>
            </w14:solidFill>
          </w14:textFill>
        </w:rPr>
        <w:t>万元，完成预算的</w:t>
      </w:r>
      <w:r>
        <w:rPr>
          <w:rFonts w:hint="eastAsia" w:ascii="仿宋_GB2312" w:eastAsia="仿宋_GB2312"/>
          <w:color w:val="000000" w:themeColor="text1"/>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主要产出和效果：经济性：解决群众最关心、最直接、最现实的利益问题为导向，以千方百计解决群众生产生活中的实际困难。效率性：坚持用心、用情服务群众，把群众当亲人，从群众最关心、最迫切需要解决的实际困难和问题入手，把党和政府的关怀送到困难群众的心坎上。效益性：喀什地区交通运输局驻伽师县米夏乡11村、14村，卧里托格拉克镇28村工作人员，认真贯彻落实自治区党委、地委、市委、乡党委的部署要求，按照“一年稳住、二年巩固、三年基本常态、五年全面和谐”的工作规划，突出做好维护和谐、脱贫攻坚、建强组织、作风建设，不断把工作推向深入，切实为群众办实事、办好事。</w:t>
      </w:r>
    </w:p>
    <w:p>
      <w:pPr>
        <w:spacing w:line="540" w:lineRule="exact"/>
        <w:ind w:firstLine="640" w:firstLineChars="20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本项目不存在问题；2018年本项目绩效目标全部达成，不存在未完成原因分析。下一步改进措施： 无。</w:t>
      </w:r>
    </w:p>
    <w:p>
      <w:pPr>
        <w:spacing w:line="540" w:lineRule="exact"/>
        <w:ind w:firstLine="640" w:firstLineChars="20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本项目支出不存在截留、挤占、挪用等情况。项目实施过程中，遵守相关法律法规和业务管理规定，项目资料齐全并及时归档。</w:t>
      </w:r>
    </w:p>
    <w:p>
      <w:pPr>
        <w:spacing w:line="540" w:lineRule="exact"/>
        <w:ind w:firstLine="640" w:firstLineChars="20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2、新疆维吾尔自治区喀什地区交通运输局</w:t>
      </w:r>
      <w:r>
        <w:rPr>
          <w:rFonts w:hint="eastAsia" w:ascii="仿宋_GB2312" w:eastAsia="仿宋_GB2312"/>
          <w:color w:val="000000" w:themeColor="text1"/>
          <w:sz w:val="32"/>
          <w:szCs w:val="32"/>
          <w14:textFill>
            <w14:solidFill>
              <w14:schemeClr w14:val="tx1"/>
            </w14:solidFill>
          </w14:textFill>
        </w:rPr>
        <w:t>自治区2017年农村公路养护补助项目根据年初设定的绩效目标，该项目绩效自评得分为8</w:t>
      </w:r>
      <w:r>
        <w:rPr>
          <w:rFonts w:hint="eastAsia" w:ascii="仿宋_GB2312" w:eastAsia="仿宋_GB2312"/>
          <w:color w:val="000000" w:themeColor="text1"/>
          <w:sz w:val="32"/>
          <w:szCs w:val="32"/>
          <w:lang w:val="en-US" w:eastAsia="zh-CN"/>
          <w14:textFill>
            <w14:solidFill>
              <w14:schemeClr w14:val="tx1"/>
            </w14:solidFill>
          </w14:textFill>
        </w:rPr>
        <w:t>3</w:t>
      </w:r>
      <w:r>
        <w:rPr>
          <w:rFonts w:hint="eastAsia" w:ascii="仿宋_GB2312" w:eastAsia="仿宋_GB2312"/>
          <w:color w:val="000000" w:themeColor="text1"/>
          <w:sz w:val="32"/>
          <w:szCs w:val="32"/>
          <w14:textFill>
            <w14:solidFill>
              <w14:schemeClr w14:val="tx1"/>
            </w14:solidFill>
          </w14:textFill>
        </w:rPr>
        <w:t>分</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项目全年预算数为</w:t>
      </w:r>
      <w:r>
        <w:rPr>
          <w:rFonts w:hint="eastAsia" w:ascii="仿宋_GB2312" w:eastAsia="仿宋_GB2312"/>
          <w:color w:val="000000" w:themeColor="text1"/>
          <w:sz w:val="32"/>
          <w:szCs w:val="32"/>
          <w:lang w:val="en-US" w:eastAsia="zh-CN"/>
          <w14:textFill>
            <w14:solidFill>
              <w14:schemeClr w14:val="tx1"/>
            </w14:solidFill>
          </w14:textFill>
        </w:rPr>
        <w:t>389</w:t>
      </w:r>
      <w:r>
        <w:rPr>
          <w:rFonts w:hint="eastAsia" w:ascii="仿宋_GB2312" w:eastAsia="仿宋_GB2312"/>
          <w:color w:val="000000" w:themeColor="text1"/>
          <w:sz w:val="32"/>
          <w:szCs w:val="32"/>
          <w14:textFill>
            <w14:solidFill>
              <w14:schemeClr w14:val="tx1"/>
            </w14:solidFill>
          </w14:textFill>
        </w:rPr>
        <w:t>万元，执行数为</w:t>
      </w:r>
      <w:r>
        <w:rPr>
          <w:rFonts w:hint="eastAsia" w:ascii="仿宋_GB2312" w:eastAsia="仿宋_GB2312"/>
          <w:color w:val="000000" w:themeColor="text1"/>
          <w:sz w:val="32"/>
          <w:szCs w:val="32"/>
          <w:lang w:val="en-US" w:eastAsia="zh-CN"/>
          <w14:textFill>
            <w14:solidFill>
              <w14:schemeClr w14:val="tx1"/>
            </w14:solidFill>
          </w14:textFill>
        </w:rPr>
        <w:t>389</w:t>
      </w:r>
      <w:r>
        <w:rPr>
          <w:rFonts w:hint="eastAsia" w:ascii="仿宋_GB2312" w:eastAsia="仿宋_GB2312"/>
          <w:color w:val="000000" w:themeColor="text1"/>
          <w:sz w:val="32"/>
          <w:szCs w:val="32"/>
          <w14:textFill>
            <w14:solidFill>
              <w14:schemeClr w14:val="tx1"/>
            </w14:solidFill>
          </w14:textFill>
        </w:rPr>
        <w:t>万元，完成预算的</w:t>
      </w:r>
      <w:r>
        <w:rPr>
          <w:rFonts w:hint="eastAsia" w:ascii="仿宋_GB2312" w:eastAsia="仿宋_GB2312"/>
          <w:color w:val="000000" w:themeColor="text1"/>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经济性：对项目受益区域经济起到了促进作用</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 xml:space="preserve">效率性： </w:t>
      </w:r>
      <w:r>
        <w:rPr>
          <w:rFonts w:hint="eastAsia" w:ascii="仿宋_GB2312" w:eastAsia="仿宋_GB2312"/>
          <w:color w:val="000000" w:themeColor="text1"/>
          <w:sz w:val="32"/>
          <w:szCs w:val="32"/>
          <w:lang w:eastAsia="zh-CN"/>
          <w14:textFill>
            <w14:solidFill>
              <w14:schemeClr w14:val="tx1"/>
            </w14:solidFill>
          </w14:textFill>
        </w:rPr>
        <w:t>资金</w:t>
      </w:r>
      <w:r>
        <w:rPr>
          <w:rFonts w:hint="eastAsia" w:ascii="仿宋_GB2312" w:eastAsia="仿宋_GB2312"/>
          <w:color w:val="000000" w:themeColor="text1"/>
          <w:sz w:val="32"/>
          <w:szCs w:val="32"/>
          <w14:textFill>
            <w14:solidFill>
              <w14:schemeClr w14:val="tx1"/>
            </w14:solidFill>
          </w14:textFill>
        </w:rPr>
        <w:t>按照</w:t>
      </w:r>
      <w:r>
        <w:rPr>
          <w:rFonts w:hint="eastAsia" w:ascii="仿宋_GB2312" w:eastAsia="仿宋_GB2312"/>
          <w:color w:val="000000" w:themeColor="text1"/>
          <w:sz w:val="32"/>
          <w:szCs w:val="32"/>
          <w:lang w:eastAsia="zh-CN"/>
          <w14:textFill>
            <w14:solidFill>
              <w14:schemeClr w14:val="tx1"/>
            </w14:solidFill>
          </w14:textFill>
        </w:rPr>
        <w:t>下拨</w:t>
      </w:r>
      <w:r>
        <w:rPr>
          <w:rFonts w:hint="eastAsia" w:ascii="仿宋_GB2312" w:eastAsia="仿宋_GB2312"/>
          <w:color w:val="000000" w:themeColor="text1"/>
          <w:sz w:val="32"/>
          <w:szCs w:val="32"/>
          <w14:textFill>
            <w14:solidFill>
              <w14:schemeClr w14:val="tx1"/>
            </w14:solidFill>
          </w14:textFill>
        </w:rPr>
        <w:t>进度完成，资金拨付完成率100%</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效益性：项目受益区域公路安全水平得到了提升，群众日常出行满意度不断加强。</w:t>
      </w:r>
    </w:p>
    <w:p>
      <w:pPr>
        <w:spacing w:line="540" w:lineRule="exact"/>
        <w:ind w:firstLine="640" w:firstLineChars="20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自治区2017年农村公路养护补助项目涉及12县市，保证项目资金保质保量完成拨付，对各县市经济发展起到促进作用，公路安全水平提升，农村公路养护保证公路使用寿命，群众满意度不断提高。项目资金 389万元由本级下拨到12县市交通运输局用与农村公路养护。本项目支出符合喀什地区交通运输局相关在财务管理制度，包括会计人员集中核算工作管理制度、财务收支审批制度、财务稽核制度、财务牵制制度、会计主管岗位职责等制度规定，资金的拨付有完整的审批程序和手续，不存在截留、挤占、挪用等情况。项目的实施遵守相关法律法规和业务管理规定，项目资料齐全并及时归档。</w:t>
      </w:r>
    </w:p>
    <w:p>
      <w:pPr>
        <w:spacing w:line="540" w:lineRule="exact"/>
        <w:ind w:firstLine="640" w:firstLineChars="20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本项目不存在问题；2018年本项目绩效目标全部达成，不存在未完成原因分析。下一步改进措施： 无。</w:t>
      </w:r>
    </w:p>
    <w:p>
      <w:pPr>
        <w:spacing w:line="540" w:lineRule="exact"/>
        <w:ind w:firstLine="640" w:firstLineChars="200"/>
        <w:rPr>
          <w:rFonts w:hint="eastAsia" w:ascii="仿宋_GB2312" w:eastAsia="仿宋_GB2312"/>
          <w:color w:val="000000" w:themeColor="text1"/>
          <w:sz w:val="32"/>
          <w:szCs w:val="32"/>
          <w14:textFill>
            <w14:solidFill>
              <w14:schemeClr w14:val="tx1"/>
            </w14:solidFill>
          </w14:textFill>
        </w:rPr>
      </w:pPr>
    </w:p>
    <w:p>
      <w:pPr>
        <w:spacing w:line="54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本单位支出功能分类说明</w:t>
      </w:r>
      <w:r>
        <w:rPr>
          <w:rFonts w:hint="eastAsia" w:ascii="仿宋_GB2312" w:hAnsi="Calibri" w:eastAsia="仿宋_GB2312"/>
          <w:color w:val="000000" w:themeColor="text1"/>
          <w:sz w:val="32"/>
          <w:szCs w:val="32"/>
          <w:lang w:val="en-GB"/>
          <w14:textFill>
            <w14:solidFill>
              <w14:schemeClr w14:val="tx1"/>
            </w14:solidFill>
          </w14:textFill>
        </w:rPr>
        <w:t>。</w:t>
      </w:r>
      <w:r>
        <w:rPr>
          <w:rFonts w:hint="eastAsia" w:ascii="仿宋_GB2312" w:eastAsia="仿宋_GB2312"/>
          <w:sz w:val="32"/>
          <w:szCs w:val="32"/>
        </w:rPr>
        <w:t>221（类）02（款）01（项）指：住房公积金。205（类）02（款）01（项）指：学前教育。229（类）99（款）01（项）指：其他支出。214（类）01（款）99（项）指：其他公路水路运输支出。208（类）05（款）05（项）指：机关事业单位基本养老保险缴费支出。214（类）01（款）01（项）指：行政运行。</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bookmarkStart w:id="92" w:name="_GoBack"/>
      <w:bookmarkEnd w:id="92"/>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page" w:x="9631" w:y="37"/>
      <w:jc w:val="right"/>
      <w:rPr>
        <w:rStyle w:val="5"/>
        <w:rFonts w:ascii="宋体" w:hAnsi="宋体" w:eastAsia="宋体"/>
        <w:sz w:val="28"/>
      </w:rPr>
    </w:pPr>
    <w:r>
      <w:rPr>
        <w:rStyle w:val="5"/>
        <w:rFonts w:ascii="宋体" w:hAnsi="宋体" w:eastAsia="宋体"/>
        <w:sz w:val="28"/>
      </w:rPr>
      <w:fldChar w:fldCharType="begin"/>
    </w:r>
    <w:r>
      <w:rPr>
        <w:rStyle w:val="5"/>
        <w:rFonts w:ascii="宋体" w:hAnsi="宋体" w:eastAsia="宋体"/>
        <w:sz w:val="28"/>
      </w:rPr>
      <w:instrText xml:space="preserve"> PAGE </w:instrText>
    </w:r>
    <w:r>
      <w:rPr>
        <w:rStyle w:val="5"/>
        <w:rFonts w:ascii="宋体" w:hAnsi="宋体" w:eastAsia="宋体"/>
        <w:sz w:val="28"/>
      </w:rPr>
      <w:fldChar w:fldCharType="separate"/>
    </w:r>
    <w:r>
      <w:rPr>
        <w:rStyle w:val="5"/>
        <w:rFonts w:ascii="宋体" w:hAnsi="宋体" w:eastAsia="宋体"/>
        <w:sz w:val="28"/>
      </w:rPr>
      <w:t>- 10 -</w:t>
    </w:r>
    <w:r>
      <w:rPr>
        <w:rStyle w:val="5"/>
        <w:rFonts w:ascii="宋体" w:hAnsi="宋体" w:eastAsia="宋体"/>
        <w:sz w:val="28"/>
      </w:rP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63511D"/>
    <w:rsid w:val="2563511D"/>
    <w:rsid w:val="4CB81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eastAsia="黑体"/>
      <w:snapToGrid w:val="0"/>
      <w:kern w:val="0"/>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2023-11-08T10:58:00Z</dcterms:created>
  <dc:creator>Administrator</dc:creator>
  <cp:lastModifiedBy>Administrator</cp:lastModifiedBy>
  <dcterms:modified xsi:type="dcterms:W3CDTF">2023-11-08T10:58:59Z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