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喀什地区蔬菜销往乌鲁木齐市场运杂费专项补贴资金</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喀什地区供销合作社联合社（本级）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喀什地区供销合作社联合社</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李欣</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2023年05月12日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（一）项目概况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财政部《项目支出绩效评价管理办法》（财预〔2020〕10号）、自治区财政厅《自治区财政支出绩效评价管理暂行办法》（新财预〔2018〕189号）和2020年9月11日行署办公室《关于印发&lt;喀什地区蔬菜销往乌鲁木齐市场运杂费专项补贴资金使用办法&gt;的通知》等相关政策文件与规定，旨在评价“喀什地区蔬菜销往乌鲁木齐市场运杂费专项补贴资金项目”实施前期、过程及效果，评价财政预算资金使用的效率及效益。通过该项目的实施，对第四批符合条件的5家收购喀什地区本地蔬菜的企业产生的运杂费进行了补贴。共计补贴6531562公斤蔬菜、车辆328辆，每公斤补贴0.3元，共计补贴1959468.6元。从而进一步促进喀什蔬菜进乌市销售，切实激发蔬菜销售企业的积极性，助力</w:t>
      </w:r>
      <w:bookmarkStart w:id="0" w:name="_GoBack"/>
      <w:bookmarkEnd w:id="0"/>
      <w:r>
        <w:rPr>
          <w:rStyle w:val="18"/>
          <w:rFonts w:hint="eastAsia" w:ascii="仿宋" w:hAnsi="仿宋" w:eastAsia="仿宋" w:cs="仿宋"/>
          <w:b w:val="0"/>
          <w:bCs w:val="0"/>
          <w:spacing w:val="-4"/>
          <w:sz w:val="32"/>
          <w:szCs w:val="32"/>
          <w:lang w:eastAsia="zh-CN"/>
        </w:rPr>
        <w:t>乡村振兴</w:t>
      </w:r>
      <w:r>
        <w:rPr>
          <w:rStyle w:val="18"/>
          <w:rFonts w:hint="eastAsia" w:ascii="仿宋" w:hAnsi="仿宋" w:eastAsia="仿宋" w:cs="仿宋"/>
          <w:b w:val="0"/>
          <w:bCs w:val="0"/>
          <w:spacing w:val="-4"/>
          <w:sz w:val="32"/>
          <w:szCs w:val="32"/>
        </w:rPr>
        <w:t>，确保农民群众增收。</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根据2020年9月11日行署办公室《关于印发&lt;喀什地区蔬菜销往乌鲁木齐市场运杂费专项补贴资金使用办法&gt;的通知》要求，对第四批收购喀什地区本地蔬菜销往乌鲁木齐市场产生的企业运杂费进行补贴。2022年度共计补贴6531562公斤蔬菜、车辆328辆，每公斤补贴0.3元，共计补贴1959468.6元，于2022年12月支付完成。进一步促进了喀什蔬菜进乌市市场销售，切实激发蔬菜销售企业的积极性，助力</w:t>
      </w:r>
      <w:r>
        <w:rPr>
          <w:rStyle w:val="18"/>
          <w:rFonts w:hint="eastAsia" w:ascii="仿宋" w:hAnsi="仿宋" w:eastAsia="仿宋" w:cs="仿宋"/>
          <w:b w:val="0"/>
          <w:bCs w:val="0"/>
          <w:spacing w:val="-4"/>
          <w:sz w:val="32"/>
          <w:szCs w:val="32"/>
          <w:lang w:eastAsia="zh-CN"/>
        </w:rPr>
        <w:t>乡村振兴</w:t>
      </w:r>
      <w:r>
        <w:rPr>
          <w:rStyle w:val="18"/>
          <w:rFonts w:hint="eastAsia" w:ascii="仿宋" w:hAnsi="仿宋" w:eastAsia="仿宋" w:cs="仿宋"/>
          <w:b w:val="0"/>
          <w:bCs w:val="0"/>
          <w:spacing w:val="-4"/>
          <w:sz w:val="32"/>
          <w:szCs w:val="32"/>
        </w:rPr>
        <w:t>，确保农民群众增收。</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喀什地区供销合作社联合社为全额拨款事业单位，整体纳入2021年部门决算编制范围。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编制人数28人，其中：参照公务员管理事业编制26人、工勤2人。实有在职人数26人，其中：参照公务员管理25人、工勤1人。离退休人员39人，其中：行政退休人员39人。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喀地财建〔2022〕75号共安排下达资金195.95万元，为其他资金，最终确定项目资金总数为195.95万元。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截至2022年12月31日，实际支出195.95万元，预算执行率100%。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（二）项目绩效目标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2020年9月11日行署办公室《关于印发&lt;喀什地区蔬菜销往乌鲁木齐市场运杂费专项补贴资金使用办法&gt;的通知》要求，对5家企业收购喀什地区本地6531562公斤蔬菜销往乌鲁木齐市场产生的运杂费进行补贴，每公斤补贴0.3元，从而进一步促进喀什蔬菜进乌销售，切实激发蔬菜销售企业的积极性，助力</w:t>
      </w:r>
      <w:r>
        <w:rPr>
          <w:rStyle w:val="18"/>
          <w:rFonts w:hint="eastAsia" w:ascii="仿宋" w:hAnsi="仿宋" w:eastAsia="仿宋" w:cs="仿宋"/>
          <w:b w:val="0"/>
          <w:bCs w:val="0"/>
          <w:spacing w:val="-4"/>
          <w:sz w:val="32"/>
          <w:szCs w:val="32"/>
          <w:lang w:eastAsia="zh-CN"/>
        </w:rPr>
        <w:t>乡村振兴</w:t>
      </w:r>
      <w:r>
        <w:rPr>
          <w:rStyle w:val="18"/>
          <w:rFonts w:hint="eastAsia" w:ascii="仿宋" w:hAnsi="仿宋" w:eastAsia="仿宋" w:cs="仿宋"/>
          <w:b w:val="0"/>
          <w:bCs w:val="0"/>
          <w:spacing w:val="-4"/>
          <w:sz w:val="32"/>
          <w:szCs w:val="32"/>
        </w:rPr>
        <w:t>，确保农民群众增收。</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实施的前期工作，对第四批收购喀什地区本地蔬菜销往乌鲁木齐市的企业提供的收购票据（乡村两级出具的产地证明、向农户付款的凭证、物流运输凭证、销售地过磅单等）以及由驻村工作队、村党支部对购销企业收购蔬菜出具的证明、县级供销社复核的证明，进行资料的审核，掌握补贴车辆信息、补贴蔬菜的数量，保证蔬菜的供应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具体实施工作：在地区供销系统的带动下，各县市企业积极响应，发挥主观能动性，主动对接乌鲁木齐九鼎市场，打开蔬菜销售新思路。第四批各县市销往乌鲁木齐市场的蔬菜共计328车，6531.562吨，主要品种为：白菜、胡萝卜、青萝卜、土豆、南瓜等。按照补贴资金相关要求，为第四批符合条件的企业发放补贴资金1959468.6元，于2022年12月支付完成。</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（二）绩效评价原则、评价指标体系、评价方法评价标准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绩效评价体系为根据财预﹝2020﹞10号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二级指标，效益下设项目效益1个二级指标。项目绩效评价体系详见附件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本次绩效评价方法的选用坚持简便有效的原则采用综合分析法，有成本效益分析法、比较法、因素分析法。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（一）成本效益分析法。是指将投入与产出、效益进行关联性分析的方法。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（二）比较法。是指将实施情况与绩效目标、历史情况、不同部门和地区同类支出情况进行比较的方法。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（三）因素分析法。是指综合分析影响绩效目标实现、实施效果的内外部因素的方法。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计划标准：指以预先制定的目标、计划、预算、定额等作为评价标准。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（三）绩效评价工作过程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本次评价成立了评价工作组，成员如下：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第一阶段：前期准备。认真学习相关要求与规定，成立绩效评价工作组，作为绩效评价工作具体实施机构。成员构成如下：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党委副书记、理事会主任王龙同志任评价组组长，绩效评价工作职责为负责全盘工作。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党委委员、理事会副主任余建明同志任评价组副组长，绩效评价工作职责为为对项目实施情况进行实地调查。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基层工作科李欣、办公室王海江、财务科袁露任评价组成员，绩效评价工作职责为负责资料审核等工作。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第二阶段：组织实施。经评价组通过实地调研、查阅资料等方式，采用综合分析法对项目的决策、管理、绩效进行的综合评价分析。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经评价组通过综合分析法、问卷调查法等方式，主要采用综合分析法对项目的决策、实施、产出、效益进行综合评价分析，最终评分100分。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喀什地区蔬菜销往乌鲁木齐市场运杂费专项补贴资金项目得分情况表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权重</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得分率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40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40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喀什地区蔬菜销往乌鲁木齐市场运杂费专项补贴资金项目完成了对第四批收购本地蔬菜企业产生的运杂费补贴发放工作。2022年度共计补贴6531562公斤蔬菜、车辆328辆，每公斤补贴0.3元，共计补贴1959468.6元，于2022年12月支付完成。进一步促进了喀什蔬菜进乌市市场销售，达到了切实提升蔬菜销售企业的积极性，助力</w:t>
      </w:r>
      <w:r>
        <w:rPr>
          <w:rStyle w:val="18"/>
          <w:rFonts w:hint="eastAsia" w:ascii="仿宋" w:hAnsi="仿宋" w:eastAsia="仿宋" w:cs="仿宋"/>
          <w:b w:val="0"/>
          <w:bCs w:val="0"/>
          <w:spacing w:val="-4"/>
          <w:sz w:val="32"/>
          <w:szCs w:val="32"/>
          <w:lang w:eastAsia="zh-CN"/>
        </w:rPr>
        <w:t>乡村振兴</w:t>
      </w:r>
      <w:r>
        <w:rPr>
          <w:rStyle w:val="18"/>
          <w:rFonts w:hint="eastAsia" w:ascii="仿宋" w:hAnsi="仿宋" w:eastAsia="仿宋" w:cs="仿宋"/>
          <w:b w:val="0"/>
          <w:bCs w:val="0"/>
          <w:spacing w:val="-4"/>
          <w:sz w:val="32"/>
          <w:szCs w:val="32"/>
        </w:rPr>
        <w:t>，确保农民群众增收的效益。该项目最终评分100分，绩效评级为“优”。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权重</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得分率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立项依据充分性</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3</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立项程序规范性</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绩效目标合理性</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3</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绩效指标明确性</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预算编制科学性</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5</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资金分配合理性</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5</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根据2020年9月11日行署办公室《关于印发&lt;喀什地区蔬菜销往乌鲁木齐市场运杂费专项补贴资金使用办法&gt;的通知》要求，组织实施本项目，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根据决策依据编制工作计划和经费预算，经过请示行署分并管领导与财政部门进行沟通、筛选确定经费预算计划，上地区供销社党委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严格按照《喀什地区蔬菜销往乌鲁木齐市场运杂费专项补贴资金使用办法》所列条款，明确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（4）绩效指标明确性：将项目绩效目标细化分解为：3个一级指标、8个二级指标、11个三级指标。根据评分标准，该指标不扣分，得2分。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 预算编制经过科学论证，预算编制金额195.95万元与对第四批符合条件的5家收购喀什地区本地蔬菜的企业产生运杂费进行补贴的金额匹配，项目投资额195.95万元与第四批收购喀什地区本地蔬菜企业产生的运杂费进行补贴金额相匹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（6）资金分配合理性：项目资金195.95万元，按照0.3元/公斤的补贴标准，金额分配与第四批收购喀什地区本地蔬菜企业产生的运杂费相适应，根据评分标准，该指标不扣分，得5分。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权重</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得分率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资金到位率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5</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预算执行率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5</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资金使用合规性</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5</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管理制度健全性</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制度执行</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3</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1）资金到位率：项目预算资金195.95万元，其中其他资金195.95万元，实际到位资金195.95万元，资金到位率100%，地区供销社能够及时足额按照《喀什地区蔬菜销往乌鲁木齐市场运杂费专项补贴资金使用办法》将专项资金拨付给蔬菜购销企业，根据评分标准，该指标不扣分，得5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（2）预算执行率：项目预算资金195.95万元，项目实际支出195.95万元，预算执行率100%，项目资金支出总体能够按照预算执行，根据评分标准，该指标不扣分，得5分。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（3）资金使用合规性：制定了《喀什地区供销社资金管理制度》对经费使用进行规范管理，财务制度健全、执行严格，根据评分标准，该指标不扣分，得5分。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（4）管理制度健全性：制定了《喀什地区供销社项目管理制度》，对财政专项资金进行严格管理，做到了专款专用，根据评分标准，该指标不扣分，得2分。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由地区供销社提出经费预算支出可行性方案，经过请示行署分管领导并与财政部门进行沟通后，报地区供销社党委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权重</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得分率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产出数量</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产出质量</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产出时效</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成本情况</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40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40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补贴的企业数量指标，预期目标值=5家，实际完成值为5家，指标完成率为100%，与预期目标一致，根据评分标准，该指标不扣分，得3分。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补贴车辆数量指标，预期目标值=328辆，实际完成值为328辆，指标完成率为100%，与预期目标一致，根据评分标准，该指标不扣分，得3分。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补贴蔬菜数量指标，预期目标值=6531562公斤，实际完成值为6531562公斤，指标完成率为100%，与预期目标一致，根据评分标准，该指标不扣分，得4分。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保证蔬菜供应质量指标，预期目标值=95%，实际完成值为95%，指标完成率为100%，与预期目标一致，根据评分标准，该指标不扣分，得5分。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资金拨付率指标，预期目标值≥95%，实际完成值为100%，指标完成率为105%，存在合理偏差，根据评分标准，该指标不扣分，得5分。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第四批运费补贴截至时间指标，预期目标值为2022年1月，实际完成值为2022年1月，指标完成率为100%，与预期目标指标一致，根据评分标准，该指标不扣分，得10分。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每公斤补贴金额指标，预期目标值=0.30元，实际完成值为0.30元，指标完成率为100%，与预期目标指标一致，项目经费都能控制绩效目标范围内，根据评分标准，该指标不扣分，得10分。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项目绩效指标得分情况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权重</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得分率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满意度</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蔬菜销售企业外销蔬菜积极性指标，预期目标值为持续提升，实际完成值为持续提升，指标完成率为100%，与预期指标一致，根据评分标准，该指标不扣分，得3分。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（2）对于“可持续影响指标”：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助力</w:t>
      </w:r>
      <w:r>
        <w:rPr>
          <w:rStyle w:val="18"/>
          <w:rFonts w:hint="eastAsia" w:ascii="仿宋" w:hAnsi="仿宋" w:eastAsia="仿宋" w:cs="仿宋"/>
          <w:b w:val="0"/>
          <w:bCs w:val="0"/>
          <w:spacing w:val="-4"/>
          <w:sz w:val="32"/>
          <w:szCs w:val="32"/>
          <w:lang w:eastAsia="zh-CN"/>
        </w:rPr>
        <w:t>乡村振兴</w:t>
      </w:r>
      <w:r>
        <w:rPr>
          <w:rStyle w:val="18"/>
          <w:rFonts w:hint="eastAsia" w:ascii="仿宋" w:hAnsi="仿宋" w:eastAsia="仿宋" w:cs="仿宋"/>
          <w:b w:val="0"/>
          <w:bCs w:val="0"/>
          <w:spacing w:val="-4"/>
          <w:sz w:val="32"/>
          <w:szCs w:val="32"/>
        </w:rPr>
        <w:t>、确保农民增收力度指标，预期目标值为不断提高，实际完成值为不断提高，指标完成率为100%，与预期指标一致，根据评分标准，该指标不扣分，得3分。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喀什蔬菜进乌市销售数量指标，预期目标值≥6530000公斤，实际完成值为6531562公斤，指标完成率为100.02%，与预期指标一致，根据评分标准，该指标不扣分，得4分。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实施效益指标合计得10分。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本项目无该指标。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对于“满意度指标”：享受补贴企业满意度指标，预期目标值≥95%，实际完成值为100%，指标完成率为105%，存在合理偏差，根据评分标准，该指标不扣分,得10分。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喀什地区蔬菜销往乌鲁木齐市场运杂费专项补贴资金项目预算195.95万元，到位195.95万元，实际支出195.95万元，预算执行率为100%，项目绩效指标总体完成率为100%，项目实施无偏差。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本项目能够严格按照《喀什地区蔬菜销往乌鲁木齐市场运杂费专项补贴资金使用办法》审批、执行，每个环节合法合规合理，确保补贴资金按期发放到位，项目执行情况好。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喀什地区蔬菜销往乌鲁木齐市场运杂费专项补贴资金项目实施进度较慢，前期的资料报送、审批时间过长。</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加快项目实施进度，积极开展补贴政策宣传，严格按照补贴程序稳步推进工作，提升各环节的工作效率，及时将补贴资金拨付至企业。</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p>
      <w:pPr>
        <w:spacing w:line="540" w:lineRule="exact"/>
        <w:ind w:firstLine="567"/>
        <w:rPr>
          <w:rStyle w:val="18"/>
          <w:rFonts w:hint="eastAsia" w:ascii="仿宋" w:hAnsi="仿宋" w:eastAsia="仿宋" w:cs="仿宋"/>
          <w:b w:val="0"/>
          <w:bCs w:val="0"/>
          <w:spacing w:val="-4"/>
          <w:sz w:val="32"/>
          <w:szCs w:val="32"/>
        </w:rPr>
      </w:pPr>
    </w:p>
    <w:p>
      <w:pPr>
        <w:spacing w:line="540" w:lineRule="exact"/>
        <w:rPr>
          <w:rStyle w:val="18"/>
          <w:rFonts w:hint="eastAsia" w:ascii="仿宋" w:hAnsi="仿宋" w:eastAsia="仿宋" w:cs="仿宋"/>
          <w:b w:val="0"/>
          <w:bCs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方正仿宋_GBK">
    <w:panose1 w:val="03000509000000000000"/>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M0ZjRmYzEwZDM0NWY1YjdhODM2YjlkNmEwYTY2Y2Q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1AB419E2"/>
    <w:rsid w:val="2AE11386"/>
    <w:rsid w:val="2D4C6AD2"/>
    <w:rsid w:val="2D5A6638"/>
    <w:rsid w:val="340D5924"/>
    <w:rsid w:val="41B16475"/>
    <w:rsid w:val="43B04001"/>
    <w:rsid w:val="4609551D"/>
    <w:rsid w:val="4D2606A1"/>
    <w:rsid w:val="4DD42C22"/>
    <w:rsid w:val="503863D1"/>
    <w:rsid w:val="50796DE0"/>
    <w:rsid w:val="5CBD6156"/>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 w:type="character" w:customStyle="1" w:styleId="46">
    <w:name w:val="font41"/>
    <w:basedOn w:val="17"/>
    <w:qFormat/>
    <w:uiPriority w:val="0"/>
    <w:rPr>
      <w:rFonts w:hint="default" w:ascii="方正仿宋_GBK" w:hAnsi="方正仿宋_GBK" w:eastAsia="方正仿宋_GBK" w:cs="方正仿宋_GBK"/>
      <w:color w:val="000000"/>
      <w:sz w:val="24"/>
      <w:szCs w:val="24"/>
      <w:u w:val="none"/>
    </w:rPr>
  </w:style>
  <w:style w:type="character" w:customStyle="1" w:styleId="47">
    <w:name w:val="font61"/>
    <w:basedOn w:val="17"/>
    <w:qFormat/>
    <w:uiPriority w:val="0"/>
    <w:rPr>
      <w:rFonts w:hint="default" w:ascii="Times New Roman" w:hAnsi="Times New Roman" w:cs="Times New Roman"/>
      <w:color w:val="000000"/>
      <w:sz w:val="24"/>
      <w:szCs w:val="24"/>
      <w:u w:val="none"/>
    </w:rPr>
  </w:style>
  <w:style w:type="character" w:customStyle="1" w:styleId="48">
    <w:name w:val="font21"/>
    <w:basedOn w:val="17"/>
    <w:qFormat/>
    <w:uiPriority w:val="0"/>
    <w:rPr>
      <w:rFonts w:hint="default" w:ascii="方正仿宋_GBK" w:hAnsi="方正仿宋_GBK" w:eastAsia="方正仿宋_GBK" w:cs="方正仿宋_GBK"/>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28</Pages>
  <Words>8690</Words>
  <Characters>9340</Characters>
  <Lines>5</Lines>
  <Paragraphs>1</Paragraphs>
  <TotalTime>2</TotalTime>
  <ScaleCrop>false</ScaleCrop>
  <LinksUpToDate>false</LinksUpToDate>
  <CharactersWithSpaces>9593</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2023-10-20T08:59:20Z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226315380186411FBE8FDDE50C3821BD_12</vt:lpwstr>
  </property>
</Properties>
</file>