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视联网建设项目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喀什地区供销合作社联合社（本级）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喀什地区供销合作社联合社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李亮</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和中共喀什地区委员会全面依法治地委员会办公室下发的《关于接入综治视联网的通知》要求，各县市、各单位（部门）目前没有联通综治视联网的要按照《关于接入综治视联网的紧急通知》（新社综〔2017〕10号）要求，尽快接通综治视联网，开设视频会场，确保每期“法治讲堂·逢九必讲”法治培训都能在本单位（部门）组织全体干部如期参加培训，引导广大党员干部遵法学法守法用法，为平安喀什、法治喀什建设做贡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根据地委全面依法治地委员会下发的通知要求，已购置视联网视频会议设备1套，确保了“法治讲堂逢九必讲”培训会议，干部如期参加培训6次,通过培训在提高单位干部职工依法办事能力和干部尊法学法守法用法意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喀什地区供销合作社联合社为全额拨款事业单位，整体纳入2023年部门决算编制范围。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编制人数28人，其中：参照公务员管理事业编制26人、工勤2人。实有在职人数24人，其中：参照公务员管理23人、工勤1人。离退休人员36人，其中：行政退休人员36人。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《关于批复2023年喀什地区本级部门预算的通知》（喀地财发</w:t>
      </w:r>
      <w:r>
        <w:rPr>
          <w:rStyle w:val="18"/>
          <w:rFonts w:hint="eastAsia" w:ascii="微软雅黑" w:hAnsi="微软雅黑" w:eastAsia="微软雅黑" w:cs="微软雅黑"/>
          <w:b w:val="0"/>
          <w:bCs w:val="0"/>
          <w:spacing w:val="-4"/>
          <w:sz w:val="32"/>
          <w:szCs w:val="32"/>
        </w:rPr>
        <w:t>〔</w:t>
      </w:r>
      <w:r>
        <w:rPr>
          <w:rStyle w:val="18"/>
          <w:rFonts w:hint="eastAsia" w:ascii="仿宋" w:hAnsi="仿宋" w:eastAsia="仿宋" w:cs="仿宋"/>
          <w:b w:val="0"/>
          <w:bCs w:val="0"/>
          <w:spacing w:val="-4"/>
          <w:sz w:val="32"/>
          <w:szCs w:val="32"/>
        </w:rPr>
        <w:t>2023</w:t>
      </w:r>
      <w:r>
        <w:rPr>
          <w:rStyle w:val="18"/>
          <w:rFonts w:hint="eastAsia" w:ascii="微软雅黑" w:hAnsi="微软雅黑" w:eastAsia="微软雅黑" w:cs="微软雅黑"/>
          <w:b w:val="0"/>
          <w:bCs w:val="0"/>
          <w:spacing w:val="-4"/>
          <w:sz w:val="32"/>
          <w:szCs w:val="32"/>
        </w:rPr>
        <w:t>〕</w:t>
      </w:r>
      <w:r>
        <w:rPr>
          <w:rStyle w:val="18"/>
          <w:rFonts w:hint="eastAsia" w:ascii="仿宋" w:hAnsi="仿宋" w:eastAsia="仿宋" w:cs="仿宋"/>
          <w:b w:val="0"/>
          <w:bCs w:val="0"/>
          <w:spacing w:val="-4"/>
          <w:sz w:val="32"/>
          <w:szCs w:val="32"/>
        </w:rPr>
        <w:t>1号）共安排下达资金3万元，为一般公共预算资金，最终确定项目资金总数为3万元。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截至2023年12月31日，实际支出3万元，预算执行率100%。</w:t>
      </w:r>
    </w:p>
    <w:p>
      <w:pPr>
        <w:numPr>
          <w:numId w:val="0"/>
        </w:numPr>
        <w:spacing w:line="57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楷体" w:hAnsi="楷体" w:eastAsia="楷体" w:cs="楷体"/>
          <w:bCs w:val="0"/>
          <w:spacing w:val="-4"/>
          <w:sz w:val="32"/>
          <w:szCs w:val="32"/>
          <w:lang w:eastAsia="zh-CN"/>
        </w:rPr>
        <w:t>（二）</w:t>
      </w:r>
      <w:r>
        <w:rPr>
          <w:rStyle w:val="18"/>
          <w:rFonts w:hint="eastAsia" w:ascii="楷体" w:hAnsi="楷体" w:eastAsia="楷体" w:cs="楷体"/>
          <w:bCs w:val="0"/>
          <w:spacing w:val="-4"/>
          <w:sz w:val="32"/>
          <w:szCs w:val="32"/>
        </w:rPr>
        <w:t>项目绩效目标。包括总体目标和阶段性目标。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根据地委全面依法治地委员会下发的通知要求，购置安装视联网设备1套，确保“法治讲堂逢九必讲”培训会议稳固运行，干部如期参加培训。</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实施的前期工作：根据中共喀什地区委员会全面依法治地委员会办公室下发的《关于接入综治视联网的通知》要求，各县市、各单位（部门）目前没有联通综治视联网的要按照《关于接入综治视联网的紧急通知》（新社综〔2017〕10号）要求，尽快接通综治视联网，开设视频会场，确保每期“法治讲堂·逢九必讲”法治培训都能在本单位（部门）组织全体干部如期参加培训。</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w:t>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具体实施工作：在地区供销系统的带动下，成立评估小组对相关设备进行比对询价，最终确定以3万元的价格购买视联网设备，设备购置安装到位及时且验收合格，于2023年12月前支付完成。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left="638" w:leftChars="304" w:firstLine="0" w:firstLineChars="0"/>
        <w:rPr>
          <w:rStyle w:val="18"/>
          <w:rFonts w:hint="eastAsia"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7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p>
    <w:p>
      <w:p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楷体" w:hAnsi="楷体" w:eastAsia="楷体" w:cs="楷体"/>
          <w:bCs w:val="0"/>
          <w:spacing w:val="-4"/>
          <w:sz w:val="32"/>
          <w:szCs w:val="32"/>
        </w:rPr>
        <w:t>（三）绩效评价工作过程。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党委书记、理事会副主任艾力哈尔江·多来提同志任评价组组长，绩效评价工作职责为负责全盘工作。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党委委员、理事会副主任万亚军同志任评价组副组长，绩效评价工作职责为为对项目实施情况进行实地调查。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基层工作科李亮、办公室李江、财务科陈德坪任评价组成员，绩效评价工作职责为负责资料审核等工作。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numPr>
          <w:ilvl w:val="0"/>
          <w:numId w:val="1"/>
        </w:numPr>
        <w:spacing w:line="570" w:lineRule="exact"/>
        <w:ind w:left="950" w:leftChars="304" w:hanging="312" w:hangingChars="10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综合评价情况及评价结论</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购买了3万元的视联网设备，单位成功接通综治视联网，开设了视频会场，对4供销社14名在单位的干部职工进行了多次培训，于2023年12月前支付完成，提高单位干部职工依法办事能力和干部尊法学法守法用法意识。经对视联网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left="638" w:leftChars="304" w:firstLine="0" w:firstLineChars="0"/>
        <w:rPr>
          <w:rFonts w:hint="eastAsia"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7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p>
    <w:p>
      <w:pPr>
        <w:spacing w:line="57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立项依据充分性：结合供销社为农、务农、姓农职责以及党政主要负责人重视法治机关建设的实际，根据中共喀什地区委员会全面依法治地委员会办公室下发的《关于接入综治视联网的通知》要求，各县市、各单位（部门）目前没有联通综治视联网的要按照《关于接入综治视联网的紧急通知》（新社综〔2017〕10号）要求，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立项程序规范性：根据决策依据编制工作计划和经费预算，经过请示行署分并管领导与财政部门进行沟通、筛选确定经费预算计划，上地区供销社党委会研究确定最终预算方案，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（3）绩效目标合理性：严格按照《供销社资金使用管理办法》，明确总体思路及目标、并对任务进行了详细分解，对目标进行了细化，根据评分标准，该指标不扣分，得3分。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（4）绩效指标明确性： 将视联网建设项目绩效目标细化分解为设备购置数</w:t>
      </w:r>
      <w:r>
        <w:rPr>
          <w:rStyle w:val="18"/>
          <w:rFonts w:hint="eastAsia" w:ascii="仿宋" w:hAnsi="仿宋" w:eastAsia="仿宋" w:cs="仿宋"/>
          <w:b w:val="0"/>
          <w:bCs w:val="0"/>
          <w:spacing w:val="-4"/>
          <w:sz w:val="32"/>
          <w:szCs w:val="32"/>
        </w:rPr>
        <w:tab/>
        <w:t>、参加培训的干部人数等指标，指标明确符合项目实际，根据评分标准，该指标不扣分，得2分。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预算编制科学性：视联网建设项目预算编制经过科学论证和询价，根据《关于批复2023年喀什地区本级部门预算的通知》（喀地财发【2023】1号）批准，下达资金3万元用于购买视联网设备，与询价购买相关设备并接通综治视联网价格3万元相匹配，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6）资金分配合理性：根据《关于批复2023年喀什地区本级部门预算的通知》（喀地财发【2023】1号），视联网建设项目分配资金3万元，全部用于购买综治视联网设备，与项目实际购买金额相适应，根据评分标准，该指标不扣分，得2分。</w:t>
      </w:r>
    </w:p>
    <w:p>
      <w:pPr>
        <w:numPr>
          <w:ilvl w:val="0"/>
          <w:numId w:val="2"/>
        </w:numPr>
        <w:spacing w:line="570" w:lineRule="exact"/>
        <w:ind w:left="319" w:leftChars="152" w:firstLine="313" w:firstLineChars="100"/>
        <w:rPr>
          <w:rFonts w:hint="eastAsia" w:ascii="楷体" w:hAnsi="楷体" w:eastAsia="楷体" w:cs="楷体"/>
          <w:b/>
          <w:spacing w:val="-4"/>
          <w:sz w:val="32"/>
          <w:szCs w:val="32"/>
        </w:rPr>
      </w:pPr>
      <w:r>
        <w:rPr>
          <w:rFonts w:hint="eastAsia" w:ascii="楷体" w:hAnsi="楷体" w:eastAsia="楷体" w:cs="楷体"/>
          <w:b/>
          <w:spacing w:val="-4"/>
          <w:sz w:val="32"/>
          <w:szCs w:val="32"/>
        </w:rPr>
        <w:t>项目过程情况。</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（1）资金到位率：视联网建设项目预算资金3万元，根据《关于批复2023年喀什地区本级部门预算的通知》（喀地财发【2023】1号）下达资金3万元，资金到位率100%，根据评分标准，该指标不扣分，得3分。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预算执行率：视联网建设项目预算资金3万元，项目实际支出3万元，预算执行率100%，项目资金完全按照《关于批复2023年喀什地区本级部门预算的通知》（喀地财发【2023】1号）执行，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资金使用合规性：视联网建设项目按照《关于批复2023年喀什地区本级部门预算的通知》（喀地财发【2023】1号）、《喀什地区供销社资金管理制度》及《喀什地区供销社项目管理制度》对经费使用进行规范管理，根据评分标准，该指标不扣分，得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管理制度健全性：视联网建设项目严格按照供销社相关内部控制规范，按照《喀什地区供销社资金管理制度》及《喀什地区供销社项目管理制度》对该项资金进行严格管理，对项目实施、验收、评价等过程进行监管，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制度执行有效性：由地区供销社提出经费预算支出可行性方案，经过请示行署分管领导并与财政部门进行沟通后，报地区供销社党委会议研究执行，财务对资金的使用合法合规性进行监督，年底对资金使用效果进行自评，根据评分标准，该指标不扣分，得5分。</w:t>
      </w:r>
    </w:p>
    <w:p>
      <w:pPr>
        <w:numPr>
          <w:ilvl w:val="0"/>
          <w:numId w:val="2"/>
        </w:numPr>
        <w:spacing w:line="570" w:lineRule="exact"/>
        <w:ind w:left="319" w:leftChars="152" w:firstLine="313" w:firstLineChars="100"/>
        <w:rPr>
          <w:rFonts w:hint="eastAsia" w:ascii="楷体" w:hAnsi="楷体" w:eastAsia="楷体" w:cs="楷体"/>
          <w:b/>
          <w:spacing w:val="-4"/>
          <w:sz w:val="32"/>
          <w:szCs w:val="32"/>
        </w:rPr>
      </w:pPr>
      <w:r>
        <w:rPr>
          <w:rFonts w:hint="eastAsia" w:ascii="楷体" w:hAnsi="楷体" w:eastAsia="楷体" w:cs="楷体"/>
          <w:b/>
          <w:spacing w:val="-4"/>
          <w:sz w:val="32"/>
          <w:szCs w:val="32"/>
        </w:rPr>
        <w:t>项目产出情况。</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设备购置数数量指标，预期目标值=1套，实际完成值为1套，指标完成率为100%，与预期目标一致，根据评分标准，该指标不扣分，得5分。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参加培训的干部人数数量指标，预期目标值&gt;=14人，实际完成值为14人，指标完成率为100%，与预期目标一致，根据评分标准，该指标不扣分，得5分。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设备合格率指标，预期目标值=100%，实际完成值为100%，指标完成率为100%，与预期目标一致，根据评分标准，该指标不扣分，得10分。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设备购置安装到位及时率指标，预期指标值=100%，实际完成值100%，指标完成率为100%，与预期目标一致，根据评分标准，该指标不扣分，得10分。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预算成本控制率指标，预期目标值&lt;=100%，实际完成值为100%，指标完成率为100%，与预期目标指标一致，项目经费都能控制绩效目标范围内，根据评分标准，该指标不扣分，得15分。</w:t>
      </w:r>
    </w:p>
    <w:p>
      <w:pPr>
        <w:numPr>
          <w:ilvl w:val="0"/>
          <w:numId w:val="2"/>
        </w:numPr>
        <w:spacing w:line="570" w:lineRule="exact"/>
        <w:ind w:left="319" w:leftChars="152" w:firstLine="313" w:firstLineChars="100"/>
        <w:rPr>
          <w:rFonts w:hint="eastAsia" w:ascii="楷体" w:hAnsi="楷体" w:eastAsia="楷体" w:cs="楷体"/>
          <w:b/>
          <w:spacing w:val="-4"/>
          <w:sz w:val="32"/>
          <w:szCs w:val="32"/>
        </w:rPr>
      </w:pPr>
      <w:r>
        <w:rPr>
          <w:rFonts w:hint="eastAsia" w:ascii="楷体" w:hAnsi="楷体" w:eastAsia="楷体" w:cs="楷体"/>
          <w:b/>
          <w:spacing w:val="-4"/>
          <w:sz w:val="32"/>
          <w:szCs w:val="32"/>
        </w:rPr>
        <w:t>项目效益情况。</w:t>
      </w:r>
    </w:p>
    <w:p>
      <w:pPr>
        <w:numPr>
          <w:numId w:val="0"/>
        </w:numPr>
        <w:spacing w:line="570" w:lineRule="exact"/>
        <w:ind w:firstLine="624" w:firstLineChars="200"/>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提高干部尊法学法守法用法意识指标，预期目标值为提高，实际完成值为提高，指标完成率为100%，与预期指标一致，根据评分标准，该指标不扣分，得10分。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lang w:eastAsia="zh-CN"/>
        </w:rPr>
        <w:t>。</w:t>
      </w:r>
    </w:p>
    <w:p>
      <w:pPr>
        <w:numPr>
          <w:ilvl w:val="0"/>
          <w:numId w:val="3"/>
        </w:numPr>
        <w:spacing w:line="570" w:lineRule="exact"/>
        <w:ind w:left="950" w:leftChars="304" w:hanging="312" w:hangingChars="100"/>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lang w:val="en-US" w:eastAsia="zh-CN"/>
        </w:rPr>
        <w:t xml:space="preserve">  </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lang w:eastAsia="zh-CN"/>
        </w:rPr>
        <w:t>。</w:t>
      </w: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对于“满意度指标”：干部对视联网设备使用满意度指标，该指标预期指标值为=100%，实际完成值为100%，指标完成率为100%，与预期目标一致，根据评分标准，该指标不扣分，得10分。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视联网建设项目预算3万元，到位3万元，实际支出3万元，预算执行率为100%，项目绩效指标总体完成率为100%，无偏差。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本项目能够严格按照《喀什地区供销社资金管理制度》和《喀什地区供销社项目管理制度》审批、执行，每个环节合法合规合理，确保补贴资金按期发放到位，项目执行情况好。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在绩效自评方面，是缺少带着问题去评价的意识，现场评价的工作量少，后续效益评价具体措施和方法不够全面。原因是：对绩效评价的重要性认识还不够，把绩效评价结果运用于实际工作做的不够。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单位紧紧围绕地委、行署的核心工作内容及确定项目预算。在实施时要制定实施计划并且需符合喀什地区供销社实际情况及需求，计划内容要详细。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8DB0BB"/>
    <w:multiLevelType w:val="singleLevel"/>
    <w:tmpl w:val="848DB0BB"/>
    <w:lvl w:ilvl="0" w:tentative="0">
      <w:start w:val="3"/>
      <w:numFmt w:val="chineseCounting"/>
      <w:suff w:val="nothing"/>
      <w:lvlText w:val="%1、"/>
      <w:lvlJc w:val="left"/>
      <w:rPr>
        <w:rFonts w:hint="eastAsia"/>
      </w:rPr>
    </w:lvl>
  </w:abstractNum>
  <w:abstractNum w:abstractNumId="1">
    <w:nsid w:val="4CD32B8E"/>
    <w:multiLevelType w:val="singleLevel"/>
    <w:tmpl w:val="4CD32B8E"/>
    <w:lvl w:ilvl="0" w:tentative="0">
      <w:start w:val="3"/>
      <w:numFmt w:val="decimal"/>
      <w:suff w:val="nothing"/>
      <w:lvlText w:val="（%1）"/>
      <w:lvlJc w:val="left"/>
    </w:lvl>
  </w:abstractNum>
  <w:abstractNum w:abstractNumId="2">
    <w:nsid w:val="65748CE5"/>
    <w:multiLevelType w:val="singleLevel"/>
    <w:tmpl w:val="65748CE5"/>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9074E4A"/>
    <w:rsid w:val="1A7A2D98"/>
    <w:rsid w:val="1CDA0A39"/>
    <w:rsid w:val="28C51889"/>
    <w:rsid w:val="2AE11386"/>
    <w:rsid w:val="2D4C6AD2"/>
    <w:rsid w:val="2D5A6638"/>
    <w:rsid w:val="340D5924"/>
    <w:rsid w:val="3B046632"/>
    <w:rsid w:val="43B04001"/>
    <w:rsid w:val="4609551D"/>
    <w:rsid w:val="47D37242"/>
    <w:rsid w:val="4D2606A1"/>
    <w:rsid w:val="4DD42C22"/>
    <w:rsid w:val="503863D1"/>
    <w:rsid w:val="50796DE0"/>
    <w:rsid w:val="51B67F43"/>
    <w:rsid w:val="570A318A"/>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11</TotalTime>
  <ScaleCrop>false</ScaleCrop>
  <LinksUpToDate>false</LinksUpToDate>
  <CharactersWithSpaces>742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2024-08-13T12:14:26Z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