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812DA">
      <w:pPr>
        <w:spacing w:line="570" w:lineRule="exact"/>
        <w:jc w:val="center"/>
        <w:rPr>
          <w:rFonts w:ascii="华文中宋" w:hAnsi="华文中宋" w:eastAsia="华文中宋" w:cs="宋体"/>
          <w:b/>
          <w:kern w:val="0"/>
          <w:sz w:val="52"/>
          <w:szCs w:val="52"/>
        </w:rPr>
      </w:pPr>
    </w:p>
    <w:p w14:paraId="4CA2290C">
      <w:pPr>
        <w:spacing w:line="570" w:lineRule="exact"/>
        <w:jc w:val="center"/>
        <w:rPr>
          <w:rFonts w:ascii="华文中宋" w:hAnsi="华文中宋" w:eastAsia="华文中宋" w:cs="宋体"/>
          <w:b/>
          <w:kern w:val="0"/>
          <w:sz w:val="52"/>
          <w:szCs w:val="52"/>
        </w:rPr>
      </w:pPr>
    </w:p>
    <w:p w14:paraId="007A7135">
      <w:pPr>
        <w:spacing w:line="570" w:lineRule="exact"/>
        <w:jc w:val="center"/>
        <w:rPr>
          <w:rFonts w:ascii="华文中宋" w:hAnsi="华文中宋" w:eastAsia="华文中宋" w:cs="宋体"/>
          <w:b/>
          <w:kern w:val="0"/>
          <w:sz w:val="52"/>
          <w:szCs w:val="52"/>
        </w:rPr>
      </w:pPr>
    </w:p>
    <w:p w14:paraId="7DE0A91C">
      <w:pPr>
        <w:spacing w:line="570" w:lineRule="exact"/>
        <w:jc w:val="center"/>
        <w:rPr>
          <w:rFonts w:ascii="华文中宋" w:hAnsi="华文中宋" w:eastAsia="华文中宋" w:cs="宋体"/>
          <w:b/>
          <w:kern w:val="0"/>
          <w:sz w:val="52"/>
          <w:szCs w:val="52"/>
        </w:rPr>
      </w:pPr>
    </w:p>
    <w:p w14:paraId="5E696884">
      <w:pPr>
        <w:spacing w:line="570" w:lineRule="exact"/>
        <w:jc w:val="both"/>
        <w:rPr>
          <w:rFonts w:ascii="华文中宋" w:hAnsi="华文中宋" w:eastAsia="华文中宋" w:cs="宋体"/>
          <w:b/>
          <w:kern w:val="0"/>
          <w:sz w:val="52"/>
          <w:szCs w:val="52"/>
        </w:rPr>
      </w:pPr>
    </w:p>
    <w:p w14:paraId="4FB08B7D">
      <w:pPr>
        <w:spacing w:line="570" w:lineRule="exact"/>
        <w:jc w:val="center"/>
        <w:rPr>
          <w:rFonts w:ascii="华文中宋" w:hAnsi="华文中宋" w:eastAsia="华文中宋" w:cs="宋体"/>
          <w:b/>
          <w:kern w:val="0"/>
          <w:sz w:val="52"/>
          <w:szCs w:val="52"/>
        </w:rPr>
      </w:pPr>
    </w:p>
    <w:p w14:paraId="418B60F9">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470C480">
      <w:pPr>
        <w:spacing w:line="570" w:lineRule="exact"/>
        <w:jc w:val="center"/>
        <w:rPr>
          <w:rFonts w:ascii="华文中宋" w:hAnsi="华文中宋" w:eastAsia="华文中宋" w:cs="宋体"/>
          <w:b/>
          <w:kern w:val="0"/>
          <w:sz w:val="52"/>
          <w:szCs w:val="52"/>
        </w:rPr>
      </w:pPr>
    </w:p>
    <w:p w14:paraId="2637437B">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347A97EF">
      <w:pPr>
        <w:spacing w:line="570" w:lineRule="exact"/>
        <w:jc w:val="center"/>
        <w:rPr>
          <w:rFonts w:hAnsi="宋体" w:eastAsia="仿宋_GB2312" w:cs="宋体"/>
          <w:kern w:val="0"/>
          <w:sz w:val="30"/>
          <w:szCs w:val="30"/>
        </w:rPr>
      </w:pPr>
    </w:p>
    <w:p w14:paraId="16439B36">
      <w:pPr>
        <w:spacing w:line="570" w:lineRule="exact"/>
        <w:jc w:val="center"/>
        <w:rPr>
          <w:rFonts w:hAnsi="宋体" w:eastAsia="仿宋_GB2312" w:cs="宋体"/>
          <w:kern w:val="0"/>
          <w:sz w:val="30"/>
          <w:szCs w:val="30"/>
        </w:rPr>
      </w:pPr>
    </w:p>
    <w:p w14:paraId="7FCFD977">
      <w:pPr>
        <w:spacing w:line="570" w:lineRule="exact"/>
        <w:jc w:val="center"/>
        <w:rPr>
          <w:rFonts w:hAnsi="宋体" w:eastAsia="仿宋_GB2312" w:cs="宋体"/>
          <w:kern w:val="0"/>
          <w:sz w:val="30"/>
          <w:szCs w:val="30"/>
        </w:rPr>
      </w:pPr>
    </w:p>
    <w:p w14:paraId="51EE0FE3">
      <w:pPr>
        <w:spacing w:line="570" w:lineRule="exact"/>
        <w:jc w:val="center"/>
        <w:rPr>
          <w:rFonts w:hAnsi="宋体" w:eastAsia="仿宋_GB2312" w:cs="宋体"/>
          <w:kern w:val="0"/>
          <w:sz w:val="30"/>
          <w:szCs w:val="30"/>
        </w:rPr>
      </w:pPr>
    </w:p>
    <w:p w14:paraId="20E1FF1F">
      <w:pPr>
        <w:spacing w:line="570" w:lineRule="exact"/>
        <w:jc w:val="center"/>
        <w:rPr>
          <w:rFonts w:hAnsi="宋体" w:eastAsia="仿宋_GB2312" w:cs="宋体"/>
          <w:kern w:val="0"/>
          <w:sz w:val="30"/>
          <w:szCs w:val="30"/>
        </w:rPr>
      </w:pPr>
    </w:p>
    <w:p w14:paraId="7F5D9E2C">
      <w:pPr>
        <w:spacing w:line="570" w:lineRule="exact"/>
        <w:jc w:val="center"/>
        <w:rPr>
          <w:rFonts w:hAnsi="宋体" w:eastAsia="仿宋_GB2312" w:cs="宋体"/>
          <w:kern w:val="0"/>
          <w:sz w:val="30"/>
          <w:szCs w:val="30"/>
        </w:rPr>
      </w:pPr>
    </w:p>
    <w:p w14:paraId="25C1881B">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林木种苗技术指导与检查验收项目</w:t>
      </w:r>
    </w:p>
    <w:p w14:paraId="5C64B8B8">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喀什地区林木种苗管理站</w:t>
      </w:r>
    </w:p>
    <w:p w14:paraId="6E7835D7">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bookmarkStart w:id="0" w:name="_GoBack"/>
      <w:bookmarkEnd w:id="0"/>
      <w:r>
        <w:rPr>
          <w:rStyle w:val="18"/>
          <w:rFonts w:hint="eastAsia" w:ascii="仿宋" w:hAnsi="仿宋" w:eastAsia="仿宋" w:cs="仿宋"/>
          <w:b w:val="0"/>
          <w:bCs w:val="0"/>
          <w:spacing w:val="-4"/>
          <w:sz w:val="32"/>
          <w:szCs w:val="32"/>
          <w:lang w:eastAsia="zh-CN"/>
        </w:rPr>
        <w:t>新疆维吾尔自治区</w:t>
      </w:r>
      <w:r>
        <w:rPr>
          <w:rStyle w:val="18"/>
          <w:rFonts w:hint="eastAsia" w:ascii="仿宋" w:hAnsi="仿宋" w:eastAsia="仿宋" w:cs="仿宋"/>
          <w:b w:val="0"/>
          <w:bCs w:val="0"/>
          <w:spacing w:val="-4"/>
          <w:sz w:val="32"/>
          <w:szCs w:val="32"/>
        </w:rPr>
        <w:t>喀什地区林业和草原局</w:t>
      </w:r>
    </w:p>
    <w:p w14:paraId="096E01B6">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白玉龙</w:t>
      </w:r>
    </w:p>
    <w:p w14:paraId="67F35D73">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2024年03月11日</w:t>
      </w:r>
    </w:p>
    <w:p w14:paraId="51EABF61">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41DB914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488CD689">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5A550FD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项目遵循财政部《项目支出绩效评价管理办法》（财预〔2020〕10号）和自治区财政厅《自治区财政支出绩效评价管理暂行办法》（新财预〔2018〕189号）等相关政策文件与规定，并根据《中华人民共和国种子法》、中共中央国务院《关于坚持农业农村优先发展做好“三农”工作的若干意见》（中发〔2019〕1号）、《关于进一步推进特色林果业提质增效工程建设的通知》（新政办明电〔2019〕59号、《新疆维吾尔自治区林木良种补贴检查验收办法》、《新疆维吾尔自治区林业保障性苗圃管理办法（试行）》等法律、文件精神的申请立项，符合国家、自治区以及喀什地区等相关扶贫政策、规划和法律法规。推进喀什林木良种化进程，从而建成集良种繁育、引种、示范等多功能一体的综合性林木良种培育基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主体是喀什地区林木种苗管理站，项目负责人为阿布拉江·阿巴斯，主要职责为：按照自治区财政林木良种补贴项目要求和种质资源圃的要求，制订相应的管理办法，组织开展对6个县市的林木良种补贴项目和种质资源圃项目的育苗、苗木定植、种植、抚育等指导监督检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内容：本项目的实施内容，对全地区12处林木种苗生产苗圃（包括保障性苗圃、国家杏种质资源库等），开展指导技术服务，强化对各级、各类苗圃和生产基地的管理，有效提升林木种苗项目建设质量，促进特色林果业提质增效，增加农民收入，助力脱贫攻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情况：本项目的主管部门为喀什地区林业和草原局,实施主体单位为喀什地区林木种苗管理站，主要职责：负责组织开展对6个县市的林木良种补贴项目和种质资源圃项目的育苗、苗木定植、种植、抚育等技术指导、监督检查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实施时间：2023年1月-2023年12月。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林木种苗管理站性质为参照公务员管理的事业单位，财政全额拨款，纳入2023年部门决算编制的单位1个，执行会计制度为政府会计制度。独立编制机构1个，独立编制机构与上年无变动。机构编制和设置人员情况：喀什地区林木种苗管理站编制10人，参照公务员法管理，实际现有在职人员9人（含工勤人员1人），退休人员6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区林业和草原局《关于提前下达2023年自治区林草专项资金的通知》（新林规字〔2022〕133号）和喀什地区财政局《关于提前下达2023年中央林业改革发展资金预算的通知》（喀地财建〔2022〕127号），为中央林业改革发展资金(林草良种培育一良种苗木培育)资金，最终确定项目资金总数为2万元。截至2023年12月31日，实际支出2万元，预算执行率100%。</w:t>
      </w:r>
    </w:p>
    <w:p w14:paraId="687C2D0D">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17C0FFE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通过本项目的实施，对全地区12处林木种苗生产苗圃（包括国家级林木良种基地、国家级林木种质资源库和自治区林木良种基地、自治区林业保障性苗圃）及林木良种补贴项目实施地开展技术指导服务，强化对各级、各类苗圃和生产基地，以及项目实施的监督管理，有效提升林木种苗项目建设质量，促进特色林果业高质量发展，增加农民收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根据项目目标的年度绩效目标，对全地区12处林木种苗生产苗圃（包括国家级林木良种基地、国家级林木种质资源库和自治区林木良种基地、自治区林业保障性苗圃）及林木良种补贴项目实施地开展技术指导服务，强化对各级、各类苗圃和生产基地，以及项目实施的监督管理，有效提升林木种苗项目建设质量，促进特色林果业高质量发展，增加农民收入。前期对项目申请进行严格审核、筛选。根据拟申请预算项目，从相关性、预期绩效的可实现性、实施方案的有效性、预期绩效的可持续性及财政资金投入的可行性风险五个方面进行客观、公正的评估按照目标内容，进一步提高单位内部管理水平，加强风险防控，规范各项内部经济活动，严把决策过程，部门项目的立项依据充分，由业务人员根据工作实际情况，前期经过必要的调查、制定详细的项目目标和计划，以及项目实施方案，符合相关法规政策及部门职责，依据充分。根据项目进度安排：1、在3月对4个2023年中央财政林业改革发展资金（良种苗木培育补助）项目建设指导服务。2、5月对4个2023年中央财政林业改革发展资金（良种苗木培育补助）项目建设进行检查验收。3、11月对我区2处国家级林木良种基地、2处自治区级第一批种质资源库等良种基地建设管理进行服务指导及考核。监督检查验收，强化对各级、各类苗圃和生产基地，以及项目实施的过程监督管理，符合行业的发展和政策要求，与部门职责范围相符，属于部门履职所需。并符合中央、地方事权支出责任划分原则。遇重大事项提请单位党组会议研究，待党组会议研究通过后方可实施。与实际工作内容相关；预期产出效益和效果符合正常的业绩水平；与预算确定的项目投资额或资金量相匹配。我单位本年部门项目的立项依据充分，部门项目立项程序规范，绩效目标设置合理，预算编制科学有效，资金分配合理。决策过程科学规范、实施有效。</w:t>
      </w:r>
    </w:p>
    <w:p w14:paraId="3583A27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28855DC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500A221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通过评价林木种苗管理站专项业务工作经费项目的实施、过程及效果，最大发挥财政预算资金使用的效率及效益。本项目资金严格按照地区财政资金管理制度支付资金；资金支付由地区林业和草原局分管财务领导、地区林业和草原局办公室主任、财务科长等各级部门审批审核；资金的支付有完整的审批程序和手续符合制度要求；不存在截留、挤占、挪用、虚列支出等情况。达到了预期目标，全年完成了喀什地区全地区12处林木种苗生产苗圃（包括保障性苗圃、国家杏种质资源库等），开展指导技术服务，强化对各级、各类苗圃和生产基地的管理，有效提升林木种苗项目建设质量，促进特色林果业提质增效，增加农民收入，助力脱贫攻坚。促进喀什地区林木种苗产业快速健康发展。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本次评价对象为林木种苗管理站专项业务工作经费项目资金。评价范围包括本级预算资金的安排、组织及使用效益，实施情况、总体绩效目标、各项绩效指标完成情况以及预算执行情况进行科学性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本次评价范围涵盖项目总体绩效目标、各项绩效指标完成情况以及预算执行情况。覆盖项目预算资金支出的所有内容进行评价。包括项目决策、项目实施和项目成果验收流程等。</w:t>
      </w:r>
    </w:p>
    <w:p w14:paraId="4DDDFBD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3A23FA7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项目绩效评价体系为根据财预﹝2020﹞10号共性指标及个性化指标设置，主要分为共性指标和个性指标两大类。共性指标下设决策与过程3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本次绩效评价方法的选用比较法。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绩效评价标准通常包括计划标准、行业标准、历史标准等，用于对绩效指标完成情况进行比较、分析、评价。本次评价主要采用了计划标准、行业标准。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p>
    <w:p w14:paraId="0D28DEEE">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2E4C48F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白玉龙任评价组组长，绩效评价工作职责为负责全盘工作。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阿布拉江·阿巴斯任评价组副组长，绩效评价工作职责为对项目实施情况进行实地调查。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徐重林任评价组成员，绩效评价工作职责为负责资料审核等工作。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第三阶段：分析评价。首先按照指标体系进行定量、定性分析。其次开展量化打分、综合评价工作，形成初步评价结论。最后归纳整体项目情况与存在问题，撰写部门绩效评价报告。</w:t>
      </w:r>
    </w:p>
    <w:p w14:paraId="446E5D8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6DAD342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经评价组通过实地调研、综合分析法、问卷调查法等方式，主要采用成本效益分析法对项目的决策、实施、产出、效益进行综合评价分析。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70分（含）—80分）；差（0分—70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此项目达到了年初设立的绩效目标，在实施过程中取得了良好的成效，具体表现在以下：通过本项目的实施，对全地区12处林木种苗生产苗圃（包括保障性苗圃、国家杏种质资源库等），开展了指导技术服务，强化对各级、各类苗圃和生产基地的管理，提高了各类苗圃的育苗积极性，有效提升林木种苗项目建设质量和苗木品质，促进特色林果业提质增效，增加农民收入，助力脱贫攻坚，使受益的项目区很满意。该项目最终评分95分，绩效评级为优。</w:t>
      </w:r>
    </w:p>
    <w:p w14:paraId="3AB5BA3E">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0A71CD5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BB0B04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的立项符合相关法规政策及我单位的部门职责，单位主要职能：1、承担林木种苗行政执法、市场监管和行政许可制度的执行及许可证的监督管理。2、负责全地区林木种苗工作的行业管理、技术指导、监督检查等工作；3、负责组织林木种苗生产、调剂、储备工作，承担林木种苗信息引导服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充分，我站项目是中央补贴的差旅费补助的项目，按照规定的程序，经单位申请，由地区林草局专家组认真审查研究，核实该项目立足实际，实施方案符合新疆维吾尔自治区林业和草原局《关于做好2023年中央财政林业草原项目储备人库工作的通知》（新林规字〔2022〕177号）文件规定，立项依据准确全面，建设内容明确清晰，实施期限和范围符合文件要求及我区实际，投资预算合理合规，绩效目标明确，筹资渠道、保障措施、管理制度切实可行后，我单位将项目入项目储备库。后经上级部门批复，项目审批文件是《关于提前下达2023年自治区林草专项资金的通知》（新林规字〔2022〕133号）和喀什地区财政局《关于提前下达2023年中央林业改革发展资金预算的通知》（喀地财建〔2022〕127号）。材料符合相关要求。并根据2022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（2）立项程序规范性：根据决策依据编制工作计划和经费预算，经过与主管部门分管领导进行沟通、筛选确定经费预算计划，上党委会研究确定最终预算方案，根据评分标准，该指标不扣分，得3分。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（3）绩效目标合理性：制定了喀什地区林木种苗管理站2023年专项业务工作经费实施方案，明确了总体思路及目标、并对任务进行了详细分解，对目标进行了细化，根据评分标准，该指标不扣分，得3分。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将项目绩效目标细化分解为具体的绩效指标，一级指标3个、2级指标7个、三级指标12个。根据评分标准，该指标不扣分，得3分。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（6）资金分配合理性：资金分配与实际相适应，根据评分标准，该指标不扣分，得3分。</w:t>
      </w:r>
    </w:p>
    <w:p w14:paraId="1869BEE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6D05668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（1）资金到位率：预算金额2万元，实际到位资金2万元，资金到位率是100%，财政资金足额拨付到位，根据评分标准，该指标不扣分，得5分。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（2）预算执行率： 实际到位资金2万元，实际执行金额2万元，预算执行率是100%。 预算编制较为详细，项目资金支出总体能够按照预算执行，根据评分标准，该指标不扣分，得5分。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喀什地区种苗站项目管理制度》等相关的制度和管理规定，对经费使用按照《喀什地区种苗站项目管理制度》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（4）管理制度健全性：制定了《喀什地区种苗站项目管理制度》的项目相关管理办法，对财政专项资金进行严格管理，做到了专款专用，根据评分标准，该指标不扣分，得2分。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地区林木种苗管理站提出经费预算支出，按照2023年专项业务工作经费的项目实施方案，有财政相关部门审核，财务对项目资金的使用合法合规性进行监督，年底对资金使用效果进行自评，根据评分标准，该指标不扣分，得3分。</w:t>
      </w:r>
    </w:p>
    <w:p w14:paraId="5CE7F29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7021ABD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项目产出类指标包括产出数量、产出质量、产出时效、产出成本四方面的内容，由4个三级指标构成，权重分为40分，实际得分39分，得分率为97.5%。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指导服务国家级林木良种基地（处）指标，预期目标值为等于2处，实际完成值为2处，指标完成率为100%，印证资料为关于对英吉沙县、泽普县林草种苗工作检查指导情况的反馈意见，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指导服务自治区林木良种基地、保障性苗圃（处）指标，预期目标值为等于10处，实际完成值为10处，指标完成率为100%，印证资料为自治区林木良种基地、保障性苗圃指导服务方案、总结、简报、验收结果表，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培育良种苗木品质指标，预期目标值为大于等于2级，实际完成值为2级，指标完成率为100%，印证资料为验收结果表，与预期目标一致，根据评分标准，该指标不扣分，得4分。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技术指导服务覆盖率指标，预期目标值为等于100%，实际完成值为等于100%，指标完成率为100%，印证资料为自治区林木良种基地、保障性苗圃指导服务方案、总结、简报、验收结果表，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林木良种苗木培育任务完成率指标，预期目标值为大于等于85%，实际完成值为100%，指标完成率为117.65%，印证资料为自治区林木良种基地、保障性苗圃指导服务方案、总结、简报、验收结果表，与预期目标存在正偏差，根据评分标准，该指标扣1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产出质量得9分。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指导服务完成时限指标，预期目标值为2023年12月30日前，实际完成值为2023年12月30日前，指标完成率为100%，印证资料为验收结果表。根据评分标准，该指标不得分，得10分。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成本控制率指标，预期目标值为小于等于100%，实际完成值为等于100%，指标完成率为100%，印证资料为国库集中支付凭证和三栏明细账，与预期目标一致，根据评分标准，该指标不扣分，得10分。</w:t>
      </w:r>
    </w:p>
    <w:p w14:paraId="5979C19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7CCB458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提高广大育苗户积极性指标，预期目标值为有效提高，实际完成值为有效提高，指标完成率为100%，印证资料为工作照。与预期指标不一致，根据评分标准，该指标扣分，得5分。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该项目没有经济效益指标。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推动生态环境持续改善指标，预期目标值为有效推动，实际完成值为有效推动，指标完成率为100%，印证资料为工作照。与预期指标一致，根据评分标准，该指标不扣分，得5分。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林木良种培育项目区公众满意度指标，预期目标值为大于等于95%，实际完成值为等于100%，指标完成率为105.26%，印证资料为满意度调查汇总表。存在合理偏差，根据评分标准，该指标不扣分,得10分。</w:t>
      </w:r>
    </w:p>
    <w:p w14:paraId="531EB2E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0223A881">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林木种苗技术指导与检查验收项目，项目预算2万元，到位资金2万元，实际支出2万元，预算执行率为100%，项目绩效指标总体完成率为110%，偏差率为10%，偏差原因：林木良种苗木培育任务超额完成，满意度指标设置过低。</w:t>
      </w:r>
    </w:p>
    <w:p w14:paraId="2FBF9424">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3D141EE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在项目从初期开始实施一直到项目的最后结束的过程中，注重收集项目的实施资料，并严格按照《林木种苗技术指导与检查验收项目实施方案》执行。在实施过程中，有问题及时与分管项目的领导沟通协调，及时向地区林草局领导汇报项目执行进度，加强与项目实施单位的沟通，确保项目按期保质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1、项目林木良种苗木培育任务超额完成，绩效目标值设置不准确。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2、部分目标值设置偏低，未按实际情况合理设置目标。</w:t>
      </w:r>
    </w:p>
    <w:p w14:paraId="0111485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3402060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1、在计划项目实施中，根据实际情况，合理考虑突发情况的发生并制定相关预案，保质保量完成项目。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2、在设置目标值时，根据历年相关指标的完成情况合理设置目标值，保障设置的目标值无偏差或偏差较小。</w:t>
      </w:r>
    </w:p>
    <w:p w14:paraId="00BD0FB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3B6A1454">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7654DCA">
        <w:pPr>
          <w:pStyle w:val="12"/>
          <w:jc w:val="center"/>
        </w:pPr>
        <w:r>
          <w:fldChar w:fldCharType="begin"/>
        </w:r>
        <w:r>
          <w:instrText xml:space="preserve">PAGE   \* MERGEFORMAT</w:instrText>
        </w:r>
        <w:r>
          <w:fldChar w:fldCharType="separate"/>
        </w:r>
        <w:r>
          <w:rPr>
            <w:lang w:val="zh-CN"/>
          </w:rPr>
          <w:t>1</w:t>
        </w:r>
        <w:r>
          <w:fldChar w:fldCharType="end"/>
        </w:r>
      </w:p>
    </w:sdtContent>
  </w:sdt>
  <w:p w14:paraId="74B63FB4">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1364387"/>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2024-11-20T02:10:43Z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1B5954564AC54882B597A3D9302BBB27_12</vt:lpwstr>
  </property>
</Properties>
</file>