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18446B">
      <w:pPr>
        <w:spacing w:line="570" w:lineRule="exact"/>
        <w:jc w:val="center"/>
        <w:rPr>
          <w:rFonts w:ascii="华文中宋" w:hAnsi="华文中宋" w:eastAsia="华文中宋" w:cs="宋体"/>
          <w:b/>
          <w:kern w:val="0"/>
          <w:sz w:val="52"/>
          <w:szCs w:val="52"/>
        </w:rPr>
      </w:pPr>
      <w:bookmarkStart w:id="0" w:name="_GoBack"/>
      <w:bookmarkEnd w:id="0"/>
    </w:p>
    <w:p w14:paraId="26679412">
      <w:pPr>
        <w:spacing w:line="570" w:lineRule="exact"/>
        <w:jc w:val="center"/>
        <w:rPr>
          <w:rFonts w:ascii="华文中宋" w:hAnsi="华文中宋" w:eastAsia="华文中宋" w:cs="宋体"/>
          <w:b/>
          <w:kern w:val="0"/>
          <w:sz w:val="52"/>
          <w:szCs w:val="52"/>
        </w:rPr>
      </w:pPr>
    </w:p>
    <w:p w14:paraId="46CA027E">
      <w:pPr>
        <w:spacing w:line="570" w:lineRule="exact"/>
        <w:jc w:val="center"/>
        <w:rPr>
          <w:rFonts w:ascii="华文中宋" w:hAnsi="华文中宋" w:eastAsia="华文中宋" w:cs="宋体"/>
          <w:b/>
          <w:kern w:val="0"/>
          <w:sz w:val="52"/>
          <w:szCs w:val="52"/>
        </w:rPr>
      </w:pPr>
    </w:p>
    <w:p w14:paraId="237342DB">
      <w:pPr>
        <w:spacing w:line="570" w:lineRule="exact"/>
        <w:jc w:val="center"/>
        <w:rPr>
          <w:rFonts w:ascii="华文中宋" w:hAnsi="华文中宋" w:eastAsia="华文中宋" w:cs="宋体"/>
          <w:b/>
          <w:kern w:val="0"/>
          <w:sz w:val="52"/>
          <w:szCs w:val="52"/>
        </w:rPr>
      </w:pPr>
    </w:p>
    <w:p w14:paraId="0AD5FFFC">
      <w:pPr>
        <w:spacing w:line="570" w:lineRule="exact"/>
        <w:jc w:val="both"/>
        <w:rPr>
          <w:rFonts w:ascii="华文中宋" w:hAnsi="华文中宋" w:eastAsia="华文中宋" w:cs="宋体"/>
          <w:b/>
          <w:kern w:val="0"/>
          <w:sz w:val="52"/>
          <w:szCs w:val="52"/>
        </w:rPr>
      </w:pPr>
    </w:p>
    <w:p w14:paraId="25B4E766">
      <w:pPr>
        <w:spacing w:line="570" w:lineRule="exact"/>
        <w:jc w:val="center"/>
        <w:rPr>
          <w:rFonts w:ascii="华文中宋" w:hAnsi="华文中宋" w:eastAsia="华文中宋" w:cs="宋体"/>
          <w:b/>
          <w:kern w:val="0"/>
          <w:sz w:val="52"/>
          <w:szCs w:val="52"/>
        </w:rPr>
      </w:pPr>
    </w:p>
    <w:p w14:paraId="46DC0244">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14:paraId="5D07B28A">
      <w:pPr>
        <w:spacing w:line="570" w:lineRule="exact"/>
        <w:jc w:val="center"/>
        <w:rPr>
          <w:rFonts w:ascii="华文中宋" w:hAnsi="华文中宋" w:eastAsia="华文中宋" w:cs="宋体"/>
          <w:b/>
          <w:kern w:val="0"/>
          <w:sz w:val="52"/>
          <w:szCs w:val="52"/>
        </w:rPr>
      </w:pPr>
    </w:p>
    <w:p w14:paraId="2F946260">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14:paraId="53ECBFE9">
      <w:pPr>
        <w:spacing w:line="570" w:lineRule="exact"/>
        <w:jc w:val="center"/>
        <w:rPr>
          <w:rFonts w:hAnsi="宋体" w:eastAsia="仿宋_GB2312" w:cs="宋体"/>
          <w:kern w:val="0"/>
          <w:sz w:val="30"/>
          <w:szCs w:val="30"/>
        </w:rPr>
      </w:pPr>
    </w:p>
    <w:p w14:paraId="732BB416">
      <w:pPr>
        <w:spacing w:line="570" w:lineRule="exact"/>
        <w:jc w:val="center"/>
        <w:rPr>
          <w:rFonts w:hAnsi="宋体" w:eastAsia="仿宋_GB2312" w:cs="宋体"/>
          <w:kern w:val="0"/>
          <w:sz w:val="30"/>
          <w:szCs w:val="30"/>
        </w:rPr>
      </w:pPr>
    </w:p>
    <w:p w14:paraId="6C1A065D">
      <w:pPr>
        <w:spacing w:line="570" w:lineRule="exact"/>
        <w:jc w:val="center"/>
        <w:rPr>
          <w:rFonts w:hAnsi="宋体" w:eastAsia="仿宋_GB2312" w:cs="宋体"/>
          <w:kern w:val="0"/>
          <w:sz w:val="30"/>
          <w:szCs w:val="30"/>
        </w:rPr>
      </w:pPr>
    </w:p>
    <w:p w14:paraId="61AAD8AA">
      <w:pPr>
        <w:spacing w:line="570" w:lineRule="exact"/>
        <w:jc w:val="center"/>
        <w:rPr>
          <w:rFonts w:hAnsi="宋体" w:eastAsia="仿宋_GB2312" w:cs="宋体"/>
          <w:kern w:val="0"/>
          <w:sz w:val="30"/>
          <w:szCs w:val="30"/>
        </w:rPr>
      </w:pPr>
    </w:p>
    <w:p w14:paraId="1D146E70">
      <w:pPr>
        <w:spacing w:line="570" w:lineRule="exact"/>
        <w:jc w:val="center"/>
        <w:rPr>
          <w:rFonts w:hAnsi="宋体" w:eastAsia="仿宋_GB2312" w:cs="宋体"/>
          <w:kern w:val="0"/>
          <w:sz w:val="30"/>
          <w:szCs w:val="30"/>
        </w:rPr>
      </w:pPr>
    </w:p>
    <w:p w14:paraId="7620C616">
      <w:pPr>
        <w:spacing w:line="570" w:lineRule="exact"/>
        <w:jc w:val="center"/>
        <w:rPr>
          <w:rFonts w:hAnsi="宋体" w:eastAsia="仿宋_GB2312" w:cs="宋体"/>
          <w:kern w:val="0"/>
          <w:sz w:val="30"/>
          <w:szCs w:val="30"/>
        </w:rPr>
      </w:pPr>
    </w:p>
    <w:p w14:paraId="2CD288F7">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2023年自治区农业生产发展资金（农业防灾减灾）项目</w:t>
      </w:r>
    </w:p>
    <w:p w14:paraId="470C8ADD">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喀什地区植物保护站</w:t>
      </w:r>
    </w:p>
    <w:p w14:paraId="74F8AE36">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喀什地区农业农村局</w:t>
      </w:r>
    </w:p>
    <w:p w14:paraId="0C1518C7">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努尔麦麦提·吾守尔</w:t>
      </w:r>
    </w:p>
    <w:p w14:paraId="580C24CA">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2024年03月28日</w:t>
      </w:r>
    </w:p>
    <w:p w14:paraId="63ADF17B">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14:paraId="4BB75C6B">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14:paraId="323C01AC">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14:paraId="236A8EC7">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根据《自治区财政厅关于下达2023年自治区农业生产发展资金（农业防灾减灾）预算的通知》（新财农〔2023〕32号）及《喀什地区财政局关于提供2023年自治区农业生产发展资金（农业防灾减灾）预算分配方案的工作提醒》，2023年度自治区下达喀什地区转移支付农业生产救灾资金资金60万元，由地区植物保护站负责实施。此项目主要用于小麦重大病虫害防控10万元；代自治区植物保护站储备重大病虫疫情应急防控物资（化学农药）50万元（由自治区植物保护站根据全区病虫疫情发生危害情况统筹调配使用），上报喀什地区财政局绩效办及政采云预算均为60万元。2. 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2023年度自治区下达喀什地区转移支付农业生产救灾资金资金60万元，由地区植物保护站负责实施。此项目主要用于小麦重大病虫害防控10万元；代自治区植物保护站储备重大病虫疫情应急防控物资（化学农药）50万元（由自治区植物保护站根据全区病虫疫情发生危害情况统筹调配使用）。根据《自治区财政厅关于下达2023年自治区农业生产发展资金（农业防灾减灾）预算的通知》（新财农〔2023〕32号）共安排下达资金60万元，为自治区农业生产发展资金资金，最终确定项目资金总数为60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截至2023年12月31日，实际支出51.7438万元，预算执行率86.23%。</w:t>
      </w:r>
    </w:p>
    <w:p w14:paraId="2F41D839">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14:paraId="09643CA8">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代自治区植保站储备化学农药50万元，采购农作物病虫害防控化学农药品种9个，完成应急防控物资储备；用于喀什地区本级开展小麦重大病虫害防控10万元，有效遏制小麦重大病虫害暴发流行成灾。有力保障粮食安全和农业生产安全。采购物资或服务价格不超过市场价格。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2023年6月13日，项目资金已到位。经和地区财政局采购办及时对接，地区采购办审核批准通过政采云在线询价方式进行挂网采购。2023年6月27日，农业生产救灾60万物资采购已挂网。截至投标截止时间，共有喀什市农喜乐农资有限公司、新疆绿星生物技术有限公司和喀什绿丰源农资有限公司等3家供应商参加投标，报价分别是56.082万元、55.0万元和47.0398万元。2023年7月25日，政采云平台自动开标产生成交通知书，由喀什绿丰源农资有限公司以47.0398万元的最低价成为中标企业。供应商根据物资采购清单提供农药，经验收合格后，2023年8月15日完成国库集中支付。</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为尽快完成项目建设任务，2023年8月地区植保站计划对剩余资金12.9602万元进行政采云网上超市追加采购，在提交申请时系统提示无法关联预算（此步骤为必选项）。为了解决此问题，植保站及时与系统技术员联系未得到解决，并向本局计财科、农综中心、质检中心寻求帮助；同时多次赴地区财政局采购办对接询问，地区采购办答复：2023年以前系统无关联预算项，今年开始巡察、审计部门要求地区级系统升级必须关联预算，地区植保站经系统询价最低价中标相当于用最少的项目资金完成了采购计划，对剩余资金只能再追加中标合同价的10%（最后结余资金财政预收回）。9月18日植保站按要求完成10%追加，国库集中支付4.7039万元。</w:t>
      </w:r>
    </w:p>
    <w:p w14:paraId="308E5F76">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14:paraId="65754433">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14:paraId="44579832">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 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14:paraId="48685C83">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14:paraId="4F5571B5">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（二）绩效评价原则、评价指标体系、评价方法评价标准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 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1个二级指标。项目绩效评价体系详见附件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本次评价采用定量与定性评价相结合的比较法和公众评判法，总分由各项指标得分汇总形成。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公众评判法：是指通过专家评估、公众问卷及抽样调查等对财政支出效果进行评判，评价绩效目标实现程度。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计划标准：指以预先制定的目标、计划、预算、定额等作为评价标准。</w:t>
      </w:r>
    </w:p>
    <w:p w14:paraId="0FE0C21E">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14:paraId="0B5D8D8E">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（三）绩效评价工作过程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第一阶段：前期准备。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努尔麦麦提·吾守尔任评价组组长，绩效评价工作职责为负责全盘工作。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于文成任评价组副组长，绩效评价工作职责为为对项目实施情况进行实地调查。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吾斯曼艾力·克力木任评价组成员，绩效评价工作职责为负责资料审核等工作。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第三阶段：分析评价。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14:paraId="7D542B3C">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14:paraId="3EB01461">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通过实施自治区农业生产发展资金项目产生社会效益。项目实施主要通过项目决策、项目过程、项目产出以及项目效益等方面进行评价，其中：</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项目决策：该项目主要通过《自治区财政厅关于下达2023年自治区农业生产发展资金（农业防灾减灾）预算的通知》（新财农〔2023〕32号）文件立项，项目实施符合农业防灾减灾要求，项目立项依据充分，立项程序规范。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喀什地区2023年自治区农业生产发展资金（农业防灾减灾）项目预算安排60万元，实际支出51.7438万元，预算执行率86.23%。项目资金使用合规，项目财务管理制度健全，财务监控到位，所有资金支付均按照国库集中支付制度严格执行，现有项目管理制度执行情况良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采购农作物病虫害防控化学农药品种（个）指标值为≥9(个)，实际完成9个，在线询价中标金额为40.172万元，采购化学数量2900公斤，同时对政府在线询价合同价进行10%的追加4.7039万元20%阿维·联苯肼247.578公斤以上,采购的9种化学农药3147.578公斤，支付项目资金44.8759万元，化学采购物资全部完成验收、入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采购农作物病虫害防控化学农药品种（个）指标值为≥8(个)，实际完成8个，完成率100%、偏差率0%。在线询价中标金额为6.867875万元(含招标中1.5万元无人机飞防任务)，采购化学数量785公斤。</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通过实施此项目产生建立冬小麦绿色高产高效创建植保技术示范区面积900亩，辐射带动0.9万亩，示范区小麦理论亩单产为669.52kg（实收单产616.25kg），比空白对照（603.57）均增产65.95kg，增产率10.93%，达到了提高了示范片作物抗旱、抗倒伏、抗病能力，降低了病虫灾害程度，实现增产和改善品质，取得了较好的收成，为粮食提质增效起到了很好的示范作用良好的经济和社会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喀什地区2023年自治区农业生产发展资金（农业防灾减灾）项目进行客观评价，最终评分结果：评价总分93.75分，绩效等级为“优”。</w:t>
      </w:r>
    </w:p>
    <w:p w14:paraId="26774C30">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14:paraId="5D87081D">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14:paraId="25E9B9F1">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（1）立项依据充分性：喀什地区2023年自治区农业生产救灾发展资金使用要求，结合地区植物保护站职责，并组织实施。围绕2023年度工作重点和工作计划制定经费预算，根据评分标准，该指标不扣分，得3分。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立项程序规范性：根据喀什地区2023年自治区农业生产救灾发展资金使用要求，决策依据编制工作计划和经费预算，经过与地区农业农村局分管领导进行沟通、筛选确定经费预算计划，上党委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（3）绩效目标合理性：喀什地区2023年自治区农业生产救灾发展资金使用要求制定了实施方案，明确了总体思路及目标、并对任务进行了详细分解，对目标进行了细化，根据评分标准，该指标不扣分，得3分。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（4）绩效指标明确性： 将喀什地区2023年自治区农业生产救灾项目绩效目标细化分解为具体的绩效指标，根据一级指标4个，二级指标6个，三级指标7个评分标准，该指标不扣分，得2分。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 预算编制经过科学论证，内容与喀什地区2023年自治区农业生产救灾项目内容匹配，项目投资额代自治区植保站储备化学农药50万，开展小麦重大病虫害防控成本10万，总60万与工作任务相匹配，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（6）资金分配合理性：自治区植保站储备化学农药50万，开展小麦重大病虫害防控成本10万，总60万资金分配与实际相适应，根据评分标准，该指标不扣分，得2分。</w:t>
      </w:r>
    </w:p>
    <w:p w14:paraId="2006ECD5">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14:paraId="08C25365">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（二）项目过程情况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5个三级指标构成，权重分为20分，实际得分18.79分，得分率为93.95%。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（1）资金到位率：预算执行率=（实际支出资金/实际到位资金）×100%，100%=（99.6/99.6）×100%，财政资金60.0万足额拨付到位，根据评分标准，该指标不扣分，得3分。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预算执行率：预算执行率=（实际支出资金/实际到位资金）×100%，100%=（99.6/99.6）×100%，预算编制较为详细，项目资金支出总体能够按照预算执行，预算执行率86.21%，根据评分标准，该指标扣1.03分，得1.97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（3）资金使用合规性：制定了喀什地区植物保护站相关制度和管理规定对经费使用进行规范管理，财务制度健全、执行严格，根据评分标准，该指标不扣分，得4分。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（4）管理制度健全性：制定了喀什地区植物保护站财务相关管理办法，对财政专项资金进行严格管理，基本做到了专款专用，根据评分标准，该指标不扣分，得5分。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由喀什地区植物保护站提出经费预算支出可行性方案，经过与喀什地区农业农村局分管领导沟通后，报党支部会议研究执行，财务对资金的使用合法合规性进行监督，年底对资金使用效果进行自评，根据评分标准，该指标不扣分，得5分。</w:t>
      </w:r>
    </w:p>
    <w:p w14:paraId="2CA7D9F8">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14:paraId="3BD2174A">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（三）项目产出情况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项目产出类指标包括产出数量、产出质量、产出时效、产出成本四方面的内容，由5个三级指标构成，权重分为45分，实际得分39.78分，得分率为88.4%。</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小麦重大病虫害防控指标，预期指标值为大于等于1万亩，实际完成值为1万亩，指标完成率为100%，与预期目标一致，根据评分标准，该指标不扣分，得10分。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防控效果达标率指标，预期指标值为大于等于95%，实际完成值为95%，指标完成率为100%，与预期目标一致，根据评分标准，该指标不扣分，得10分。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农作物病虫疫情监控防控防治组织实施及时性指标，预期目标值为等于100%，实际完成值为100%，指标完成率为100%，与预期目标一致，根据评分标准，该指标不扣分，得3分。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代自治区植保站储备化学农药指标，预期目标值为小于等于50万，实际完成值为43.18万元，指标完成率86.36%，与预期目标有差距，偏差原因：供应商实际报价低于预算价，资金结余，导致指标出现偏差。改进措施：计划2024年继续购买化学农药。项目经费都能控制绩效目标范围内，根据评分标准，该指标不扣2.56分，得4.94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开展小麦重大病虫害防控成本指标，预期目标值为小于等于10万，实际完成值为8.5万元，指标完成率85.8%，与预期目标有差距，偏差原因：供应商实际报价低于预算价，导致小麦重大病虫物资，导致资金结余。导致指标出现偏差。改进措施：2024年继续采购并支付相关费用。项目经费都能控制绩效目标范围内，根据评分标准，该指标扣2.66分，得4.84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合计得9.78分。</w:t>
      </w:r>
    </w:p>
    <w:p w14:paraId="4766AB5D">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14:paraId="00033AF8">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（四）项目效益情况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防灾措施保障粮食安全和农业生产安全效果指标，预期目标值为保障，实际完成值为保障，指标完成率100%，与预期指标一致，根据评分标准，该指标不扣分，得10分。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实施效益指标合计得10分。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（4）满意度指标分析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对于“满意度指标：农药使用人员满意度，该指标预期指标值为等于100%，实际完成值为100%，指标完成率为100%，与预期目标一致，根据评分标准，该指标扣10分,得10分。</w:t>
      </w:r>
    </w:p>
    <w:p w14:paraId="64B78452">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14:paraId="3EF975E4">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喀什地区2023年自治区农业生产发展资金（农业防灾减灾）项目预算资金60万元，到位资金60万元，实际支出51.7438万元，预算执行率为86.23%，项目绩效指标总体完成率为92.5%，偏差率为6.27%,偏差原因：政采云系统升级无法关联预算致结余资金无法使用，结转到2024年度继续实施，采取的措施：剩余的8.256137元计划2024年继续购买化学农药。</w:t>
      </w:r>
    </w:p>
    <w:p w14:paraId="73E25488">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14:paraId="6A96CD56">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采购物资或服务价格，所采购物资均按程序在“政采云”开展，经过做采购计划申请、主管局和政府采购办审批后采购，单位主要领导、财务人员审核后进行项目资金支付。本项目实施符合国家、自治区和地区相关工作要求，充分发挥2023年自治区农业生产发展资金（农业防灾减灾）效用，进一步促进小麦重大病虫害监测防控工作，抓好防灾减灾和稳产增产关键技术措施落实，应对突发重大农业病虫疫情，保障农业生产安全，努力实现粮食稳产高产。不存在负面违规内容，实施效益明显。</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二是本项目能够严格按照《项目实施方案》执行，通过政采云在线询价程序，做到了公开、公平、招标。三是加强沟通协调，我单位及时向领导汇报项目建设进度，</w:t>
      </w:r>
      <w:r>
        <w:rPr>
          <w:rStyle w:val="18"/>
          <w:rFonts w:hint="eastAsia" w:ascii="仿宋" w:hAnsi="仿宋" w:eastAsia="仿宋" w:cs="仿宋"/>
          <w:b w:val="0"/>
          <w:bCs w:val="0"/>
          <w:spacing w:val="-4"/>
          <w:sz w:val="32"/>
          <w:szCs w:val="32"/>
          <w:lang w:eastAsia="zh-CN"/>
        </w:rPr>
        <w:t>想方设法</w:t>
      </w:r>
      <w:r>
        <w:rPr>
          <w:rStyle w:val="18"/>
          <w:rFonts w:hint="eastAsia" w:ascii="仿宋" w:hAnsi="仿宋" w:eastAsia="仿宋" w:cs="仿宋"/>
          <w:b w:val="0"/>
          <w:bCs w:val="0"/>
          <w:spacing w:val="-4"/>
          <w:sz w:val="32"/>
          <w:szCs w:val="32"/>
        </w:rPr>
        <w:t>加快项目执行。</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对各项指标和指标值要进一步优化、完善，主要在细化、量化上改进，二是自评价工作还存在自我审定的局限性，会影响评价质量，容易造成问题的疏漏，在客观性和公正性上说服力不强。三是供应商实际报价低于预算价，2023资金结余，剩余的8.256137元计划2024年继续购买化学农药。</w:t>
      </w:r>
    </w:p>
    <w:p w14:paraId="2772222A">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14:paraId="1EB8E463">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1.严格按照实施方案进行采购，严禁出现违规现象，经得起各级检查、审计。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2.评价工作应从项目实施方案源头抓起，评价工作和意识应贯穿项目整个过程。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3.项目绩效评价指标需研究指导进一步规范。上级部门随文下达的指标，实施单位参照指标完成项目实施，但做绩效评价时让自行增加指标，建议按照上级文件中的绩效目标指标做好本级对应绩效指标。</w:t>
      </w:r>
    </w:p>
    <w:p w14:paraId="03C06C07">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14:paraId="2D090A00">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2000000000000000000"/>
    <w:charset w:val="86"/>
    <w:family w:val="auto"/>
    <w:pitch w:val="default"/>
    <w:sig w:usb0="A00002BF" w:usb1="38CF7CFA" w:usb2="00082016" w:usb3="00000000" w:csb0="00040001" w:csb1="00000000"/>
  </w:font>
  <w:font w:name="方正小标宋_GBK">
    <w:panose1 w:val="02000000000000000000"/>
    <w:charset w:val="86"/>
    <w:family w:val="script"/>
    <w:pitch w:val="default"/>
    <w:sig w:usb0="A00002BF" w:usb1="38CF7CFA" w:usb2="00082016" w:usb3="00000000" w:csb0="00040001" w:csb1="00000000"/>
  </w:font>
  <w:font w:name="方正黑体_GBK">
    <w:panose1 w:val="02000000000000000000"/>
    <w:charset w:val="86"/>
    <w:family w:val="auto"/>
    <w:pitch w:val="default"/>
    <w:sig w:usb0="A00002BF" w:usb1="38CF7CFA" w:usb2="00082016" w:usb3="00000000" w:csb0="00040001" w:csb1="00000000"/>
  </w:font>
  <w:font w:name="方正楷体_GBK">
    <w:panose1 w:val="02000000000000000000"/>
    <w:charset w:val="86"/>
    <w:family w:val="auto"/>
    <w:pitch w:val="default"/>
    <w:sig w:usb0="A00002BF" w:usb1="38CF7CFA" w:usb2="00082016" w:usb3="00000000" w:csb0="00040001"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5D71217E">
        <w:pPr>
          <w:pStyle w:val="12"/>
          <w:jc w:val="center"/>
        </w:pPr>
        <w:r>
          <w:fldChar w:fldCharType="begin"/>
        </w:r>
        <w:r>
          <w:instrText xml:space="preserve">PAGE   \* MERGEFORMAT</w:instrText>
        </w:r>
        <w:r>
          <w:fldChar w:fldCharType="separate"/>
        </w:r>
        <w:r>
          <w:rPr>
            <w:lang w:val="zh-CN"/>
          </w:rPr>
          <w:t>1</w:t>
        </w:r>
        <w:r>
          <w:fldChar w:fldCharType="end"/>
        </w:r>
      </w:p>
    </w:sdtContent>
  </w:sdt>
  <w:p w14:paraId="0BE0525F">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1820425C"/>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18</Pages>
  <Words>110</Words>
  <Characters>633</Characters>
  <Lines>5</Lines>
  <Paragraphs>1</Paragraphs>
  <TotalTime>1</TotalTime>
  <ScaleCrop>false</ScaleCrop>
  <LinksUpToDate>false</LinksUpToDate>
  <CharactersWithSpaces>742</CharactersWithSpaces>
  <Application>WPS Office_12.8.2.18606_F1E327BC-269C-435d-A152-05C5408002CA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Administrator</cp:lastModifiedBy>
  <cp:lastPrinted>2018-12-31T10:56:00Z</cp:lastPrinted>
  <dcterms:modified xsi:type="dcterms:W3CDTF">2024-11-20T03:16:08Z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2052-12.8.2.18606</vt:lpwstr>
  </property>
  <property fmtid="{D5CDD505-2E9C-101B-9397-08002B2CF9AE}" pid="3" name="ICV">
    <vt:lpwstr>AA357F2B460C4146AF06E011FAD8961F_12</vt:lpwstr>
  </property>
</Properties>
</file>