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方正仿宋_GBK" w:cs="Times New Roman"/>
          <w:sz w:val="32"/>
          <w:szCs w:val="32"/>
        </w:rPr>
      </w:pPr>
    </w:p>
    <w:p>
      <w:pPr>
        <w:rPr>
          <w:rFonts w:hint="default" w:ascii="Times New Roman" w:hAnsi="Times New Roman" w:eastAsia="方正仿宋_GBK" w:cs="Times New Roman"/>
          <w:sz w:val="32"/>
          <w:szCs w:val="32"/>
        </w:rPr>
      </w:pPr>
    </w:p>
    <w:p>
      <w:pPr>
        <w:rPr>
          <w:rFonts w:hint="default" w:ascii="Times New Roman" w:hAnsi="Times New Roman" w:eastAsia="方正仿宋_GBK" w:cs="Times New Roman"/>
          <w:sz w:val="32"/>
          <w:szCs w:val="32"/>
        </w:rPr>
      </w:pPr>
    </w:p>
    <w:p>
      <w:pPr>
        <w:rPr>
          <w:rFonts w:hint="default" w:ascii="Times New Roman" w:hAnsi="Times New Roman" w:eastAsia="方正仿宋_GBK" w:cs="Times New Roman"/>
          <w:sz w:val="32"/>
          <w:szCs w:val="32"/>
        </w:rPr>
      </w:pPr>
    </w:p>
    <w:p>
      <w:pPr>
        <w:rPr>
          <w:rFonts w:hint="default" w:ascii="Times New Roman" w:hAnsi="Times New Roman" w:eastAsia="方正仿宋_GBK" w:cs="Times New Roman"/>
          <w:sz w:val="32"/>
          <w:szCs w:val="32"/>
        </w:rPr>
      </w:pPr>
    </w:p>
    <w:p>
      <w:pPr>
        <w:rPr>
          <w:rFonts w:hint="default" w:ascii="Times New Roman" w:hAnsi="Times New Roman" w:eastAsia="方正仿宋_GBK" w:cs="Times New Roman"/>
          <w:sz w:val="32"/>
          <w:szCs w:val="32"/>
        </w:rPr>
      </w:pPr>
    </w:p>
    <w:p>
      <w:pPr>
        <w:jc w:val="center"/>
        <w:rPr>
          <w:rFonts w:hint="default" w:ascii="Times New Roman" w:hAnsi="Times New Roman" w:cs="Times New Roman" w:eastAsiaTheme="majorEastAsia"/>
          <w:b/>
          <w:bCs/>
          <w:sz w:val="44"/>
          <w:szCs w:val="44"/>
        </w:rPr>
      </w:pPr>
      <w:r>
        <w:rPr>
          <w:rFonts w:hint="default" w:ascii="Times New Roman" w:hAnsi="Times New Roman" w:cs="Times New Roman" w:eastAsiaTheme="majorEastAsia"/>
          <w:b/>
          <w:bCs/>
          <w:sz w:val="44"/>
          <w:szCs w:val="44"/>
        </w:rPr>
        <w:t>部门单位项目支出绩效评价报告</w:t>
      </w:r>
    </w:p>
    <w:p>
      <w:pPr>
        <w:jc w:val="center"/>
        <w:rPr>
          <w:rFonts w:hint="default" w:ascii="Times New Roman" w:hAnsi="Times New Roman" w:cs="Times New Roman" w:eastAsiaTheme="majorEastAsia"/>
          <w:b/>
          <w:bCs/>
          <w:sz w:val="44"/>
          <w:szCs w:val="44"/>
        </w:rPr>
      </w:pPr>
    </w:p>
    <w:p>
      <w:pPr>
        <w:jc w:val="center"/>
        <w:rPr>
          <w:rFonts w:hint="default" w:ascii="Times New Roman" w:hAnsi="Times New Roman" w:cs="Times New Roman" w:eastAsiaTheme="majorEastAsia"/>
          <w:sz w:val="40"/>
          <w:szCs w:val="40"/>
        </w:rPr>
      </w:pPr>
      <w:r>
        <w:rPr>
          <w:rFonts w:hint="default" w:ascii="Times New Roman" w:hAnsi="Times New Roman" w:cs="Times New Roman" w:eastAsiaTheme="majorEastAsia"/>
          <w:b/>
          <w:bCs/>
          <w:sz w:val="44"/>
          <w:szCs w:val="44"/>
        </w:rPr>
        <w:t>（</w:t>
      </w:r>
      <w:r>
        <w:rPr>
          <w:rFonts w:hint="default" w:ascii="Times New Roman" w:hAnsi="Times New Roman" w:cs="Times New Roman" w:eastAsiaTheme="majorEastAsia"/>
          <w:b w:val="0"/>
          <w:bCs w:val="0"/>
          <w:sz w:val="44"/>
          <w:szCs w:val="44"/>
        </w:rPr>
        <w:t>2023</w:t>
      </w:r>
      <w:r>
        <w:rPr>
          <w:rFonts w:hint="default" w:ascii="Times New Roman" w:hAnsi="Times New Roman" w:cs="Times New Roman" w:eastAsiaTheme="majorEastAsia"/>
          <w:b/>
          <w:bCs/>
          <w:sz w:val="44"/>
          <w:szCs w:val="44"/>
        </w:rPr>
        <w:t>年度）</w:t>
      </w:r>
    </w:p>
    <w:p>
      <w:pPr>
        <w:rPr>
          <w:rFonts w:hint="default" w:ascii="Times New Roman" w:hAnsi="Times New Roman" w:eastAsia="方正仿宋_GBK" w:cs="Times New Roman"/>
          <w:sz w:val="32"/>
          <w:szCs w:val="32"/>
        </w:rPr>
      </w:pPr>
    </w:p>
    <w:p>
      <w:pPr>
        <w:rPr>
          <w:rFonts w:hint="default" w:ascii="Times New Roman" w:hAnsi="Times New Roman" w:eastAsia="方正仿宋_GBK" w:cs="Times New Roman"/>
          <w:sz w:val="32"/>
          <w:szCs w:val="32"/>
        </w:rPr>
      </w:pPr>
      <w:bookmarkStart w:id="0" w:name="_GoBack"/>
      <w:bookmarkEnd w:id="0"/>
    </w:p>
    <w:p>
      <w:pPr>
        <w:rPr>
          <w:rFonts w:hint="default" w:ascii="Times New Roman" w:hAnsi="Times New Roman" w:eastAsia="方正仿宋_GBK" w:cs="Times New Roman"/>
          <w:sz w:val="32"/>
          <w:szCs w:val="32"/>
        </w:rPr>
      </w:pPr>
    </w:p>
    <w:p>
      <w:pPr>
        <w:rPr>
          <w:rFonts w:hint="default" w:ascii="Times New Roman" w:hAnsi="Times New Roman" w:eastAsia="方正仿宋_GBK" w:cs="Times New Roman"/>
          <w:sz w:val="32"/>
          <w:szCs w:val="32"/>
        </w:rPr>
      </w:pPr>
    </w:p>
    <w:p>
      <w:pPr>
        <w:rPr>
          <w:rFonts w:hint="default" w:ascii="Times New Roman" w:hAnsi="Times New Roman" w:eastAsia="方正仿宋_GBK" w:cs="Times New Roman"/>
          <w:sz w:val="32"/>
          <w:szCs w:val="32"/>
        </w:rPr>
      </w:pPr>
    </w:p>
    <w:p>
      <w:pPr>
        <w:rPr>
          <w:rFonts w:hint="default" w:ascii="Times New Roman" w:hAnsi="Times New Roman" w:eastAsia="方正仿宋_GBK" w:cs="Times New Roman"/>
          <w:sz w:val="32"/>
          <w:szCs w:val="32"/>
        </w:rPr>
      </w:pPr>
    </w:p>
    <w:p>
      <w:pPr>
        <w:ind w:left="1600" w:hanging="1600" w:hangingChars="5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项目名称：</w:t>
      </w:r>
      <w:r>
        <w:rPr>
          <w:rFonts w:hint="default" w:ascii="Times New Roman" w:hAnsi="Times New Roman" w:eastAsia="方正仿宋_GBK" w:cs="Times New Roman"/>
          <w:sz w:val="32"/>
          <w:szCs w:val="32"/>
        </w:rPr>
        <w:t>喀什地区2015—2020年新一轮退耕还草工程检查评估项目</w:t>
      </w: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实施单位（公章）：</w:t>
      </w:r>
      <w:r>
        <w:rPr>
          <w:rFonts w:hint="default" w:ascii="Times New Roman" w:hAnsi="Times New Roman" w:eastAsia="方正仿宋_GBK" w:cs="Times New Roman"/>
          <w:sz w:val="32"/>
          <w:szCs w:val="32"/>
        </w:rPr>
        <w:t>喀什地区草原站</w:t>
      </w: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主管部门（公章）：</w:t>
      </w:r>
      <w:r>
        <w:rPr>
          <w:rFonts w:hint="default" w:ascii="Times New Roman" w:hAnsi="Times New Roman" w:eastAsia="方正仿宋_GBK" w:cs="Times New Roman"/>
          <w:sz w:val="32"/>
          <w:szCs w:val="32"/>
        </w:rPr>
        <w:t xml:space="preserve"> 喀什地区林业和草原局</w:t>
      </w: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项目负责人（签章）：</w:t>
      </w:r>
      <w:r>
        <w:rPr>
          <w:rFonts w:hint="default" w:ascii="Times New Roman" w:hAnsi="Times New Roman" w:eastAsia="方正仿宋_GBK" w:cs="Times New Roman"/>
          <w:sz w:val="32"/>
          <w:szCs w:val="32"/>
        </w:rPr>
        <w:t>周乐</w:t>
      </w: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填报时间：</w:t>
      </w:r>
      <w:r>
        <w:rPr>
          <w:rFonts w:hint="default" w:ascii="Times New Roman" w:hAnsi="Times New Roman" w:eastAsia="方正仿宋_GBK" w:cs="Times New Roman"/>
          <w:sz w:val="32"/>
          <w:szCs w:val="32"/>
        </w:rPr>
        <w:t>2024年04月11日</w:t>
      </w: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一、基本情况</w:t>
      </w:r>
    </w:p>
    <w:p>
      <w:pPr>
        <w:keepNext w:val="0"/>
        <w:keepLines w:val="0"/>
        <w:pageBreakBefore w:val="0"/>
        <w:widowControl w:val="0"/>
        <w:kinsoku/>
        <w:wordWrap/>
        <w:overflowPunct/>
        <w:topLinePunct w:val="0"/>
        <w:autoSpaceDE/>
        <w:autoSpaceDN/>
        <w:bidi w:val="0"/>
        <w:adjustRightInd/>
        <w:snapToGrid/>
        <w:spacing w:line="570" w:lineRule="exact"/>
        <w:ind w:firstLine="643" w:firstLineChars="200"/>
        <w:textAlignment w:val="auto"/>
        <w:rPr>
          <w:rFonts w:hint="eastAsia"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（一）项目概况。</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 项目背景</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项目遵循财政部《项目支出绩效评价管理办法》（财预〔2020〕10号）和自治区财政厅《自治区财政支出绩效评价管理暂行办法》（新财预〔2018〕189号）等相关政策文件与规定，旨在评价喀什地区2015—2020年新一轮退耕还草工程检查评估项目项目实施前期、过程及效果，评价财政预算资金使用的效率及效益。通过该项目的实施，加强退耕还草工程的监督检查，全面掌握和客观评价各项目县23.8107万亩退耕还草工程建设情况，评估建设质量和成效，建立退耕还草工程检查评估体系，切实推进退耕还草工程顺利实施。</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 主要内容及实施情况</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根据《关于印发〈新疆维吾尔自治区新一轮退耕还林还草工程管理办法（暂行）的通知〉》（新发改西开[2018]388号）文件中第三十九条要求，喀什地区草原站委托具备相关林草调查设计规划资质条件的第三方对我区11个县的退耕还草项目开展外业及内业检查评估，外业工作包括面积测量、草种确认、植被覆盖度、矢量数据与现地真实性检查、检查评估数据库建设等；内业包括档案资料、资金使用及支付、任务完成、项目管理等内容开展检查评估。喀什地区草原站负责监督及验收。</w:t>
      </w:r>
    </w:p>
    <w:p>
      <w:pPr>
        <w:keepNext w:val="0"/>
        <w:keepLines w:val="0"/>
        <w:pageBreakBefore w:val="0"/>
        <w:widowControl w:val="0"/>
        <w:numPr>
          <w:numId w:val="0"/>
        </w:numPr>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eastAsia" w:eastAsia="方正仿宋_GBK" w:cs="Times New Roman"/>
          <w:sz w:val="32"/>
          <w:szCs w:val="32"/>
          <w:lang w:val="en-US" w:eastAsia="zh-CN"/>
        </w:rPr>
        <w:t>3.</w:t>
      </w:r>
      <w:r>
        <w:rPr>
          <w:rFonts w:hint="default" w:ascii="Times New Roman" w:hAnsi="Times New Roman" w:eastAsia="方正仿宋_GBK" w:cs="Times New Roman"/>
          <w:sz w:val="32"/>
          <w:szCs w:val="32"/>
        </w:rPr>
        <w:t>项目实施主体</w:t>
      </w:r>
    </w:p>
    <w:p>
      <w:pPr>
        <w:keepNext w:val="0"/>
        <w:keepLines w:val="0"/>
        <w:pageBreakBefore w:val="0"/>
        <w:widowControl w:val="0"/>
        <w:numPr>
          <w:numId w:val="0"/>
        </w:numPr>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喀什地区草原站属于公益一类事业单位，机构规格相当副县级，内设综合科、草原建设科、草原资源监测科、草原虫鼠害防治科4个机构，核定事业编制25名，其中：站领导职数3名（副县级1名，正科级2名），内设机构科级领导职数4名，经费实行全额预算管理。主要职责：承担全地区草原资源与生态保护、建设、草原生态修复治理、草原资源与生态监测、调查等服务工作；承担地区草原虫鼠害预测预报与防治工作；负责地区草原新技术与新品种试验、示范、推广等技术服务工作。</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4. 资金投入和使用情况</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共安排下达资金50万元，为2022年度喀什地区本级草原植被恢复费返还资金，最终确定项目资金总数为50万元。</w:t>
      </w:r>
      <w:r>
        <w:rPr>
          <w:rFonts w:hint="default" w:ascii="Times New Roman" w:hAnsi="Times New Roman" w:eastAsia="方正仿宋_GBK" w:cs="Times New Roman"/>
          <w:sz w:val="32"/>
          <w:szCs w:val="32"/>
        </w:rPr>
        <w:cr/>
      </w:r>
      <w:r>
        <w:rPr>
          <w:rFonts w:hint="default" w:ascii="Times New Roman" w:hAnsi="Times New Roman" w:eastAsia="方正仿宋_GBK" w:cs="Times New Roman"/>
          <w:sz w:val="32"/>
          <w:szCs w:val="32"/>
        </w:rPr>
        <w:t>截至2023年12月31日，实际支出48.3万元，预算执行率96.6%。</w:t>
      </w:r>
    </w:p>
    <w:p>
      <w:pPr>
        <w:keepNext w:val="0"/>
        <w:keepLines w:val="0"/>
        <w:pageBreakBefore w:val="0"/>
        <w:widowControl w:val="0"/>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rPr>
      </w:pPr>
      <w:r>
        <w:rPr>
          <w:rFonts w:hint="default" w:ascii="方正楷体_GBK" w:hAnsi="方正楷体_GBK" w:eastAsia="方正楷体_GBK" w:cs="方正楷体_GBK"/>
          <w:b/>
          <w:bCs/>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项目绩效目标包括项目绩效总目标和阶段性目标。</w:t>
      </w:r>
    </w:p>
    <w:p>
      <w:pPr>
        <w:keepNext w:val="0"/>
        <w:keepLines w:val="0"/>
        <w:pageBreakBefore w:val="0"/>
        <w:widowControl w:val="0"/>
        <w:numPr>
          <w:numId w:val="0"/>
        </w:numPr>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eastAsia" w:eastAsia="方正仿宋_GBK" w:cs="Times New Roman"/>
          <w:sz w:val="32"/>
          <w:szCs w:val="32"/>
          <w:lang w:val="en-US" w:eastAsia="zh-CN"/>
        </w:rPr>
        <w:t>1.</w:t>
      </w:r>
      <w:r>
        <w:rPr>
          <w:rFonts w:hint="default" w:ascii="Times New Roman" w:hAnsi="Times New Roman" w:eastAsia="方正仿宋_GBK" w:cs="Times New Roman"/>
          <w:sz w:val="32"/>
          <w:szCs w:val="32"/>
        </w:rPr>
        <w:t>项目绩效总目标</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委托第三方对我区23.8107万亩退耕还草项目开展外业及内业检查，外业工作包括面积测量、确认和求算、种植地块覆盖度、种植合格率、矢量数据核对修改完善、小班矢量数据建设等；内业包括档案资料、资金使用、任务完成、项目管理等，并开展评估工作，全面掌握和客观评价各项目县退耕还草工程建设情况，评估建设质量和成效，建立退耕还草工程检查评估体系，切实推进退耕还草工程顺利实施。</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2.阶段性目标</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2023年2月编制项目实施方案。</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2023年3月实施方案获得批复。 </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2023年4月-5月通过政采云服务市场委托第三方。</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2023年5月-6月第三方做好检查评估前期准备工作。</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2023年7月-9月（共计92天）对我区23.8107万亩退耕还草工程开展外业和内业检查评估。</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2023 年10月向项目主管部门递交评估报告，并申请项目验收申请。</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2023年11月项目主管部门组织验收。</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2023年12月收集整理资料，完善项目档案。</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方正黑体_GBK" w:hAnsi="方正黑体_GBK" w:eastAsia="方正黑体_GBK" w:cs="方正黑体_GBK"/>
          <w:sz w:val="32"/>
          <w:szCs w:val="32"/>
        </w:rPr>
      </w:pPr>
      <w:r>
        <w:rPr>
          <w:rFonts w:hint="default" w:ascii="方正黑体_GBK" w:hAnsi="方正黑体_GBK" w:eastAsia="方正黑体_GBK" w:cs="方正黑体_GBK"/>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rPr>
      </w:pPr>
      <w:r>
        <w:rPr>
          <w:rFonts w:hint="default" w:ascii="方正楷体_GBK" w:hAnsi="方正楷体_GBK" w:eastAsia="方正楷体_GBK" w:cs="方正楷体_GBK"/>
          <w:b/>
          <w:bCs/>
          <w:sz w:val="32"/>
          <w:szCs w:val="32"/>
        </w:rPr>
        <w:t>（一）绩效评价目的、对象</w:t>
      </w:r>
      <w:r>
        <w:rPr>
          <w:rFonts w:hint="default" w:ascii="方正楷体_GBK" w:hAnsi="方正楷体_GBK" w:eastAsia="方正楷体_GBK" w:cs="方正楷体_GBK"/>
          <w:b/>
          <w:bCs/>
          <w:sz w:val="32"/>
          <w:szCs w:val="32"/>
          <w:lang w:eastAsia="zh-CN"/>
        </w:rPr>
        <w:t>、时间和</w:t>
      </w:r>
      <w:r>
        <w:rPr>
          <w:rFonts w:hint="default" w:ascii="方正楷体_GBK" w:hAnsi="方正楷体_GBK" w:eastAsia="方正楷体_GBK" w:cs="方正楷体_GBK"/>
          <w:b/>
          <w:bCs/>
          <w:sz w:val="32"/>
          <w:szCs w:val="32"/>
        </w:rPr>
        <w:t>范围。</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 绩效评价目的</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p>
    <w:p>
      <w:pPr>
        <w:keepNext w:val="0"/>
        <w:keepLines w:val="0"/>
        <w:pageBreakBefore w:val="0"/>
        <w:widowControl w:val="0"/>
        <w:numPr>
          <w:ilvl w:val="0"/>
          <w:numId w:val="1"/>
        </w:numPr>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绩效评价对象</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3. 绩效评价范围</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本次评价范围涵盖项目总体绩效目标、各项绩效指标完成情况以及预算执行情况。覆盖项目预算资金支出的所有内容进行评价。包括项目决策、项目实施和项目成果验收流程等。</w:t>
      </w:r>
    </w:p>
    <w:p>
      <w:pPr>
        <w:keepNext w:val="0"/>
        <w:keepLines w:val="0"/>
        <w:pageBreakBefore w:val="0"/>
        <w:widowControl w:val="0"/>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rPr>
      </w:pPr>
      <w:r>
        <w:rPr>
          <w:rFonts w:hint="default" w:ascii="方正楷体_GBK" w:hAnsi="方正楷体_GBK" w:eastAsia="方正楷体_GBK" w:cs="方正楷体_GBK"/>
          <w:b/>
          <w:bCs/>
          <w:sz w:val="32"/>
          <w:szCs w:val="32"/>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本次绩效评价遵循的原则包括：</w:t>
      </w:r>
    </w:p>
    <w:p>
      <w:pPr>
        <w:keepNext w:val="0"/>
        <w:keepLines w:val="0"/>
        <w:pageBreakBefore w:val="0"/>
        <w:widowControl w:val="0"/>
        <w:numPr>
          <w:ilvl w:val="0"/>
          <w:numId w:val="2"/>
        </w:numPr>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科学公正。绩效评价应当运用科学合理的方法，按照规范的程序，对项目绩效进行客观、公正的反映。</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（3）激励约束。绩效评价结果应与预算安排、政策调整、改进管理实质性挂钩，体现奖优罚劣和激励相容导向，有效要安排、低效要压减、无效要问责。</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（4）公开透明。绩效评价结果应依法依规公开，并自觉接受社会监督。</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 绩效评价指标体系</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3. 绩效评价方法</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本次评价采用定量与定性评价相结合的比较法和公众评判法，总分由各项指标得分汇总形成。</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比较法：是指通过对绩效目标与实施效果、历史与当期情况、不同部门和地区同类支出的比较，综合分析绩效目标实现程度。</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公众评判法：是指通过专家评估、公众问卷及抽样调查等对财政支出效果进行评判，评价绩效目标实现程度。</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4. 绩效评价标准</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绩效评价标准通常包括计划标准、行业标准、历史标准等，用于对绩效指标完成情况进行比较、分析、评价。本次评价主要采用了计划标准。</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570" w:lineRule="exact"/>
        <w:ind w:firstLine="643" w:firstLineChars="200"/>
        <w:textAlignment w:val="auto"/>
        <w:rPr>
          <w:rFonts w:hint="default" w:ascii="方正楷体_GBK" w:hAnsi="方正楷体_GBK" w:eastAsia="方正楷体_GBK" w:cs="方正楷体_GBK"/>
          <w:b/>
          <w:bCs/>
          <w:sz w:val="32"/>
          <w:szCs w:val="32"/>
        </w:rPr>
      </w:pPr>
      <w:r>
        <w:rPr>
          <w:rFonts w:hint="default" w:ascii="方正楷体_GBK" w:hAnsi="方正楷体_GBK" w:eastAsia="方正楷体_GBK" w:cs="方正楷体_GBK"/>
          <w:b/>
          <w:bCs/>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第一阶段：前期准备。</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我单位绩效评价人员根据《项目支出绩效评价管理办法》（财预〔2020〕10号）文件精神认真学习相关要求与规定，成立绩效评价工作组，作为绩效评价工作具体实施机构。成员构成如下：</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周乐任评价组组长，绩效评价工作职责为负责全盘工作。</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阿洪江·多力坤任评价组副组长，绩效评价工作职责为为对项目实施情况进行实地调查。</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祁金亮任评价组成员，绩效评价工作职责为负责资料审核等工作。</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第二阶段：组织实施。</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经评价组通过实地调研、查阅资料等方式，采用综合分析法对项目的决策、管理、绩效进行的综合评价分析。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第三阶段：分析评价。</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首先按照指标体系进行定量、定性分析。其次开展量化打分、综合评价工作，形成初步评价结论。最后归纳整体项目情况与存在问题，撰写部门绩效评价报告。</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方正黑体_GBK" w:hAnsi="方正黑体_GBK" w:eastAsia="方正黑体_GBK" w:cs="方正黑体_GBK"/>
          <w:sz w:val="32"/>
          <w:szCs w:val="32"/>
        </w:rPr>
      </w:pPr>
      <w:r>
        <w:rPr>
          <w:rFonts w:hint="default" w:ascii="方正黑体_GBK" w:hAnsi="方正黑体_GBK" w:eastAsia="方正黑体_GBK" w:cs="方正黑体_GBK"/>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70" w:lineRule="exact"/>
        <w:ind w:firstLine="643" w:firstLineChars="200"/>
        <w:textAlignment w:val="auto"/>
        <w:rPr>
          <w:rFonts w:hint="default" w:ascii="方正楷体_GBK" w:hAnsi="方正楷体_GBK" w:eastAsia="方正楷体_GBK" w:cs="方正楷体_GBK"/>
          <w:b/>
          <w:bCs/>
          <w:sz w:val="32"/>
          <w:szCs w:val="32"/>
        </w:rPr>
      </w:pPr>
      <w:r>
        <w:rPr>
          <w:rFonts w:hint="default" w:ascii="方正楷体_GBK" w:hAnsi="方正楷体_GBK" w:eastAsia="方正楷体_GBK" w:cs="方正楷体_GBK"/>
          <w:b/>
          <w:bCs/>
          <w:sz w:val="32"/>
          <w:szCs w:val="32"/>
        </w:rPr>
        <w:t>（一）综合评价情况</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通过实施喀什地区2015-2020年新一轮退耕还草检查评估项目，核实新一轮退耕还草面积、面积保存、工程质量、工程资金使用及支付、工程管理情况等内容，从根本上抑制草原退化，并依靠和发挥草原自我更新修复能力，实现退化草原自我修复和草原资源永续利用，有效缓解草畜矛盾，实现草畜平衡，维护草地生态系统的良性循环。项目实施主要通过项目决策、项目过程、项目产出以及项目效益等方面进行评价，其中：</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项目决策：该项目主要通过《关于印发〈新疆维吾尔自治区新一轮退耕还林还草工程管理办法（暂行）的通知〉》（新发改西开[2018]388号）立项，项目实施符合喀什地区新一轮退耕还草检查评估要求，项目立项依据充分，立项程序规范。 </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项目过程：喀什地区2015-2020年新一轮退耕还草检查评估项目预算安排50万元，实际支出48.3万元，预算执行率96.6%。项目资金使用合规，项目财务管理制度健全，财务监控到位，所有资金支付均按照国库集中支付制度严格执行，现有项目管理制度执行情况良好。</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项目产出：通过项目实施，对我区11个县的退耕还草项目开展外业及内业检查评估，外业工作包括面积测量、草种确认、植被覆盖度、矢量数据与现地真实性检查、检查评估数据库建设等；内业包括档案资料、资金使用及支付、任务完成、项目管理等内容开展检查评估。形成喀什地区检查评估报告1份，各县检查评估报告12份。</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项目效益：通过实施此项目，加强退耕还草工程的监督检查，全面掌握和客观评价各项目县23.8107万亩退耕还草工程建设情况，评估建设质量和成效，建立退耕还草工程检查评估体系，切实推进退耕还草工程顺利实施。</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方正楷体_GBK" w:hAnsi="方正楷体_GBK" w:eastAsia="方正楷体_GBK" w:cs="方正楷体_GBK"/>
          <w:b/>
          <w:bCs/>
          <w:sz w:val="32"/>
          <w:szCs w:val="32"/>
        </w:rPr>
        <w:t>（二）综合评价结论</w:t>
      </w:r>
      <w:r>
        <w:rPr>
          <w:rFonts w:hint="default" w:ascii="方正楷体_GBK" w:hAnsi="方正楷体_GBK" w:eastAsia="方正楷体_GBK" w:cs="方正楷体_GBK"/>
          <w:b/>
          <w:bCs/>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2015-2020年新一轮退耕还草检查评估项目进行客观评价，最终评分结果：评价总分98.48分，绩效等级为“优”。</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方正楷体_GBK" w:hAnsi="方正楷体_GBK" w:eastAsia="方正楷体_GBK" w:cs="方正楷体_GBK"/>
          <w:b/>
          <w:bCs/>
          <w:sz w:val="32"/>
          <w:szCs w:val="32"/>
        </w:rPr>
      </w:pPr>
      <w:r>
        <w:rPr>
          <w:rFonts w:hint="default" w:ascii="方正黑体_GBK" w:hAnsi="方正黑体_GBK" w:eastAsia="方正黑体_GBK" w:cs="方正黑体_GBK"/>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spacing w:line="570" w:lineRule="exact"/>
        <w:ind w:firstLine="643" w:firstLineChars="200"/>
        <w:textAlignment w:val="auto"/>
        <w:rPr>
          <w:rFonts w:hint="default" w:ascii="方正楷体_GBK" w:hAnsi="方正楷体_GBK" w:eastAsia="方正楷体_GBK" w:cs="方正楷体_GBK"/>
          <w:b/>
          <w:bCs/>
          <w:sz w:val="32"/>
          <w:szCs w:val="32"/>
        </w:rPr>
      </w:pPr>
      <w:r>
        <w:rPr>
          <w:rFonts w:hint="default" w:ascii="方正楷体_GBK" w:hAnsi="方正楷体_GBK" w:eastAsia="方正楷体_GBK" w:cs="方正楷体_GBK"/>
          <w:b/>
          <w:bCs/>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项目决策类指标包括项目立项、绩效目标和资金投入三方面的内容，由6个三级指标构成，权重分为15分，实际得分15分，得分率为100%。</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1）立项依据充分性：结合喀什地区草原站负责全地区草原资源与生态保护、建设、草原生态修复治理、草原资源与生态监测、调查等服务工作等职责，并组织实施。围绕2023年度工作重点和工作计划制定经费预算，根据评分标准，该指标不扣分，得3分。</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立项程序规范性：根据决策依据编制工作计划和经费预算，经过与喀什地区林业和草原局分管领导进行沟通、筛选确定经费预算计划，上党组会研究确定最终实施方案，根据评分标准，该指标不扣分，得2分。</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（3）绩效目标合理性：制定了《喀什地区2015-2020年新一轮退耕还草检查评估项目实施方案》，明确了总体思路及目标、并对任务进行了详细分解，对目标进行了细化，根据评分标准，该指标不扣分，得3分。</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（4）绩效指标明确性：将喀什地区2015-2020年新一轮退耕还草检查评估项目绩效目标细化分解为具体的绩效指标，共有一级指标4个，二级指标8个，三级指标10个。根据评分标准，该指标不扣分，得2分。</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5）预算编制科学性：预算编制经过科学论证，喀什地区2015-2020年新一轮退耕还草检查评估项目内容与开展我区23.8107万亩退耕还草项目外业及内业检查，外业工作包括面积测量、确认和求算、种植地块覆盖度、种植合格率、矢量数据核对修改完善、小班矢量数据建设等；内业包括档案资料、资金使用、任务完成、项目管理等工作相匹配，项目投资额与工作任务相匹配，根据评分标准，该指标不扣分，得3分。</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（6）资金分配合理性：项目资金50万元，到位资金50万元，到位率100%。项目主要用于支付委托业务费，资金分配与实际相适应，根据评分标准，该指标不扣分，得2分。</w:t>
      </w:r>
    </w:p>
    <w:p>
      <w:pPr>
        <w:keepNext w:val="0"/>
        <w:keepLines w:val="0"/>
        <w:pageBreakBefore w:val="0"/>
        <w:widowControl w:val="0"/>
        <w:kinsoku/>
        <w:wordWrap/>
        <w:overflowPunct/>
        <w:topLinePunct w:val="0"/>
        <w:autoSpaceDE/>
        <w:autoSpaceDN/>
        <w:bidi w:val="0"/>
        <w:adjustRightInd/>
        <w:snapToGrid/>
        <w:spacing w:line="570" w:lineRule="exact"/>
        <w:ind w:firstLine="643" w:firstLineChars="200"/>
        <w:textAlignment w:val="auto"/>
        <w:rPr>
          <w:rFonts w:hint="default" w:ascii="方正楷体_GBK" w:hAnsi="方正楷体_GBK" w:eastAsia="方正楷体_GBK" w:cs="方正楷体_GBK"/>
          <w:b/>
          <w:bCs/>
          <w:sz w:val="32"/>
          <w:szCs w:val="32"/>
        </w:rPr>
      </w:pPr>
      <w:r>
        <w:rPr>
          <w:rFonts w:hint="default" w:ascii="方正楷体_GBK" w:hAnsi="方正楷体_GBK" w:eastAsia="方正楷体_GBK" w:cs="方正楷体_GBK"/>
          <w:b/>
          <w:bCs/>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项目过程类指标包括资金管理和组织实施两方面的内容，由 5个三级指标构成，权重分为20分，实际得分19.75分，得分率为98.75%。</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（1）资金到位率：项目资金50万元，到位资金50万元，到位率100%，财政资金足额拨付到位，根据评分标准，该指标不扣分，得3分。   </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（2）预算执行率：项目资金50万元，项目执行48.3万元，执行率96.6%，预算编制较为详细，项目资金支出总体能够按照预算执行，根据评分标准，该指标扣0.25分，得2.75分。</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（3）资金使用合规性：制定了《地区林业局机关财务管理办法》规定对经费使用进行规范管理，财务制度健全、执行严格，根据评分标准，该指标不扣分，得4分。</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（4）管理制度健全性：根据《地区林业局行政事业单位财务会计内控制度》等相关管理办法，对财政专项资金进行严格管理，基本做到了专款专用，根据评分标准，该指标不扣分，得5分。</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5）制度执行有效性：由喀什地区草原站提出项目实施方案，经过与局分管领导沟通后，报党组会议研究执行，财务对资金的使用合法合规性进行监督，年底对资金使用效果进行自评，根据评分标准，该指标不扣分，得5分。</w:t>
      </w:r>
    </w:p>
    <w:p>
      <w:pPr>
        <w:keepNext w:val="0"/>
        <w:keepLines w:val="0"/>
        <w:pageBreakBefore w:val="0"/>
        <w:widowControl w:val="0"/>
        <w:kinsoku/>
        <w:wordWrap/>
        <w:overflowPunct/>
        <w:topLinePunct w:val="0"/>
        <w:autoSpaceDE/>
        <w:autoSpaceDN/>
        <w:bidi w:val="0"/>
        <w:adjustRightInd/>
        <w:snapToGrid/>
        <w:spacing w:line="570" w:lineRule="exact"/>
        <w:ind w:firstLine="643" w:firstLineChars="200"/>
        <w:textAlignment w:val="auto"/>
        <w:rPr>
          <w:rFonts w:hint="default" w:ascii="方正楷体_GBK" w:hAnsi="方正楷体_GBK" w:eastAsia="方正楷体_GBK" w:cs="方正楷体_GBK"/>
          <w:b/>
          <w:bCs/>
          <w:sz w:val="32"/>
          <w:szCs w:val="32"/>
        </w:rPr>
      </w:pPr>
      <w:r>
        <w:rPr>
          <w:rFonts w:hint="default" w:ascii="方正楷体_GBK" w:hAnsi="方正楷体_GBK" w:eastAsia="方正楷体_GBK" w:cs="方正楷体_GBK"/>
          <w:b/>
          <w:bCs/>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项目产出类指标包括产出数量、产出质量、产出时效、产出成本四方面的内容，由4个三级指标构成，权重分为45分，实际得分43.73分，得分率为97.18%。</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（1）对于“产出数量”</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2015-2020年退耕还草工程面积（万亩）指标，预期指标值为大于等于23.81万亩，实际完成值为23.81万亩，指标完成率为100%，与预期目标一致，根据评分标准，该指标不扣分，得3分。</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2015-2020年退耕还草工程涉及县市（县市区个数）指标，预期指标值为等于11个，实际完成值为11个，指标完成率为100%，与预期目标一致，根据评分标准，该指标不扣分，得3分。</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退耕还草工程评估报告（个）指标，预期指标值为1个，实际完成值为等于1个，指标完成率为1个，与预期目标一致，根据评分标准，该指标不扣分，得4分。</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合计得10分。</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（2）对于“产出质量”：</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检查评估2015-2020年退耕还草面积（万亩）指标，预期指标值为大于等于23.81万亩，实际完成值为23.81万亩，指标完成率为100%，与预期目标一致，根据评分标准，该指标不扣分，得10分。</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合计得10分。</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（3）对于“产出时效”：</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项目按时完成率指标，预期指标值为等于100%，实际完成值为100%，指标完成率为100%，与预期目标一致，根据评分标准，该指标不扣分，得10分。</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合计得10分。</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（4）对于“产出成本”：</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退耕还草工程检查评估（万元/万亩）指标，预期指标值为小于等于2.10万元/万亩，实际完成值为2.03万元/万亩，指标完成率为96.6%，偏差原因：结余资金1.7万元，均为招标后剩余资金，已退回地区财政。采取的措施：今后科学合理设计项目预算，严格按照项目预算进行资金支付。根据评分标准，该指标扣1.27分，得13.73分。</w:t>
      </w:r>
    </w:p>
    <w:p>
      <w:pPr>
        <w:keepNext w:val="0"/>
        <w:keepLines w:val="0"/>
        <w:pageBreakBefore w:val="0"/>
        <w:widowControl w:val="0"/>
        <w:kinsoku/>
        <w:wordWrap/>
        <w:overflowPunct/>
        <w:topLinePunct w:val="0"/>
        <w:autoSpaceDE/>
        <w:autoSpaceDN/>
        <w:bidi w:val="0"/>
        <w:adjustRightInd/>
        <w:snapToGrid/>
        <w:spacing w:line="570" w:lineRule="exact"/>
        <w:ind w:firstLine="643" w:firstLineChars="200"/>
        <w:textAlignment w:val="auto"/>
        <w:rPr>
          <w:rFonts w:hint="default" w:ascii="方正楷体_GBK" w:hAnsi="方正楷体_GBK" w:eastAsia="方正楷体_GBK" w:cs="方正楷体_GBK"/>
          <w:b/>
          <w:bCs/>
          <w:sz w:val="32"/>
          <w:szCs w:val="32"/>
        </w:rPr>
      </w:pPr>
      <w:r>
        <w:rPr>
          <w:rFonts w:hint="default" w:ascii="方正楷体_GBK" w:hAnsi="方正楷体_GBK" w:eastAsia="方正楷体_GBK" w:cs="方正楷体_GBK"/>
          <w:b/>
          <w:bCs/>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项目效益类指标包括项目效益1个方面的内容，由2个三级指标构成，权重分为20分，实际得分20分，得分率为100%。</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（1）对于“社会效益指标”：</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对退耕还草项目验收形成有效支持指标，该指标预期指标值为提高，实际完成值为提高，指标完成率为100%，与预期指标一致，根据评分标准，该指标不扣分，得3分。</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（2）对于“经济效益指标”：</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推进退耕还草补助发放指标，该指标预期指标值为提高，实际完成值为提高，指标完成率为100%，与预期指标一致，根据评分标准，该指标不扣分，得3分。</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（3）对于“生态效益指标”：</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推动全地区草原生态修复治理成效，该指标预期指标值为提高，实际完成值为提高，指标完成率为100%，与预期指标一致，根据评分标准，该指标不扣分，得4分。</w:t>
      </w:r>
      <w:r>
        <w:rPr>
          <w:rFonts w:hint="default" w:ascii="Times New Roman" w:hAnsi="Times New Roman" w:eastAsia="方正仿宋_GBK" w:cs="Times New Roman"/>
          <w:sz w:val="32"/>
          <w:szCs w:val="32"/>
        </w:rPr>
        <w:cr/>
      </w:r>
      <w:r>
        <w:rPr>
          <w:rFonts w:hint="default" w:ascii="Times New Roman" w:hAnsi="Times New Roman" w:eastAsia="方正仿宋_GBK" w:cs="Times New Roman"/>
          <w:sz w:val="32"/>
          <w:szCs w:val="32"/>
        </w:rPr>
        <w:t>实施效益指标合计得10分。</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（4）满意度指标分析</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草原站干部对第三方工作质量满意度指标，该指标预期指标值为95%，实际完成值为100%，指标完成率为105%，与预期目标存在合理偏差，根据评分标准，该指标不扣分,得10分。</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方正黑体_GBK" w:hAnsi="方正黑体_GBK" w:eastAsia="方正黑体_GBK" w:cs="方正黑体_GBK"/>
          <w:sz w:val="32"/>
          <w:szCs w:val="32"/>
        </w:rPr>
      </w:pPr>
      <w:r>
        <w:rPr>
          <w:rFonts w:hint="default" w:ascii="方正黑体_GBK" w:hAnsi="方正黑体_GBK" w:eastAsia="方正黑体_GBK" w:cs="方正黑体_GBK"/>
          <w:sz w:val="32"/>
          <w:szCs w:val="32"/>
        </w:rPr>
        <w:t>五、预算执行进度与绩效指标偏差</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喀什地区2015-2020年新一轮退耕还草项目预算50万元，到位50万元，实际支出48.3万元，预算执行率为96.6%，项目绩效指标总体完成率为100.2%，偏差率为3.6%,偏差原因：结余资金1.7万元，均为招标后剩余资金，已退回地区财政。采取的措施：今后科学合理设计项目预算，严格按照项目预算进行资金支付。</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方正黑体_GBK" w:hAnsi="方正黑体_GBK" w:eastAsia="方正黑体_GBK" w:cs="方正黑体_GBK"/>
          <w:sz w:val="32"/>
          <w:szCs w:val="32"/>
        </w:rPr>
        <w:t>六、主要经验及做法、存在的问题及原因分析</w:t>
      </w:r>
      <w:r>
        <w:rPr>
          <w:rFonts w:hint="default" w:ascii="方正黑体_GBK" w:hAnsi="方正黑体_GBK" w:eastAsia="方正黑体_GBK" w:cs="方正黑体_GBK"/>
          <w:sz w:val="32"/>
          <w:szCs w:val="32"/>
          <w:lang w:eastAsia="zh-CN"/>
        </w:rPr>
        <w:t>、下一步改进措施</w:t>
      </w:r>
    </w:p>
    <w:p>
      <w:pPr>
        <w:keepNext w:val="0"/>
        <w:keepLines w:val="0"/>
        <w:pageBreakBefore w:val="0"/>
        <w:widowControl w:val="0"/>
        <w:kinsoku/>
        <w:wordWrap/>
        <w:overflowPunct/>
        <w:topLinePunct w:val="0"/>
        <w:autoSpaceDE/>
        <w:autoSpaceDN/>
        <w:bidi w:val="0"/>
        <w:adjustRightInd/>
        <w:snapToGrid/>
        <w:spacing w:line="570" w:lineRule="exact"/>
        <w:ind w:firstLine="643" w:firstLineChars="200"/>
        <w:textAlignment w:val="auto"/>
        <w:rPr>
          <w:rFonts w:hint="default" w:ascii="方正楷体_GBK" w:hAnsi="方正楷体_GBK" w:eastAsia="方正楷体_GBK" w:cs="方正楷体_GBK"/>
          <w:b/>
          <w:bCs/>
          <w:sz w:val="32"/>
          <w:szCs w:val="32"/>
        </w:rPr>
      </w:pPr>
      <w:r>
        <w:rPr>
          <w:rFonts w:hint="default" w:ascii="方正楷体_GBK" w:hAnsi="方正楷体_GBK" w:eastAsia="方正楷体_GBK" w:cs="方正楷体_GBK"/>
          <w:b/>
          <w:bCs/>
          <w:sz w:val="32"/>
          <w:szCs w:val="32"/>
        </w:rPr>
        <w:t>（一）主要经验及做法</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一是领导重视。我单位领导高度重视，专门成立项目管理领导小组，负责对项目实施、组织协调、运转服务，研究解决项目实施中的困难和问题，为项目实施提供有力保障。</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二是管理规范。在项目实施过程中，我单位均能按照相关管理制度要求严格执行，强化监督检查，从多方面对本项目进行研究和预算绩效管理，严格按照项目管理要求，尽职尽责履行部门职能，对项目推进过程中出现的问题及时进行沟通、整改，尽早拿出解决措施加以应对，确保项目顺利进行。</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三是专款专用。严格按照专项资金管理办法的规定，做到专项核算、专款专用，不存在截留、挪用、挤占、虚列开支等现象。</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方正楷体_GBK" w:hAnsi="方正楷体_GBK" w:eastAsia="方正楷体_GBK" w:cs="方正楷体_GBK"/>
          <w:b/>
          <w:bCs/>
          <w:sz w:val="32"/>
          <w:szCs w:val="32"/>
        </w:rPr>
        <w:t>（二）存在问题及原因分析</w:t>
      </w:r>
      <w:r>
        <w:rPr>
          <w:rFonts w:hint="default" w:ascii="方正楷体_GBK" w:hAnsi="方正楷体_GBK" w:eastAsia="方正楷体_GBK" w:cs="方正楷体_GBK"/>
          <w:b/>
          <w:bCs/>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1.预算执行存在偏差，由于资金到位较晚等原因，个别项目支出未能及时完成，造成本单位在预算执行情况不好的情况。对个别项目资金使用方面预算不够细致、实施不够规范，出现项目资金结余数额多的情况。</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目标设定科学性及评价存在难度，由于部分目标的三级指标设定需要根据各部门科室的实际情况进行核实汇总，形成整合后统一名称的三级指标，对于如何科学整合分解绩效目标比较困难；目标设定后如何科学设定考核评价标准，特别是对于不能量化的目标如何评价没有进行充分的研究论证。</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方正黑体_GBK" w:hAnsi="方正黑体_GBK" w:eastAsia="方正黑体_GBK" w:cs="方正黑体_GBK"/>
          <w:sz w:val="32"/>
          <w:szCs w:val="32"/>
        </w:rPr>
      </w:pPr>
      <w:r>
        <w:rPr>
          <w:rFonts w:hint="default" w:ascii="方正黑体_GBK" w:hAnsi="方正黑体_GBK" w:eastAsia="方正黑体_GBK" w:cs="方正黑体_GBK"/>
          <w:sz w:val="32"/>
          <w:szCs w:val="32"/>
        </w:rPr>
        <w:t>七、有关建议</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1、加强预算绩效目标管理工作。明确预算项目绩效目标编制要求，分类别建立科学合理、细化量化、可比可测预算绩效指标体系，突出结果导向，重点考核实绩。</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2、加强绩效业务学习及培训，提高业务人员绩效管理意识，进一步加强预算绩效管理工作，优化项目支出绩效指标体系，完善预算绩效管理制度，有效推动我单位下一年度预算绩效管理工作常态化、规范化。</w:t>
      </w:r>
      <w:r>
        <w:rPr>
          <w:rFonts w:hint="default" w:ascii="Times New Roman" w:hAnsi="Times New Roman" w:eastAsia="方正仿宋_GBK" w:cs="Times New Roman"/>
          <w:sz w:val="32"/>
          <w:szCs w:val="32"/>
        </w:rPr>
        <w:cr/>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3、通过强化专业培训、学习考察、业务交流等措施，帮助和促进本单位现有人员提高绩效管理业务水平、实际工作能力。强化预算绩效执行工作，指定专人负责预算执行监督管理，进一步推动预算绩效管理工作。</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方正黑体_GBK" w:hAnsi="方正黑体_GBK" w:eastAsia="方正黑体_GBK" w:cs="方正黑体_GBK"/>
          <w:sz w:val="32"/>
          <w:szCs w:val="32"/>
        </w:rPr>
      </w:pPr>
      <w:r>
        <w:rPr>
          <w:rFonts w:hint="default" w:ascii="方正黑体_GBK" w:hAnsi="方正黑体_GBK" w:eastAsia="方正黑体_GBK" w:cs="方正黑体_GBK"/>
          <w:sz w:val="32"/>
          <w:szCs w:val="32"/>
        </w:rPr>
        <w:t>八、其他需要说明的问题</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Aharoni">
    <w:panose1 w:val="02010803020104030203"/>
    <w:charset w:val="00"/>
    <w:family w:val="auto"/>
    <w:pitch w:val="default"/>
    <w:sig w:usb0="00000801" w:usb1="00000000" w:usb2="00000000" w:usb3="00000000" w:csb0="00000020" w:csb1="00200000"/>
  </w:font>
  <w:font w:name="Aparajita">
    <w:panose1 w:val="020B0604020202020204"/>
    <w:charset w:val="00"/>
    <w:family w:val="auto"/>
    <w:pitch w:val="default"/>
    <w:sig w:usb0="00008003" w:usb1="00000000" w:usb2="00000000" w:usb3="00000000" w:csb0="00000001" w:csb1="00000000"/>
  </w:font>
  <w:font w:name="hakuyoxingshu7000">
    <w:panose1 w:val="02000600000000000000"/>
    <w:charset w:val="86"/>
    <w:family w:val="auto"/>
    <w:pitch w:val="default"/>
    <w:sig w:usb0="FFFFFFFF" w:usb1="E9FFFFFF" w:usb2="0000003F" w:usb3="00000000" w:csb0="603F00FF" w:csb1="FFFF0000"/>
  </w:font>
  <w:font w:name="Bookshelf Symbol 7">
    <w:panose1 w:val="05010101010101010101"/>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Shonar Bangla">
    <w:panose1 w:val="020B0502040204020203"/>
    <w:charset w:val="00"/>
    <w:family w:val="auto"/>
    <w:pitch w:val="default"/>
    <w:sig w:usb0="00010003" w:usb1="00000000" w:usb2="00000000" w:usb3="00000000" w:csb0="00000001" w:csb1="00000000"/>
  </w:font>
  <w:font w:name="Sylfaen">
    <w:panose1 w:val="010A0502050306030303"/>
    <w:charset w:val="00"/>
    <w:family w:val="auto"/>
    <w:pitch w:val="default"/>
    <w:sig w:usb0="040006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C8B2DE"/>
    <w:multiLevelType w:val="singleLevel"/>
    <w:tmpl w:val="51C8B2DE"/>
    <w:lvl w:ilvl="0" w:tentative="0">
      <w:start w:val="2"/>
      <w:numFmt w:val="decimal"/>
      <w:suff w:val="space"/>
      <w:lvlText w:val="%1."/>
      <w:lvlJc w:val="left"/>
    </w:lvl>
  </w:abstractNum>
  <w:abstractNum w:abstractNumId="1">
    <w:nsid w:val="7A20EB93"/>
    <w:multiLevelType w:val="singleLevel"/>
    <w:tmpl w:val="7A20EB9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98643F7"/>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23</TotalTime>
  <ScaleCrop>false</ScaleCrop>
  <LinksUpToDate>false</LinksUpToDate>
  <CharactersWithSpaces>742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2024-08-09T12:27:24Z</cp:lastPrinted>
  <dcterms:modified xsi:type="dcterms:W3CDTF">2024-08-09T12:27:44Z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