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DD66E">
      <w:pPr>
        <w:spacing w:line="570" w:lineRule="exact"/>
        <w:jc w:val="center"/>
        <w:rPr>
          <w:rFonts w:ascii="华文中宋" w:hAnsi="华文中宋" w:eastAsia="华文中宋" w:cs="宋体"/>
          <w:b/>
          <w:kern w:val="0"/>
          <w:sz w:val="52"/>
          <w:szCs w:val="52"/>
        </w:rPr>
      </w:pPr>
      <w:bookmarkStart w:id="0" w:name="_GoBack"/>
      <w:bookmarkEnd w:id="0"/>
    </w:p>
    <w:p w14:paraId="457978AE">
      <w:pPr>
        <w:spacing w:line="570" w:lineRule="exact"/>
        <w:jc w:val="center"/>
        <w:rPr>
          <w:rFonts w:ascii="华文中宋" w:hAnsi="华文中宋" w:eastAsia="华文中宋" w:cs="宋体"/>
          <w:b/>
          <w:kern w:val="0"/>
          <w:sz w:val="52"/>
          <w:szCs w:val="52"/>
        </w:rPr>
      </w:pPr>
    </w:p>
    <w:p w14:paraId="143815FE">
      <w:pPr>
        <w:spacing w:line="570" w:lineRule="exact"/>
        <w:jc w:val="center"/>
        <w:rPr>
          <w:rFonts w:ascii="华文中宋" w:hAnsi="华文中宋" w:eastAsia="华文中宋" w:cs="宋体"/>
          <w:b/>
          <w:kern w:val="0"/>
          <w:sz w:val="52"/>
          <w:szCs w:val="52"/>
        </w:rPr>
      </w:pPr>
    </w:p>
    <w:p w14:paraId="712BE981">
      <w:pPr>
        <w:spacing w:line="570" w:lineRule="exact"/>
        <w:jc w:val="center"/>
        <w:rPr>
          <w:rFonts w:ascii="华文中宋" w:hAnsi="华文中宋" w:eastAsia="华文中宋" w:cs="宋体"/>
          <w:b/>
          <w:kern w:val="0"/>
          <w:sz w:val="52"/>
          <w:szCs w:val="52"/>
        </w:rPr>
      </w:pPr>
    </w:p>
    <w:p w14:paraId="7825F9F9">
      <w:pPr>
        <w:spacing w:line="570" w:lineRule="exact"/>
        <w:jc w:val="both"/>
        <w:rPr>
          <w:rFonts w:ascii="华文中宋" w:hAnsi="华文中宋" w:eastAsia="华文中宋" w:cs="宋体"/>
          <w:b/>
          <w:kern w:val="0"/>
          <w:sz w:val="52"/>
          <w:szCs w:val="52"/>
        </w:rPr>
      </w:pPr>
    </w:p>
    <w:p w14:paraId="4953266D">
      <w:pPr>
        <w:spacing w:line="570" w:lineRule="exact"/>
        <w:jc w:val="center"/>
        <w:rPr>
          <w:rFonts w:ascii="华文中宋" w:hAnsi="华文中宋" w:eastAsia="华文中宋" w:cs="宋体"/>
          <w:b/>
          <w:kern w:val="0"/>
          <w:sz w:val="52"/>
          <w:szCs w:val="52"/>
        </w:rPr>
      </w:pPr>
    </w:p>
    <w:p w14:paraId="1D3BA7C9">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7B68091A">
      <w:pPr>
        <w:spacing w:line="570" w:lineRule="exact"/>
        <w:jc w:val="center"/>
        <w:rPr>
          <w:rFonts w:ascii="华文中宋" w:hAnsi="华文中宋" w:eastAsia="华文中宋" w:cs="宋体"/>
          <w:b/>
          <w:kern w:val="0"/>
          <w:sz w:val="52"/>
          <w:szCs w:val="52"/>
        </w:rPr>
      </w:pPr>
    </w:p>
    <w:p w14:paraId="0F90A79C">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B8881F1">
      <w:pPr>
        <w:spacing w:line="570" w:lineRule="exact"/>
        <w:jc w:val="center"/>
        <w:rPr>
          <w:rFonts w:hAnsi="宋体" w:eastAsia="仿宋_GB2312" w:cs="宋体"/>
          <w:kern w:val="0"/>
          <w:sz w:val="30"/>
          <w:szCs w:val="30"/>
        </w:rPr>
      </w:pPr>
    </w:p>
    <w:p w14:paraId="0579E7C4">
      <w:pPr>
        <w:spacing w:line="570" w:lineRule="exact"/>
        <w:jc w:val="center"/>
        <w:rPr>
          <w:rFonts w:hAnsi="宋体" w:eastAsia="仿宋_GB2312" w:cs="宋体"/>
          <w:kern w:val="0"/>
          <w:sz w:val="30"/>
          <w:szCs w:val="30"/>
        </w:rPr>
      </w:pPr>
    </w:p>
    <w:p w14:paraId="2A5B4B7B">
      <w:pPr>
        <w:spacing w:line="570" w:lineRule="exact"/>
        <w:jc w:val="center"/>
        <w:rPr>
          <w:rFonts w:hAnsi="宋体" w:eastAsia="仿宋_GB2312" w:cs="宋体"/>
          <w:kern w:val="0"/>
          <w:sz w:val="30"/>
          <w:szCs w:val="30"/>
        </w:rPr>
      </w:pPr>
    </w:p>
    <w:p w14:paraId="1D88E985">
      <w:pPr>
        <w:spacing w:line="570" w:lineRule="exact"/>
        <w:jc w:val="center"/>
        <w:rPr>
          <w:rFonts w:hAnsi="宋体" w:eastAsia="仿宋_GB2312" w:cs="宋体"/>
          <w:kern w:val="0"/>
          <w:sz w:val="30"/>
          <w:szCs w:val="30"/>
        </w:rPr>
      </w:pPr>
    </w:p>
    <w:p w14:paraId="2BEC37C8">
      <w:pPr>
        <w:spacing w:line="570" w:lineRule="exact"/>
        <w:jc w:val="center"/>
        <w:rPr>
          <w:rFonts w:hAnsi="宋体" w:eastAsia="仿宋_GB2312" w:cs="宋体"/>
          <w:kern w:val="0"/>
          <w:sz w:val="30"/>
          <w:szCs w:val="30"/>
        </w:rPr>
      </w:pPr>
    </w:p>
    <w:p w14:paraId="7FDE90F8">
      <w:pPr>
        <w:spacing w:line="570" w:lineRule="exact"/>
        <w:jc w:val="center"/>
        <w:rPr>
          <w:rFonts w:hAnsi="宋体" w:eastAsia="仿宋_GB2312" w:cs="宋体"/>
          <w:kern w:val="0"/>
          <w:sz w:val="30"/>
          <w:szCs w:val="30"/>
        </w:rPr>
      </w:pPr>
    </w:p>
    <w:p w14:paraId="496A0A0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工信局单位结余收入项目</w:t>
      </w:r>
    </w:p>
    <w:p w14:paraId="7281E485">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新疆维吾尔自治区喀什地区工业和信息化局（本级）</w:t>
      </w:r>
    </w:p>
    <w:p w14:paraId="77822E4B">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新疆维吾尔自治区喀什地区工业和信息化局</w:t>
      </w:r>
    </w:p>
    <w:p w14:paraId="79F3F93E">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付玉军、刘洪波、姚元福</w:t>
      </w:r>
    </w:p>
    <w:p w14:paraId="36C86E2D">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14:paraId="0972E77A">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83DEB0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847A85C">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716FF55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工信局单位结余收入项目实施前期、过程及效果，评价财政预算资金使用的效率及效益。通过该项目的实施，保障2名援疆柔性人才、2辆公车、在职在编37人日常办公，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以此推进喀什地区工业十大产业健康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工业产业的发展。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把高质量发展的要求贯穿新型工业化全过程”指示精神，全面落实自治区加快打造以“八大产业集群”为支撑的现代产业体系战略部署和地委“12345”战略和发展“十大产业”工作安排。夯实工业经济发展基础，打造产业发展四梁八柱，全力推进工业经济高质量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新疆维吾尔自治区喀什地区工业和信息化局为行政单位，纳入2023年部门决算编制范围的有1个：新疆维吾尔自治区喀什地区工业和信息化局（本级）。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44人，其中：行政人员编制24人、工勤0人、参公0人、事业编制20人。实有在职人数37人，其中：行政在职24人、工勤0人、参公0人、事业在职13人。离退休人员70人，其中：行政离休人员2人，行政退休人员47人、事业退休21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根据广东前指《关于拨付工作经费的通知》（粤援疆前指〔2022〕23号）、广东前指《关于拨付组建喀什地区特色农产品加工业协会启动资金的通知》（粤援疆前指〔2022〕37号）、山东前指《关于拨付编制喀什地区“十四五”工业和信息化产业发展规划项目资金的通知》（鲁援疆指财〔2020〕33号）、山东前指《关于拨付2021年“大仓东移”工程首批项目资金的通知》（鲁援疆指财〔2021〕43号）、《关于拨付2021年“大仓东移”工程剩余项目资金的通知》（鲁援疆指财〔2021〕90号）、山东前指《关于拨付2022年“大仓东移”项目资金的通知》（鲁援疆指财〔2022〕50号）、山东前指《关于拨付2022年山东文旅频道市场援疆及媒体宣传、招商引资项目资金的通知》（鲁援疆指财〔2022〕185号）、山东前指《关于拨付鲁喀两地三交活动资金的通知》（鲁援疆指财〔2022〕43号）、山东前指《关于拨付2022年引进的援疆柔性人才管理保障资金的通知》（鲁援疆指财〔2022〕78号）等文件共安排下达资金2185.44万元，为援疆资金，最终确定项目资金总数为2185.44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截至2022年12月31日，实际支出2152.61万元，预算执行率98.5%。</w:t>
      </w:r>
    </w:p>
    <w:p w14:paraId="66542E7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9BEFFB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信局单位结余收入项目通过保障2名援疆柔性人才、4辆公车、在职在编38人日常办公，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以此推进喀什地区工业十大产业健康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根据项目资金使用方案对各县市开展摸底调研工作，制定符合本县实际的人才培养计划及指导内容；对接上海市业余科技学院（上海科学会堂服务中心）喀什地区工业产业园管理者及企业经营管理者培训班前期准备工作等事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2023年4月完成援疆柔性人才管理保障费用支付工作；2023年8月完成山东援疆“鲁喀杯”工业设计暨研发创新大赛工作；2023年12月前完成不少于2次的深入县市企业开展上门指导工作，喀什地区工业“十四五”发展规划中期评估及任务目标修订编制成果审验工作，大仓东移项目相关工作，鲁喀两地三交活动，山东文旅频道市场援疆及媒体宣传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验收阶段的具体工作：根据各项目实施情况及审计报告对项目资金验收付款。</w:t>
      </w:r>
    </w:p>
    <w:p w14:paraId="08612F1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DCCF62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737317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254AB71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216A22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3B478AE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4BC46B0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刘其宝任评价组组长，绩效评价工作职责为负责全盘工作。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刘洪波、付玉军、姚元福、康丽华任评价组副组长，绩效评价工作职责为为对项目实施情况进行实地调查。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帕提古丽·艾山、米尔阿力木、沈信儒、亚森任评价组成员，绩效评价工作职责为负责资料审核等工作。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54ACAA8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EE9759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刘其宝任评价组组长，绩效评价工作职责为负责全盘工作。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刘洪波、付玉军、姚元福、康丽华任评价组副组长，绩效评价工作职责为为对项目实施情况进行实地调查。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帕提古丽·艾山、米尔阿力木、沈信儒、亚森任评价组成员，绩效评价工作职责为负责资料审核等工作。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4264C02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98A427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1C2717A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根据广东前指《关于拨付工作经费的通知》（粤援疆前指〔2022〕23号）、广东前指《关于拨付组建喀什地区特色农产品加工业协会启动资金的通知》（粤援疆前指〔2022〕37号）、山东前指《关于拨付编制喀什地区“十四五”工业和信息化产业发展规划项目资金的通知》（鲁援疆指财〔2020〕33号）、山东前指《关于拨付2021年“大仓东移”工程首批项目资金的通知》（鲁援疆指财〔2021〕43号）、《关于拨付2021年“大仓东移”工程剩余项目资金的通知》（鲁援疆指财〔2021〕90号）、山东前指《关于拨付2022年“大仓东移”项目资金的通知》（鲁援疆指财〔2022〕50号）、山东前指《关于拨付2022年山东文旅频道市场援疆及媒体宣传、招商引资项目资金的通知》（鲁援疆指财〔2022〕185号）、山东前指《关于拨付鲁喀两地三交活动资金的通知》（鲁援疆指财〔2022〕43号）、山东前指《关于拨付2022年引进的援疆柔性人才管理保障资金的通知》（鲁援疆指财〔2022〕78号）等文件要求，牢牢把握高质量发展首要任务，谋划产业布局、做好企业服务，提高产业承载能力，着力夯实工业经济发展基础，打造产业发展四梁八柱，全力推进工业经济高质量发展。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工信局单位结余收入项目实施方案》编制工作计划和经费预算，经过与工信局分管领导进行沟通、筛选确定经费预算计划，各业务科室开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（3）绩效目标合理性：制定了《工信局单位结余收入项目实施方案》，明确了总体思路及目标、并对任务进行了详细分解，对目标进行了细化，根据评分标准，该指标不扣分，得3分。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（4）绩效指标明确性：将工信局单位结余收入项目绩效目标细化分解为具体的绩效指标，一级指标4个，二级指标6个，三级指标24个，根据评分标准，该指标不扣分，得2分。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通过组织实施通过保障2名援疆柔性人才、4辆公车、在职在编38人日常办公，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以此推进喀什地区工业十大产业健康发展。但数量指标中公务保障用车数量指标、支持协会数量指标未完成，经济成本指标中指导费用成本、编制费用成本指标未完成，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与援疆工作补贴成本、编制费用成本、大仓东移项目成本、鲁喀两地三交活动成本、山东文旅频道市场援疆及媒体宣传成本、“鲁喀杯”工业设计暨研发创新大赛项目成本资金相适应，根据评分标准，该指标不扣分，得5分。</w:t>
      </w:r>
    </w:p>
    <w:p w14:paraId="5BA49A6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35226EB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5个三级指标构成，权重分为20分，实际得分19.89分，得分率为99.45%。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（1）资金到位率：援疆资金足额拨付到位，预算金额2185.44万元，实际到位资金2185.44万元，到位率100%，援工信局能够及时足额按照合同约定将专项资金拨付给相关单位，根据评分标准，该指标不扣分，得3分。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实际到位资金2185.44万元，实际支出金额2152.61万元，预算执行率为98.5%，预算编制较为详细，项目资金支出总体能够按照预算执行，因本年度未公务保障用车数量指标、支持协会数量指标、指导费用成本指标、指导费用成本指标未完成，根据评分标准，该指标扣0.11分，得2.89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（3）资金使用合规性：根据《工信局收入支出管理制度》，对经费使用进行规范管理，财务制度健全、执行严格，根据评分标准，该指标不扣分，得4分。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（4）管理制度健全性：根据《工信局收入支出管理制度》，对财政专项资金进行严格管理，基本做到了专款专用，根据评分标准，该指标不扣分，得5分。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企业科、轻工办、产业科等业务科室提出经费预算支出申请，经与局分管领导沟通后，报党组会议研究执行，财务对资金的使用合法合规性进行监督，年底对资金使用效果进行自评，根据评分标准，该指标不扣分，得5分。</w:t>
      </w:r>
    </w:p>
    <w:p w14:paraId="783D9CE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66B0A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项目产出类指标包括产出数量、产出质量、产出时效三方面的内容，由3个三级指标构成，权重分为45分，实际得分33.74分，得分率为84.35%。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发放（补助）人数（人）指标，预期指标值为等于2人，实际完成值为2人，指标完成率为100%，与预期目标一致，根据评分标准，该指标不扣分，得2分。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公务保障用车数量（辆）指标，预期指标值为等于4辆，实际完成值为2辆，指标完成率为50%，偏差率50%，偏差原因：2023年度报废公务用车2辆。改进措施：合理设置指标值。根据评分标准，该指标不得分，得0分。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办公人员数量（人）指标，预期指标值为大于等于38人，实际完成值为37人，指标完成率为97.36%偏差率0.64%，偏差原因：2023年度人员调出1人。改进措施：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举办活动场次（次）指标，预期指标值为大于等于1次，实际完成值为1次，指标完成率为100%，与预期目标一致，根据评分标准，该指标不扣分，得1分。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深入县市企业开展上门指导次数（次）指标，预期指标值为大于等于2次，实际完成值为2次，指标完成率为100%，与预期目标一致，根据评分标准，该指标不扣分，得1分。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喀什地区工业“十四五”发展规划中期评估及任务目标修订编制成果（套）指标，预期指标值为等于1套，实际完成值为1套，指标完成率为100%，与预期目标一致，根据评分标准，该指标不扣分，得1分。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“鲁喀杯”工业设计大赛（场）指标，预期指标值为1场，实际完成值为1场，指标完成率为100%，与预期目标一致，根据评分标准，该指标不扣分，得1分。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持协会数量（个）指标，预期指标值为1个，实际完成率为0%，偏差率100%，偏差原因：农副产品协会已成立，故启动资金已全额退回广东前指。改进措施：根据实际情况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工业企业综合创新管理服务平台开发（个）指标，预期指标值为1个，实际完成值为1个，指标完成率为100%，与预期目标一致，根据评分标准，该指标不扣分，得1分。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项目资金使用合规率（%）指标，预期指标值为等于100%，实际完成值为100%，指标完成率为100%，与预期目标一致，根据评分标准，该指标不扣分，得10分。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资金发放（补助）及时率（%）指标，预期指标值为等于100%，实际完成值为100%，指标完成率为100%，与预期目标一致，根据评分标准，该指标不扣分，得10分。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生活补助成本（万元/月/人）指标，预期指标值为小于等于0.35万元/月/人，实际完成值为0.35万元/月/人，指标完成率为100%，与预期目标一致，根据评分标准，该指标不扣分，得4分。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援疆工作补贴成本（万元/月/人）指标，预期指标值为小于等于0.15万元/月/人，实际完成值为0.15万元/月/人，指标完成率为100%，与预期目标一致，根据评分标准，该指标不扣分，得4分。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费用成本（万元）指标，预期指标值为小于等于18万元，实际完成值为6.15万元，指标完成率为34.16%，偏差率65.84%，偏差原因：人才培养项目已实施完成，因该项目审计报告尚未编制完成，故部分资金未支出。改进措施：根据实际情况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编制费用成本（万元）指标，预期指标值为小于等于8万元，实际完成值为4.8万元，指标完成率为60%，偏差率40%，偏差原因：</w:t>
      </w:r>
      <w:r>
        <w:rPr>
          <w:rStyle w:val="18"/>
          <w:rFonts w:hint="eastAsia" w:ascii="仿宋" w:hAnsi="仿宋" w:eastAsia="仿宋" w:cs="仿宋"/>
          <w:b w:val="0"/>
          <w:bCs w:val="0"/>
          <w:spacing w:val="-4"/>
          <w:sz w:val="32"/>
          <w:szCs w:val="32"/>
          <w:lang w:eastAsia="zh-CN"/>
        </w:rPr>
        <w:t>“十四五”规划</w:t>
      </w:r>
      <w:r>
        <w:rPr>
          <w:rStyle w:val="18"/>
          <w:rFonts w:hint="eastAsia" w:ascii="仿宋" w:hAnsi="仿宋" w:eastAsia="仿宋" w:cs="仿宋"/>
          <w:b w:val="0"/>
          <w:bCs w:val="0"/>
          <w:spacing w:val="-4"/>
          <w:sz w:val="32"/>
          <w:szCs w:val="32"/>
        </w:rPr>
        <w:t>中期调整项目已实施完成，造成资金结余。改进措施：合理设置指标值。根据评分标准，该指标不得分，得0分。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大仓东移项目成本（万元）指标，预期指标值为小于等于1860.80万元，实际完成值为1848.01万元，指标完成率为99.31%，偏差率为0.69%，偏差原因：大仓东移项目已全部实施完成，按照审计报告支付资金，出现资金结余。改进措施：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鲁喀两地三交活动成本（万元）指标，预期指标值为小于等于89.4万元，实际完成值为88.78万元，指标完成率为99.31%，偏差率0.69%，偏差原因：鲁喀两地三交活动已实施完成，实际产生费用低于预算金额，造成资金结余。改进措施：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山东文旅频道市场援疆及媒体宣传成本（万元）指标，预期指标值为小于等于62.21万元，实际完成值为59.06万元，指标完成率为94.94%，偏差率5.06%，偏差原因：项目实施完成，按照实际费用支付资金，项目资金结余。改进措施：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其他支出成本（万元）指标，预期指标值为小于等于45.03万元，实际完成值为45.03万元，指标完成率为100%，与预期目标一致，根据评分标准，该指标不扣分，得1分。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鲁喀杯”工业设计暨研发创新大赛项目成本（万元）指标，预期指标值为小于等于100万元，实际完成值为98.78万元，指标完成率为98.78%，偏差率1.22%，偏差原因：本着厉行节俭节约的原则，项目实施完成，导致资金结余。改进措施：合理设置指标值。根据评分标准，该指标不得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合计得9分。</w:t>
      </w:r>
    </w:p>
    <w:p w14:paraId="0581581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1C4815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推进工业十大产业健康发展指标，该指标预期指标值为提高，实际完成值为提高，指标完成率为100%，与预期指标一致，根据评分标准，该指标不扣分，得10分。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对于“满意度指标：受益人员满意度（%）指标，预期指标值为等于100%，实际完成值为100%，指标完成率为100%，与预期目标一致，根据评分标准，该指标不扣9分,得3分。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活动参与人员满意度（%）指标，预期指标值为等于100%，实际完成值为100%，指标完成率为100%，与预期目标一致，根据评分标准，该指标不扣分,得3分。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服务企业满意度（%）指标，预期指标值为等于100%，实际完成值为100%，指标完成率为100%，与预期目标一致，根据评分标准，该指标不扣分,得4分。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14:paraId="5973EF5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16F0696B">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工信局单位结余收入项目预算2185.44万元，到位2185.44万元，实际支出2152.61万元，预算执行率为98.5%，项目绩效指标总体完成率为88.8%，偏差率为11.2%,偏差原因为①部分项目未实施，资金原路退回援疆指挥部；②部分项目已实施完成，资金出现结余，导致项目目标值和实际值有偏差；③部分项目已实施完成，审计报告未编制完成，故无法支付资金。采取的措施：根据项目实际情况，积极与财政、援疆指挥部对接，以便上级部门统筹使用该项目未使用的资金，对需根据申报及报告支付资金的项目，督促项目负责人对接审计机构尽快编制完成报告，及时根据报告支付资金。</w:t>
      </w:r>
    </w:p>
    <w:p w14:paraId="2B5F045D">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64F3752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一是财务管理制度健全。按照财务管理制度的要求严格遵循使用范围，资金到位后及时开展项目和资金投入。我单位目前对资金的管理按照支出涉及的经济科目规定，根据财务管理办法的相关制度执行，资金使用情况及时公开，有力保证了工作推进和资金安全、合规、高效使用。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二是资金拨付审批手续完整。根据制定的工作计划，按程序报相关领导审批，申请国库集中支付。各项资金全部实现国库集中支付、专款专用，不存在支出依据不合规、虚列项目支出、截留、挤占、挪用和超标准支出等现象，使资金的运用得到了合理的控制，工作进度和质量得到了切实的保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会计信息质量真实。严格执行《会计法》等财经法规，严格按照相关会计制度办理会计业务，进行会计核算，并做好会计记录，真实的反映资金管理情况，并接受市级财政、审批部门及相关部门的检查、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四是加强沟通协调，我单位及时向分管领导汇报项目进度，加强与企业的沟通，确保项目按期完成。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绩效评价方面还有待加强，对各项指标和指标值要进一步优化、完善，主要在细化、量化上改进。对单位的绩效评价报告质量还有待提高，绩效目标值中数量指标和成本指标设置不精准，数量指标中公务保障用车数量指标因2023年报废2辆车故未完成、支持协会数量指标因前期协会启动工作已完成故未支付启动资金，经济成本指标中指导费用成本因项目实施完成审计报告未完成故无法支付尾款、编制费用成本指标因编制规划节约成本故产生资金结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二是绩效管理经验不足。业务人员绩效管理意识有待增强，未能全面深入认识理解绩效管理工作的意义。绩效管理经验不足，预算绩效管理工作有待进一步落实。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三是绩效指标的明确性、可衡量性、相关性还需进一步提升。预算精细化管理还需完善，预算编制管理水平仍有进一步提升的空间。</w:t>
      </w:r>
    </w:p>
    <w:p w14:paraId="032B24C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6C53289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完善绩效考评体系，使考评有据可依。加强项目资金管理，保证项目资金使用管理的规范性、安全性和有效性，在项目实施前精准制定目标值，加强规范管理，提高绩效人员业务素质，学习与财务工作相关的知识，扩大知识面、拓宽视野、开阔思路，在业务上不断提高。在项目实施过程中，针对偏差较大的指标及时调整，使项目资金产生最大的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二是提高业务人员绩效管理意识，全面深入认识绩效管理工作的意义，进一步规范项目实施的程序。项目严格执行《喀什地区工信局收入支出管理制度》，严格按照项目实施方案稳步推进工信各项工作。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项目启动时同步做好档案的归纳与整理，及时整理、收集、汇总，健全档案资料。项目后续管理有待进一步加强和跟踪，持续完善预算绩效管理相关工作，建立全过程预算绩效管理链条，有效贯彻落实全面实施绩效管理的精神。</w:t>
      </w:r>
    </w:p>
    <w:p w14:paraId="24C1F02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0B5133FB">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0C5270B">
        <w:pPr>
          <w:pStyle w:val="12"/>
          <w:jc w:val="center"/>
        </w:pPr>
        <w:r>
          <w:fldChar w:fldCharType="begin"/>
        </w:r>
        <w:r>
          <w:instrText xml:space="preserve">PAGE   \* MERGEFORMAT</w:instrText>
        </w:r>
        <w:r>
          <w:fldChar w:fldCharType="separate"/>
        </w:r>
        <w:r>
          <w:rPr>
            <w:lang w:val="zh-CN"/>
          </w:rPr>
          <w:t>1</w:t>
        </w:r>
        <w:r>
          <w:fldChar w:fldCharType="end"/>
        </w:r>
      </w:p>
    </w:sdtContent>
  </w:sdt>
  <w:p w14:paraId="28AD8E6E">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631B3058"/>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2024-11-20T03:17:04Z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C1B57ECFECCB4AEF8437EBA1AF0E4516_12</vt:lpwstr>
  </property>
</Properties>
</file>