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0A1E7D">
      <w:pPr>
        <w:spacing w:line="570" w:lineRule="exact"/>
        <w:jc w:val="center"/>
        <w:rPr>
          <w:rFonts w:ascii="华文中宋" w:hAnsi="华文中宋" w:eastAsia="华文中宋" w:cs="宋体"/>
          <w:b/>
          <w:kern w:val="0"/>
          <w:sz w:val="52"/>
          <w:szCs w:val="52"/>
        </w:rPr>
      </w:pPr>
      <w:bookmarkStart w:id="0" w:name="_GoBack"/>
      <w:bookmarkEnd w:id="0"/>
    </w:p>
    <w:p w14:paraId="57608D1C">
      <w:pPr>
        <w:spacing w:line="570" w:lineRule="exact"/>
        <w:jc w:val="center"/>
        <w:rPr>
          <w:rFonts w:ascii="华文中宋" w:hAnsi="华文中宋" w:eastAsia="华文中宋" w:cs="宋体"/>
          <w:b/>
          <w:kern w:val="0"/>
          <w:sz w:val="52"/>
          <w:szCs w:val="52"/>
        </w:rPr>
      </w:pPr>
    </w:p>
    <w:p w14:paraId="5BCA2330">
      <w:pPr>
        <w:spacing w:line="570" w:lineRule="exact"/>
        <w:jc w:val="center"/>
        <w:rPr>
          <w:rFonts w:ascii="华文中宋" w:hAnsi="华文中宋" w:eastAsia="华文中宋" w:cs="宋体"/>
          <w:b/>
          <w:kern w:val="0"/>
          <w:sz w:val="52"/>
          <w:szCs w:val="52"/>
        </w:rPr>
      </w:pPr>
    </w:p>
    <w:p w14:paraId="10B59E0B">
      <w:pPr>
        <w:spacing w:line="570" w:lineRule="exact"/>
        <w:jc w:val="center"/>
        <w:rPr>
          <w:rFonts w:ascii="华文中宋" w:hAnsi="华文中宋" w:eastAsia="华文中宋" w:cs="宋体"/>
          <w:b/>
          <w:kern w:val="0"/>
          <w:sz w:val="52"/>
          <w:szCs w:val="52"/>
        </w:rPr>
      </w:pPr>
    </w:p>
    <w:p w14:paraId="7F93368E">
      <w:pPr>
        <w:spacing w:line="570" w:lineRule="exact"/>
        <w:jc w:val="both"/>
        <w:rPr>
          <w:rFonts w:ascii="华文中宋" w:hAnsi="华文中宋" w:eastAsia="华文中宋" w:cs="宋体"/>
          <w:b/>
          <w:kern w:val="0"/>
          <w:sz w:val="52"/>
          <w:szCs w:val="52"/>
        </w:rPr>
      </w:pPr>
    </w:p>
    <w:p w14:paraId="2AB2C13B">
      <w:pPr>
        <w:spacing w:line="570" w:lineRule="exact"/>
        <w:jc w:val="center"/>
        <w:rPr>
          <w:rFonts w:ascii="华文中宋" w:hAnsi="华文中宋" w:eastAsia="华文中宋" w:cs="宋体"/>
          <w:b/>
          <w:kern w:val="0"/>
          <w:sz w:val="52"/>
          <w:szCs w:val="52"/>
        </w:rPr>
      </w:pPr>
    </w:p>
    <w:p w14:paraId="3DAE9420">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40DFE248">
      <w:pPr>
        <w:spacing w:line="570" w:lineRule="exact"/>
        <w:jc w:val="center"/>
        <w:rPr>
          <w:rFonts w:ascii="华文中宋" w:hAnsi="华文中宋" w:eastAsia="华文中宋" w:cs="宋体"/>
          <w:b/>
          <w:kern w:val="0"/>
          <w:sz w:val="52"/>
          <w:szCs w:val="52"/>
        </w:rPr>
      </w:pPr>
    </w:p>
    <w:p w14:paraId="52857920">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5F67EA9F">
      <w:pPr>
        <w:spacing w:line="570" w:lineRule="exact"/>
        <w:jc w:val="center"/>
        <w:rPr>
          <w:rFonts w:hAnsi="宋体" w:eastAsia="仿宋_GB2312" w:cs="宋体"/>
          <w:kern w:val="0"/>
          <w:sz w:val="30"/>
          <w:szCs w:val="30"/>
        </w:rPr>
      </w:pPr>
    </w:p>
    <w:p w14:paraId="12F064D3">
      <w:pPr>
        <w:spacing w:line="570" w:lineRule="exact"/>
        <w:jc w:val="center"/>
        <w:rPr>
          <w:rFonts w:hAnsi="宋体" w:eastAsia="仿宋_GB2312" w:cs="宋体"/>
          <w:kern w:val="0"/>
          <w:sz w:val="30"/>
          <w:szCs w:val="30"/>
        </w:rPr>
      </w:pPr>
    </w:p>
    <w:p w14:paraId="2B0548AE">
      <w:pPr>
        <w:spacing w:line="570" w:lineRule="exact"/>
        <w:jc w:val="center"/>
        <w:rPr>
          <w:rFonts w:hAnsi="宋体" w:eastAsia="仿宋_GB2312" w:cs="宋体"/>
          <w:kern w:val="0"/>
          <w:sz w:val="30"/>
          <w:szCs w:val="30"/>
        </w:rPr>
      </w:pPr>
    </w:p>
    <w:p w14:paraId="549A9719">
      <w:pPr>
        <w:spacing w:line="570" w:lineRule="exact"/>
        <w:jc w:val="center"/>
        <w:rPr>
          <w:rFonts w:hAnsi="宋体" w:eastAsia="仿宋_GB2312" w:cs="宋体"/>
          <w:kern w:val="0"/>
          <w:sz w:val="30"/>
          <w:szCs w:val="30"/>
        </w:rPr>
      </w:pPr>
    </w:p>
    <w:p w14:paraId="089C4973">
      <w:pPr>
        <w:spacing w:line="570" w:lineRule="exact"/>
        <w:jc w:val="center"/>
        <w:rPr>
          <w:rFonts w:hAnsi="宋体" w:eastAsia="仿宋_GB2312" w:cs="宋体"/>
          <w:kern w:val="0"/>
          <w:sz w:val="30"/>
          <w:szCs w:val="30"/>
        </w:rPr>
      </w:pPr>
    </w:p>
    <w:p w14:paraId="2944DF2E">
      <w:pPr>
        <w:spacing w:line="570" w:lineRule="exact"/>
        <w:jc w:val="center"/>
        <w:rPr>
          <w:rFonts w:hAnsi="宋体" w:eastAsia="仿宋_GB2312" w:cs="宋体"/>
          <w:kern w:val="0"/>
          <w:sz w:val="30"/>
          <w:szCs w:val="30"/>
        </w:rPr>
      </w:pPr>
    </w:p>
    <w:p w14:paraId="45A9F83C">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新疆喀什地区2022年第二批中央林业草原生态保护恢复资金（草原生态修复治理补助）围栏项目</w:t>
      </w:r>
    </w:p>
    <w:p w14:paraId="089AB622">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新疆维吾尔自治区喀什地区林业和草原局（本级）</w:t>
      </w:r>
    </w:p>
    <w:p w14:paraId="50462D2D">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喀什地区林业和草原局</w:t>
      </w:r>
    </w:p>
    <w:p w14:paraId="267E5900">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周乐</w:t>
      </w:r>
    </w:p>
    <w:p w14:paraId="6DAF0DEF">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2024年04月11日</w:t>
      </w:r>
    </w:p>
    <w:p w14:paraId="06638553">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069903E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475C7C14">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2B624EE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新疆喀什地区2022年第二批中央林业草原生态保护恢复资金（草原生态修复治理补助）围栏项目实施前期、过程及效果，评价财政预算资金使用的效率及效益。通过该项目的实施，完成喀什地区35万亩围栏建设（其中：疏勒县2万亩、莎车县5万亩、叶城县10万亩、伽师县3万亩、巴楚县5万亩、塔什库尔干县10万亩）。通过围栏禁牧等退化草原生态修复治理措施，使项目区草原退化趋势得到根本遏制，草畜矛盾明显缓解，草原综合植被盖度稳步提高，草原生态状况持续改善，草原生态功能和生产功能显著提升，退化草原得到全面治理和修复，草原生态系统实现良性循环，形成人与自然和谐共生的新格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建设主要服务于当地草原生态修复治理。根据《关于下达2022年第二批中央林业草原生态保护恢复资金建设任务的通知》（新林规字〔2022〕119号）、《关于拨付2022年第二批中央林业草原生态保护恢复资金（国家级自然保护区、草原生态修复治理）的通知》（新财资环〔2022〕37号）、《关于拨付2022年第二批中央林业草原生态保护恢复资金的通知》（喀地财建〔2022〕31号）文件，项目内容为新建围栏禁牧35万亩，共新建围栏226880米，围栏门52个，设置标志牌25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新建围栏，实施禁牧措施，实现退化草原治理35万亩，减轻草原放牧压力，改善草原生态环境，天然草原植被盖度明显增加，牧草产量在原有基础上提高20%-40%，退化草原得到恢复，风沙侵害得到有效遏制，草原区水土流失问题得到整治。使人为破坏草原的行为得到有效制止，牧区实现草畜平衡，资源合理配置，天然草原生态环境明显改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林业和草原局为行政单位，正县级单位。编制12人，其中：行政人员编制12人、工勤0人、参公0人、事业编制0人。实有在职人数11人，其中：行政在职11人、工勤0人、参公0人、事业在职0人。离退休人员3人，其中：行政退休人员3人、事业退休0人。单位主要职能为：负责林业和草原及其生态保护修复的监督管理；拟订地区林业和草原发展战略、规划并组织实施和监督检查；组织地区林业和草原生态保护修复及造林绿化工作；组织实施林业和草原重点生态保护修复工程，指导公益林和商品林的培育；指导、监督全民义务植树、城乡绿化工作；负责地区森林、草原、湿地资源的监督管理；监督执行森林采伐限额；负责林地、草地管理，监督实施林地保护利用规划，指导国家级公益林划定和管理工作，管理国有林区的国有森林资源；负责草原禁牧、草畜平衡和草原生态修复治理工作，监督管理草原的开发利用；负责组织、协调、监督管理地区荒漠化防治工作；负责生物多样性保护相关工作；依法开展退耕（牧）还林还草，负责天然林保护工作；贯彻执行中央、自治区林业和草原经济调节政策，组织实施林业和草原生态补偿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《关于拨付2022年第二批中央林业草原生态保护恢复资金的通知》（喀地财建〔2022〕31号）共安排下达资金875万元，为2022年第二批中央林业草原生态保护恢复资金，最终确定项目资金总数为875万元。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截至2023年12月31日，实际支出733.78227万元，预算执行率83.86%。</w:t>
      </w:r>
    </w:p>
    <w:p w14:paraId="36FD38C8">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6C81B51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完成喀什地区2022年草原生态修复治理补助（35万亩围栏）项目实施方案编制、审查、批复等工作。二是完成喀什地区2022年草原生态修复治理补助（35万亩围栏）建设。其中：疏勒县2万亩、莎车县5万亩、叶城县10万亩、伽师县3万亩、巴楚县5万亩、塔什库尔干县10万亩。三是完成喀什地区2022年草原生态修复治理补助（35万亩围栏）建设项目验收工作，整理完善项目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2022年6月—8月：委托林草调查设计规划公司开展围栏勘察设计、编写实施方案，获得批复。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 年 9月—12月：委托第三方招投标公司开展招投标工作。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 年1月-2月：完成项目招投标，委托监理方及时督促中标单位施工。与施工方、监理方签订合同。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 年3月-7月：完成35万亩草原围栏建设工作，提交围栏竣工资料。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 年8月-10月：组织项目验收，现场查看围栏施工，确定围栏长度、位置、面积和质量，形成现场测量验收报告。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 年11月-12月：参加地区项目验收评审会，提交最终成果资料。完成项目结算审核以及决算。组织开展项目档案管理工作，撰写工作总结。</w:t>
      </w:r>
    </w:p>
    <w:p w14:paraId="403D1AC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4A9E023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733527D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042AD993">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04F831A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14:paraId="18E82DBD">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295CA46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周乐任评价组组长，绩效评价工作职责为负责全盘工作。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王亮力任评价组副组长，绩效评价工作职责为为对项目实施情况进行实地调查。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祁金亮任评价组成员，绩效评价工作职责为负责资料审核等工作。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6DF5EE9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1EABD5D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新疆喀什地区2022年第二批中央林业草原生态保护恢复资金（草原生态修复治理补助）围栏项目，增加项目区草地植被覆盖率，改善生态环境，增加当地居民收入，有效助力乡村振兴，提高当地居民生产、生活质量。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关于下达2022年第二批中央林业草原生态保护恢复资金建设任务的通知》（新林规字〔2022〕119号）、《关于拨付2022年第二批中央林业草原生态保护恢复资金（国家级自然保护区、草原生态修复治理）的通知》（新财资环〔2022〕37号）、《关于拨付2022年第二批中央林业草原生态保护恢复资金的通知》（喀地财建〔2022〕31号）文件立项，项目实施符合喀什地区草原生态修复治理实际需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新疆喀什地区2022年第二批中央林业草原生态保护恢复资金（草原生态修复治理补助）围栏项目预算安排875万元，实际支出733.78227万元，预算执行率83.86%。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通过项目实施，完成35万亩草原围栏建设。其中疏勒县1个项目区2万亩，新建围栏19563米，安装门5个，设置标志牌2块；莎车县2个项目区共5万亩，新建围栏42903米，安装门11个，设置标志牌5块；伽师县1个项目区3万亩，新建围栏23529米，安装门5个，设置标志牌3个；巴楚县2个项目区共5万亩，新建围栏43148米，安装门11个，设置标志牌5个；叶城县1个项目区10万亩，新建围栏50695米，安装门10个，设置标志牌5个；塔什库尔干县1个项目区10万亩，新建围栏47042米，安装门10个，设置标志牌5个，围栏均为铁制刺丝网围栏，设计标准符合《草原围栏建设技术规程》（NYT1237-2006）。</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使项目区草原退化趋势得到根本遏制，草畜矛盾明显缓解，草原综合植被盖度稳步提高，草原生态状况持续改善，草原生态功能和生产功能显著提升，退化草原得到全面治理和修复，草原生态系统实现良性循环，形成人与自然和谐共生的新格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新疆喀什地区2022年第二批中央林业草原生态保护恢复资金（草原生态修复治理补助）围栏项目进行客观评价，最终评分结果：评价总分92.73分，绩效等级为“优”。</w:t>
      </w:r>
    </w:p>
    <w:p w14:paraId="07E0761D">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4A33D1A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4742F7F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项目根据《关于下达2022年第二批中央林业草原生态保护恢复资金建设任务的通知》（新林规字〔2022〕119号）、《关于拨付2022年第二批中央林业草原生态保护恢复资金（国家级自然保护区、草原生态修复治理）的通知》（新财资环〔2022〕37号）、《关于拨付2022年第二批中央林业草原生态保护恢复资金的通知》（喀地财建〔2022〕31号）文件立项，结合喀什地区林业和草原局负责林业和草原及其生态保护修复的监督管理、组织地区林业和草原生态保护修复及造林绿化工作、组织实施林业和草原重点生态保护修复工程等职责，并组织实施。围绕2022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项目根据《关于下达2022年第二批中央林业草原生态保护恢复资金建设任务的通知》（新林规字〔2022〕119号）、《关于拨付2022年第二批中央林业草原生态保护恢复资金（国家级自然保护区、草原生态修复治理）的通知》（新财资环〔2022〕37号）、《关于拨付2022年第二批中央林业草原生态保护恢复资金的通知》（喀地财建〔2022〕31号）文件立项，委托具备林草调查设计规划资质的公司通过现场勘查，编制实施方案，经过多次专家审查获得批复。经过与喀什地区林业和草原局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新疆喀什地区2022年第二批中央林业草原生态保护恢复资金（草原生态修复治理补助）围栏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新疆喀什地区2022年第二批中央林业草原生态保护恢复资金（草原生态修复治理补助）围栏项目绩效目标细化分解为具体的绩效指标，共有一级指标4个，二级指标8个，三级指标12个。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预算编制经过科学论证，新疆喀什地区2022年第二批中央林业草原生态保护恢复资金（草原生态修复治理补助）围栏项目内容与喀什地区2022年草原生态修复治理补助（35万亩围栏）项目实施方案编制、审查、批复、35万亩围栏建设、项目验收以及整理完善项目档案等工作相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项目资金875万元，到位资金875万元，到位率100%。项目资金主要用于项目管理、实施方案编制、施工、建立、结算审核、决算等方面。资金分配与实际相适应，根据评分标准，该指标不扣分，得2分。</w:t>
      </w:r>
    </w:p>
    <w:p w14:paraId="44E01D5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780B473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项目过程类指标包括资金管理和组织实施两方面的内容，由5个三级指标构成，权重分为20分，实际得分18.75分，得分率为93.95%。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（1）资金到位率：项目资金875万元，到位资金875万元，到位率100%，财政资金足额拨付到位，根据评分标准，该指标不扣分，得3分。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（2）预算执行率：项目资金875万元，项目执行733.78227万元，执行率83.86%，结余资金为招标剩余后资金。预算编制较为详细，项目资金支出总体能够按照预算执行，根据评分标准，该指标扣1.21分，得1.79分。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（3）资金使用合规性：制定了《地区林业局机关财务管理办法》规定对经费使用进行规范管理，财务制度健全、执行严格，根据评分标准，该指标不扣分，得4分。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（4）管理制度健全性：根据《地区林业局行政事业单位财务会计内控制度》等相关管理办法，对财政专项资金进行严格管理，基本做到了专款专用，根据评分标准，该指标不扣分，得5分。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喀什地区林业和草原局提出项目实施方案，经过与局分管领导沟通后，报党组会议研究执行，财务对资金的使用合法合规性进行监督，年底对资金使用效果进行自评，根据评分标准，该指标不扣分，得5分。</w:t>
      </w:r>
    </w:p>
    <w:p w14:paraId="60A3B6B0">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4437AB4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项目产出类指标包括产出数量、产出质量、产出时效、产出成本四方面的内容，由4个三级指标构成，权重分为45分，实际得分38.94分，得分率为86.53%。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围栏工程量指标，预期指标值为等于35万亩，实际完成值为35万亩，指标完成率为100%，与预期目标一致，根据评分标准，该指标不扣分，得5分。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围栏项目（县市区个数）指标，预期指标值为等于6个，实际完成值为6个，指标完成率为100%，与预期目标一致，根据评分标准，该指标不扣分，得5分。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竣工验收合格率指标，预期指标值为等于100%，实际完成值为100%，指标完成率为100%，与预期目标一致，根据评分标准，该指标不扣分，得3分。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项目资金支付率指标，预期指标值为等于100%，实际完成值为100%，指标完成率为100%，预期目标一致，根据评分标准，该指标不扣分，得3分。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工程量完成率指标，预期指标值为等于100%，实际完成值为100%，指标完成率为100%，与预期目标一致，根据评分标准，该指标不扣分，得4分。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工程按期完成率指标，预期指标值为等于100%，实际完成值为100%，指标完成率为100%，与预期目标一致，根据评分标准，该指标不扣分，得5分。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工程计量拨款及时率指标，预期指标值为等于100%，实际完成值为100%，指标完成率为100%，与预期目标一致，根据评分标准，该指标不扣分，得5分。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程单位建设成本指标，预期指标值为小于等于25元/亩，实际完成值为20.96元/亩，指标完成率为83.84%，偏差原因：因2022年钢材价格变动，招投标过程中，报价低于预算，导致资金结余。采取的措施：今后科学合理设计项目预算，严格按照项目预算进行资金支付。根据评分标准，该指标扣6.06分，得8.94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合计得8.94分。</w:t>
      </w:r>
    </w:p>
    <w:p w14:paraId="568B24C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61AB953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围栏设施正常运转率指标，该指标预期指标值为95%，实际完成值为100%，指标完成率为105%，与预期目标存在合理偏差，根据评分标准，该指标不扣分，得3分。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围栏设施综合利用率指标，该指标预期指标值为100%，实际完成值为100%，指标完成率为100%，与预期指标一致，根据评分标准，该指标不扣分，得3分。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增加草原保护面积指标，该指标预期指标值为35万亩，实际完成值为35万亩，指标完成率为100%，与预期指标一致，根据评分标准，该指标不扣分，得4分。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项目区受益群体满意度指标，该指标预期指标值为95%，实际完成值为100%，指标完成率为105%，与预期目标存在合理偏差，根据评分标准，该指标不扣分,得10分。</w:t>
      </w:r>
    </w:p>
    <w:p w14:paraId="47E6B07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06865CDA">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疆喀什地区2022年第二批中央林业草原生态保护恢复资金（草原生态修复治理补助）围栏项目预算875万元，到位875万元，实际支出733.78万元，预算执行率为83.86%，项目绩效指标总体完成率为99.5%，偏差率为15.64%,偏差原因：因2022年钢材价格变动，招投标过程中，报价低于预算，结余141.22元均为招标剩余后资金。采取的措施：今后科学合理设计项目预算，严格按照项目预算进行资金支付。</w:t>
      </w:r>
    </w:p>
    <w:p w14:paraId="0366D921">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5957771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一是实行专款专用，不得以任何理由按部门切块或</w:t>
      </w:r>
      <w:r>
        <w:rPr>
          <w:rStyle w:val="18"/>
          <w:rFonts w:hint="eastAsia" w:ascii="仿宋" w:hAnsi="仿宋" w:eastAsia="仿宋" w:cs="仿宋"/>
          <w:b w:val="0"/>
          <w:bCs w:val="0"/>
          <w:spacing w:val="-4"/>
          <w:sz w:val="32"/>
          <w:szCs w:val="32"/>
          <w:lang w:eastAsia="zh-CN"/>
        </w:rPr>
        <w:t>挪作他用</w:t>
      </w:r>
      <w:r>
        <w:rPr>
          <w:rStyle w:val="18"/>
          <w:rFonts w:hint="eastAsia" w:ascii="仿宋" w:hAnsi="仿宋" w:eastAsia="仿宋" w:cs="仿宋"/>
          <w:b w:val="0"/>
          <w:bCs w:val="0"/>
          <w:spacing w:val="-4"/>
          <w:sz w:val="32"/>
          <w:szCs w:val="32"/>
        </w:rPr>
        <w:t>。严格执行财务制度，按专项资金管理要求，实行项目进度检查验收后，拨付资金的办法，保证项目质量和资金的使用。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二是项目档案指定专人负责，做好项目文件、批复文件、实施方案、项目建设阶段性总结、及项目实施过程中的图片影像资料等相关档案管理工作。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项目执行进度慢。因受疫情影响，项目无法正常开展招投标工作，项目进度自2022年8月起一直搁置，直至2023年才开始项目建设工作。二是结余资金较多。因2022年钢材价格变动，招投标过程中，报价低于预算，导致资金结余141.21173万元。</w:t>
      </w:r>
    </w:p>
    <w:p w14:paraId="2576A9E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004C390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1、在计划项目实施中，根据实际情况，合理考虑突发情况的发生并制定相关预案，严格按照项目实施方案按照实施方案去实施项目，保质保量完成项目。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2、在设置目标值时，根据历年相关指标的完成情况合理设置目标值，保障设置的目标值无偏差或偏差较小。</w:t>
      </w:r>
    </w:p>
    <w:p w14:paraId="390E275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7E0CBF1D">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021780B">
        <w:pPr>
          <w:pStyle w:val="12"/>
          <w:jc w:val="center"/>
        </w:pPr>
        <w:r>
          <w:fldChar w:fldCharType="begin"/>
        </w:r>
        <w:r>
          <w:instrText xml:space="preserve">PAGE   \* MERGEFORMAT</w:instrText>
        </w:r>
        <w:r>
          <w:fldChar w:fldCharType="separate"/>
        </w:r>
        <w:r>
          <w:rPr>
            <w:lang w:val="zh-CN"/>
          </w:rPr>
          <w:t>1</w:t>
        </w:r>
        <w:r>
          <w:fldChar w:fldCharType="end"/>
        </w:r>
      </w:p>
    </w:sdtContent>
  </w:sdt>
  <w:p w14:paraId="2AF39C05">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92D1608"/>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20</Pages>
  <Words>110</Words>
  <Characters>633</Characters>
  <Lines>5</Lines>
  <Paragraphs>1</Paragraphs>
  <TotalTime>1</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2024-11-20T03:14:14Z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3A8F5DA69E5143BF8E7812DE1FDB816A_12</vt:lpwstr>
  </property>
</Properties>
</file>