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b/>
          <w:color w:val="2D66A5"/>
          <w:sz w:val="42"/>
          <w:szCs w:val="42"/>
        </w:rPr>
      </w:pPr>
      <w:bookmarkStart w:id="0" w:name="_GoBack"/>
      <w:r>
        <w:rPr>
          <w:rFonts w:hint="eastAsia" w:ascii="微软雅黑" w:hAnsi="微软雅黑" w:eastAsia="微软雅黑" w:cs="微软雅黑"/>
          <w:b/>
          <w:i w:val="0"/>
          <w:caps w:val="0"/>
          <w:color w:val="2D66A5"/>
          <w:spacing w:val="0"/>
          <w:sz w:val="42"/>
          <w:szCs w:val="42"/>
          <w:shd w:val="clear" w:fill="FFFFFF"/>
        </w:rPr>
        <w:t>《新疆维吾尔自治区人民政府办公厅关于加快推进居家养老服务工作的实施意见》（新政办发〔2015〕138号）的解读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sz w:val="24"/>
          <w:szCs w:val="24"/>
          <w:shd w:val="clear" w:fill="FFFFFF"/>
        </w:rPr>
        <w:t>一、制定《实施意见》的背景和重要意义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一是积极应对人口老龄化的要求。我国是发展中国家中人口老龄化最严峻的国家。随着全区人口老龄化进程的加快，“421家庭”模式逐渐增多，家庭养老功能日益弱化，高龄老人、“空巢”、独居老人不断增多，各族老年人不同层次、多样化的养老服务需求日益凸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i w:val="0"/>
          <w:caps w:val="0"/>
          <w:color w:val="333333"/>
          <w:spacing w:val="0"/>
          <w:kern w:val="0"/>
          <w:sz w:val="24"/>
          <w:szCs w:val="24"/>
          <w:shd w:val="clear" w:fill="FFFFFF"/>
          <w:lang w:val="en-US" w:eastAsia="zh-CN" w:bidi="ar"/>
        </w:rPr>
        <w:t>二是解决当前养老服务业突出矛盾和问题的需要。近年来，我区养老服务业稳步发展，但全区“以居家养老为基础、社区养老为依托、机构养老为支撑”的养老服务体系尚未全面建立，居家养老服务需求尚未得到及时满足。解决好当前养老服务领域的突出矛盾和问题，进一步加快发展养老服务业已成为全社会的共同呼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三是推进经济持续健康发展的需要。养老服务业涉及长期照料、医疗康复、居家支持、精神慰藉乃至饮食服装、营养保健、休闲旅游、</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instrText xml:space="preserve"> HYPERLINK "https://baike.baidu.com/item/%E6%96%87%E5%8C%96%E4%BC%A0%E5%AA%92/4437100" </w:instrTex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24"/>
          <w:szCs w:val="24"/>
          <w:u w:val="none"/>
          <w:shd w:val="clear" w:fill="FFFFFF"/>
        </w:rPr>
        <w:t>文化传媒</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333333"/>
          <w:spacing w:val="0"/>
          <w:kern w:val="0"/>
          <w:sz w:val="24"/>
          <w:szCs w:val="24"/>
          <w:shd w:val="clear" w:fill="FFFFFF"/>
          <w:lang w:val="en-US" w:eastAsia="zh-CN" w:bidi="ar"/>
        </w:rPr>
        <w:t>、金融地产等方方面面，蕴含着巨大的老年消费市场。发展养老服务业是应对老龄化问题的长久之计，亦是当前扩内需、增就业的巨大潜力所在。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二、《实施意见》的主要任务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一是在统筹规划发展城市养老服务设施方面，提出地方对新建城区和新建居住（小）区要按人均用地不少于0.1平方米的标准配套建设养老服务设施，与住宅同步规划、同步建设、同步验收、同步交付使用，老城区和已建成居住（小）区要限期通过购置、置换、租赁等方式开辟养老服务设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二是在强调综合发挥各种多种设施作用方面，要求各地发挥社区卫生、文化、体育等公共服务设施为老年人服务的功能。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三是在建立完善居家养老便捷服务网络方面，提出政府要支持建立以企业和机构为主体、社区为纽带、满足老年人各种服务需求的居家养老服务网络。支持社区引入社会组织和家政、物业等企业，兴办或运营老年供餐、社区日间照料、老年活动中心等养老服务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四是在发展老年人文体娱乐服务方面，提出政府加大资助力度，加强社区为老服务专业人才培训，为基层老年性群众组织配备必要的文体娱乐器材，鼓励专业养老服务机构利用自身资源优势，培训和指导社区养老服务组织和人员，提升其组织开展文体娱乐活动的能力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五是在发展居家养老信息服务方面。提出采取社会力量投资、市场化运作、政府购买服务和资助监管的方式，支持企业和机构运用互联网、物联网等技术手段创新居家养老服务模式，发展老年电子商务，建设居家养老服务网络平台，提供紧急呼叫、家政预约、健康咨询、物品代购、服务缴费等适合老年人的服务项目。有条件的地方要为重点优抚对象、省级以上劳动模范中的老年人和散居“五保”、“三无”老人和低收入的高龄老人、失能老人免费配置电子呼叫等服务器材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三、《实施意见》的主要措施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从五个方面提出了一些新的有针对性和操作性的政策措施：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一是完善投融资政策。提出各地要逐步加大投入，安排财政性资金支持居家养老服务体系建设，积极支持居家养老服务设施和无障碍设施改造，鼓励和支持社会力量参与、兴办居家养老服务业。积极利用财政贴息、小额贷款等方式，加大对居家养老服务业的信贷投入。鼓励居家养老服务机构投保责任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二是完善税收优惠政策。对养老院类的养老服务机构提供的居家养老服务免征营业税，对非营利性养老机构自用房产、土地免征房产税、城镇土地使用税，对符合条件的非营利性养老机构按规定免征企业所得税。各地对非营利性居家养老机构建设要免征有关事业性收费，对营利性居家养老服务机构建设要减半征收有关行政事业性收费，对养老机构提供居家养老服务也要减免行政事业性收费，居家养老机构用电、用水、用气、用热按居民生活类价格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三是完善补贴支持政策。落实对居家养老服务企业、机构的建设资助和运营补贴。可根据居家养老服务的实际需要，通过补助投资、贷款贴息、购买服务等方式，支持社会力量举办居家养老服务机构，开展居家养老服务。进一步完善政府向社会力量购买养老服务的政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四是完善人才培养和就业政策。依托院校和养老机构建立养老服务实训基地，加强对居家养老服务人员的培训。居家养老机构应当积极改善养老护理员工作条件，加强劳动保护和职业防护，依法缴纳养老保险等社会保险费，提高从业人员的工资福利待遇。对在居家养老机构就业的专业技术人员，执行与医疗机构、福利机构相同的执业资格、注册考核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五是鼓励公益慈善组织支持居家养老服务。积极培育发展为老服务公益慈善组织，使之成为居家养老服务的重要力量。积极扶持发展各类为老服务志愿组织，开展志愿服务活动。倡导机关干部和企事业单位职工、大中小学学生参加养老服务志愿活动。支持老年群众组织开展自我管理、自我服务和服务社会活动。探索建立健康老人参与志愿互助服务的工作机制，建立为老志愿服务登记制度，鼓励国家机关、企业、事业单位在同等条件下优先录用、聘用和录取有相关志愿服务经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四、《实施意见》的组织领导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rPr>
      </w:pPr>
      <w:r>
        <w:rPr>
          <w:rFonts w:hint="eastAsia" w:ascii="宋体" w:hAnsi="宋体" w:eastAsia="宋体" w:cs="宋体"/>
          <w:b w:val="0"/>
          <w:i w:val="0"/>
          <w:caps w:val="0"/>
          <w:color w:val="333333"/>
          <w:spacing w:val="0"/>
          <w:kern w:val="0"/>
          <w:sz w:val="24"/>
          <w:szCs w:val="24"/>
          <w:shd w:val="clear" w:fill="FFFFFF"/>
          <w:lang w:val="en-US" w:eastAsia="zh-CN" w:bidi="ar"/>
        </w:rPr>
        <w:t>提出了健全工作机制，明确发展思路，强化行业监督，营造发展环境，加强行业监管工作，并明确督促检查的责任部门和要求。</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7488F"/>
    <w:rsid w:val="0B27488F"/>
    <w:rsid w:val="45F1391E"/>
    <w:rsid w:val="6B65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2023-10-24T03:09:00Z</dcterms:created>
  <dc:creator>Administrator</dc:creator>
  <cp:lastModifiedBy>Administrator</cp:lastModifiedBy>
  <dcterms:modified xsi:type="dcterms:W3CDTF">2023-10-24T08:27:47Z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