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b/>
          <w:color w:val="2D66A5"/>
          <w:sz w:val="42"/>
          <w:szCs w:val="42"/>
        </w:rPr>
      </w:pPr>
      <w:r>
        <w:rPr>
          <w:rFonts w:hint="eastAsia" w:ascii="微软雅黑" w:hAnsi="微软雅黑" w:eastAsia="微软雅黑" w:cs="微软雅黑"/>
          <w:b/>
          <w:i w:val="0"/>
          <w:caps w:val="0"/>
          <w:color w:val="2D66A5"/>
          <w:spacing w:val="0"/>
          <w:sz w:val="42"/>
          <w:szCs w:val="42"/>
          <w:shd w:val="clear" w:fill="FFFFFF"/>
        </w:rPr>
        <w:t>《自治区民政厅、财政厅、卫生和计划生育委员会、老龄工作委员会办公室关于建立健全经济困难的高龄失能老年人补贴制度的实施意见》的政策解读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bookmarkStart w:id="0" w:name="_GoBack"/>
      <w:bookmarkEnd w:id="0"/>
      <w:r>
        <w:rPr>
          <w:rFonts w:hint="eastAsia" w:ascii="宋体" w:hAnsi="宋体" w:eastAsia="宋体" w:cs="宋体"/>
          <w:i w:val="0"/>
          <w:caps w:val="0"/>
          <w:color w:val="333333"/>
          <w:spacing w:val="0"/>
          <w:kern w:val="0"/>
          <w:sz w:val="24"/>
          <w:szCs w:val="24"/>
          <w:shd w:val="clear" w:fill="FFFFFF"/>
          <w:lang w:val="en-US" w:eastAsia="zh-CN" w:bidi="ar"/>
        </w:rPr>
        <w:t>一、起草背景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2015年我区共有60岁以上老年人262.91万人，占全区总人口的11.32%。其中空巢老年人34.66万人，失能失智老年人6.69万人，占老年人口总数的4.87%；80岁以上老年人25.23万人。我区老年人群体呈现基数大、增长快、高龄化、空巢化的趋势，失能、半失能老人照料服务矛盾日渐突出，迫切需要社会提供多样化、多层次的养老服务。建立高龄、失能等老年人补贴制度，是惠及百姓的民心工程，对于保障经济困难老年人共享发展成果，</w:t>
      </w:r>
      <w:r>
        <w:rPr>
          <w:rFonts w:hint="eastAsia" w:ascii="宋体" w:hAnsi="宋体" w:eastAsia="宋体" w:cs="宋体"/>
          <w:i w:val="0"/>
          <w:caps w:val="0"/>
          <w:color w:val="333333"/>
          <w:spacing w:val="-6"/>
          <w:kern w:val="0"/>
          <w:sz w:val="24"/>
          <w:szCs w:val="24"/>
          <w:shd w:val="clear" w:fill="FFFFFF"/>
          <w:lang w:val="en-US" w:eastAsia="zh-CN" w:bidi="ar"/>
        </w:rPr>
        <w:t>维护社会公平正义，保持社会和谐稳定，具有十分重要的促进作用。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二、起草依据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为贯彻自治区党委、人民政府关于实施“民生工程”的总体部署，根据财政部、民政部、全国老龄工作委员会办公室《关于建立健全经济困难的高龄失能等老年人补贴制度的通知》（财社〔2014〕113号）文件精神和要求，进一步推进我区社会养老服务体系建设，做好经济困难老年人养老服务保障工作，结合我区实际，制定本实施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三、基本原则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（一）保基本、可持续原则。充分考虑各地经济社会发展水平，注重补贴范围、标准与其他保障制度相衔接，优先保障经济困难的高龄、失能老年人的养老服务需求；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（二）属地管理、分类保障原则。高龄、失能等老年人补贴对象以户籍为基础，实行属地化管理，资金由同级财政分类保障；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（三）公开、公平、公正原则。建立公开透明的管理制度，规范操作、严格审批、加强监管，接受社会监督。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四、主要内容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（一）补贴对象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经济困难的80周岁以上高龄老年人、失能老年人（由卫生部门界定：失能老年人是老年人因患慢性疾病、躯体损伤、心理失调导致身体功能受损,进而导致丧失生活自理能力的老人，称为“失能老人”。按照国际通行标准分析，吃饭、穿衣、上下床、上厕所、室内走动、洗澡6项指标，一到两项“做不了”的，定义为“轻度失能”，三到四项“做不了”的定义为“中度失能”，五到六项“做不了”的定义为“重度失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（二）补贴标准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按照自治区《关于印发80岁以上老年人基本生活津贴制度和80岁以上老年人免费体检制度》（新党办发〔2011〕31号）精神，各地结合实际，确定与当地经济社会发展水平相适应的补贴对象和补贴标准。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同时符合上述条件的老年人，已享受重残补贴或特殊困难残疾人生活救助等补助的老年人，按照就高的原则，不重复享受。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（三）补贴方式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根据老年人或其家庭意愿，到养老服务机构接受服务的，经老年人或法定赡养人同意，其补贴由当地财政部门支付给相应的养老服务机构；居家接受服务的，经老年人或法定赡养人同意，由当地财政部门支付给提供服务的居家养老服务机构或组织；委托亲友、邻里提供服务的，根据政府或委托的基层养老服务组织、老年人和服务提供人三方签订的协议，经老年人或法定赡养人同意，由当地财政部门支付给提供服务的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五、保障措施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（一）加强组织领导。将高龄、失能等老年人补贴制度列入重要议事日程，纳入政府目标管理和绩效考核，纳入政府年度重点工作和为民办实事项目，抓好责任落实，加大推进力度。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（二）加大投入力度。坚持政府主导、社会参与，建立健全资金筹集和监管机制，将高龄、失能等老年人补贴及开展养老服务需求评估所需资金列入各地财政预算，专款专用。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三）健全管理制度。建立完善高龄、失能等老年人补贴工作的相关制度，对补贴对象进行登记造册，建立台账档案。建立科学合理、运转高效的评估机制，建立发放补贴基础数据，实现自治区、地（州、市）、县（市、区）信息共享和动态管理。建立统计报告制度和公示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（四）营造社会氛围。要充分运用各类新闻媒体，加大相关政策宣传力度，公布高龄、失能等老年人补贴的发放范围、标准</w:t>
      </w:r>
      <w:r>
        <w:rPr>
          <w:rFonts w:hint="eastAsia" w:ascii="宋体" w:hAnsi="宋体" w:eastAsia="宋体" w:cs="宋体"/>
          <w:i w:val="0"/>
          <w:caps w:val="0"/>
          <w:color w:val="333333"/>
          <w:spacing w:val="-6"/>
          <w:kern w:val="0"/>
          <w:sz w:val="24"/>
          <w:szCs w:val="24"/>
          <w:shd w:val="clear" w:fill="FFFFFF"/>
          <w:lang w:val="en-US" w:eastAsia="zh-CN" w:bidi="ar"/>
        </w:rPr>
        <w:t>和程序，使这项优待政策家喻户晓，使老年人得到实实在在的服务。</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13F52"/>
    <w:rsid w:val="1D8B5995"/>
    <w:rsid w:val="52813F52"/>
    <w:rsid w:val="675110B6"/>
    <w:rsid w:val="68EB1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2023-10-24T03:06:00Z</dcterms:created>
  <dc:creator>Administrator</dc:creator>
  <cp:lastModifiedBy>Administrator</cp:lastModifiedBy>
  <dcterms:modified xsi:type="dcterms:W3CDTF">2023-10-24T05:51:08Z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