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15026" w:type="dxa"/>
        <w:jc w:val="center"/>
        <w:tblInd w:w="-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9"/>
        <w:gridCol w:w="376"/>
        <w:gridCol w:w="2136"/>
        <w:gridCol w:w="743"/>
        <w:gridCol w:w="713"/>
        <w:gridCol w:w="740"/>
        <w:gridCol w:w="734"/>
        <w:gridCol w:w="824"/>
        <w:gridCol w:w="735"/>
        <w:gridCol w:w="810"/>
        <w:gridCol w:w="813"/>
        <w:gridCol w:w="687"/>
        <w:gridCol w:w="735"/>
        <w:gridCol w:w="666"/>
        <w:gridCol w:w="651"/>
        <w:gridCol w:w="687"/>
        <w:gridCol w:w="1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2022年中央实际种粮农民一次性补贴绩效目标表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Ansi="Times New Roman"/>
                <w:lang w:bidi="ar"/>
              </w:rPr>
            </w:pPr>
            <w:r>
              <w:rPr>
                <w:rStyle w:val="8"/>
                <w:rFonts w:hAnsi="Times New Roman"/>
                <w:lang w:bidi="ar"/>
              </w:rPr>
              <w:t>（</w:t>
            </w:r>
            <w:r>
              <w:rPr>
                <w:rStyle w:val="9"/>
                <w:lang w:bidi="ar"/>
              </w:rPr>
              <w:t>202</w:t>
            </w:r>
            <w:r>
              <w:rPr>
                <w:rStyle w:val="9"/>
                <w:rFonts w:hint="eastAsia"/>
                <w:lang w:bidi="ar"/>
              </w:rPr>
              <w:t>2</w:t>
            </w:r>
            <w:r>
              <w:rPr>
                <w:rStyle w:val="8"/>
                <w:rFonts w:hAnsi="Times New Roman"/>
                <w:lang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资金名称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中央实际种粮农民一次性补贴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地区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总绩效目标</w:t>
            </w:r>
          </w:p>
        </w:tc>
        <w:tc>
          <w:tcPr>
            <w:tcW w:w="99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分区域绩效目标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中央主管部门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财政部、农业农村部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喀什市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疏附县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疏勒县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英吉沙县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泽普县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莎车县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叶城县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麦盖提县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岳普湖县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伽师县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巴楚县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塔县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省级财政部门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新疆维吾尔自治区财政厅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8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市财政局、农业农村局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省级主管部门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新疆维吾尔自治区农业农村厅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83" w:type="dxa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资金情况（万元）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年度金额：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  <w:t>1175.7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  <w:t>1175.7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165.5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105.27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164.44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128.63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106.70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79.06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426.1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其中：中央补助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  <w:t>1175.7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  <w:t>1175.7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165.5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105.27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164.44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128.63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106.70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79.06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426.1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地方资金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.0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.0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年度目标</w:t>
            </w:r>
          </w:p>
        </w:tc>
        <w:tc>
          <w:tcPr>
            <w:tcW w:w="3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保障农民等生产主体种粮收益。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一级指标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二级指标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三级指标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指标值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exac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绩效指标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产出指标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数量指标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春小麦补贴面积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eastAsia="zh-CN" w:bidi="ar"/>
              </w:rPr>
              <w:t>（万亩）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5.01（其中：春小麦耕地地力保护资金补充2.786万亩，种粮农民一次性补贴1.016万亩，剩余3.99万亩春小麦存在种粮农民一次性补贴缺口）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补贴资金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eastAsia="zh-CN" w:bidi="ar"/>
              </w:rPr>
              <w:t>万元）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  <w:t>1175.7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6"/>
                <w:szCs w:val="16"/>
                <w:lang w:val="en-US" w:eastAsia="zh-CN" w:bidi="ar"/>
              </w:rPr>
              <w:t>1175.7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165.5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105.27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164.44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128.63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106.70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79.06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426.1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质量指标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保障粮食安全能力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明显提升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补贴资金兑付率（%）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时效指标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完成农民补贴资金兑付时限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日前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效益指标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经济效益指标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种粮农户收益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社会效益指标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农民种粮积极性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有所提高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资金使用重大违规违纪问题（有</w:t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/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满意度指标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服务对象满意度指标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实际种粮农民一次性补贴政策群众满意度（</w:t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%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≥85%</w:t>
            </w:r>
          </w:p>
        </w:tc>
      </w:tr>
    </w:tbl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40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0049"/>
    <w:rsid w:val="130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Autospacing="1" w:after="100" w:afterAutospacing="1"/>
      <w:jc w:val="left"/>
      <w:outlineLvl w:val="2"/>
    </w:pPr>
    <w:rPr>
      <w:rFonts w:ascii="Times New Roman" w:hAnsi="Times New Roman" w:eastAsia="宋体" w:cs="Times New Roman"/>
      <w:b/>
      <w:bCs/>
      <w:kern w:val="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customStyle="1" w:styleId="8">
    <w:name w:val="font141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9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91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12">
    <w:name w:val="font7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41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2022-04-29T10:32:00Z</dcterms:created>
  <dc:creator>Administrator</dc:creator>
  <cp:lastModifiedBy>Administrator</cp:lastModifiedBy>
  <dcterms:modified xsi:type="dcterms:W3CDTF">2022-04-29T10:33:23Z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