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新疆喀什地区中级人民法院2019年度部门决算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8853A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322FD5">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322FD5">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322FD5">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322FD5">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322FD5">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322FD5">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322FD5">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8853A8">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471BBD" w:rsidRDefault="00AE6C82" w:rsidP="00725755">
      <w:pPr>
        <w:rPr>
          <w:rFonts w:ascii="仿宋_GB2312" w:eastAsia="仿宋_GB2312"/>
          <w:sz w:val="32"/>
          <w:szCs w:val="32"/>
        </w:rPr>
      </w:pPr>
      <w:r>
        <w:rPr>
          <w:rFonts w:ascii="仿宋_GB2312" w:eastAsia="仿宋_GB2312" w:hAnsi="仿宋_GB2312" w:cs="仿宋_GB2312"/>
          <w:sz w:val="32"/>
        </w:rPr>
        <w:t xml:space="preserve">    喀什地区中级人民法院是国家的审判机关，对自治区高级人民法院、中共喀什地区委员会和地区人大工委报告工作；接受新疆维吾尔自治区高级人员法院对审判工作的监督指导，指导监督喀什地区各县（市）人民法院的审判工作。      1、审判法律规定由喀什地区中级人民法院管辖、自治区高级人民法院指定管辖或者认为应由自己审判的刑事、民事和行政等第一审案件。      2、审判法律规定由喀什地区中级人民法院审理的刑事、民事、行政等第二审案件。      3、审理由自治区高级法院指令再审的案件；审理本院发生法律效力的判决、裁定提起再审的案件；受理不服下级人民法院判决、裁定的各类申诉和申请再审的案件。      4、审判由喀什地区检察分院按照审判监督程序提出的抗诉案件。      5、对下级人民法院管辖不明的案件指定管辖。      6、指导监督喀什地区基层人民法院的审判工作。      7、办理法律规定由喀什地区中级人民法院管辖的减刑、假释案件。      8、依法行使司法规定执行权和司法决定权。      9、依法决定国家赔偿。      10、对法律、法规、规章等草案提出意见；研究拟订喀什地区中级人民法院工作的规章制度，针对案件审理中发现的问题提出司法建议。      11、开展法院司法科学技术研究工作，提供司法技术信息和技术鉴定服</w:t>
      </w:r>
      <w:r>
        <w:rPr>
          <w:rFonts w:ascii="仿宋_GB2312" w:eastAsia="仿宋_GB2312" w:hAnsi="仿宋_GB2312" w:cs="仿宋_GB2312"/>
          <w:sz w:val="32"/>
        </w:rPr>
        <w:lastRenderedPageBreak/>
        <w:t>务。      12、指导喀什地区基层人民法院的思想政治、宣传教育和培训工作；协同中共喀什地委主管部门加强辖区内基层人民法院领导班子和队伍建设；按照权限管理法官和其他工作人员，协同喀什地区主管部门管理喀什地区两级人民法院的机构设置及人员编制工作。      13、指导喀什地区两级人民法院的监察工作。      14、负债法警教育、训练、管理及日常工作。      15、在审判工作中宣传法制，教育公民自觉遵守宪法、法律。      16、管理喀什地区两级法院的有关经费和物资装备。      17、承办其他应由喀什地区中级人民法院负债的工作。</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新疆喀什地区中级人民法院2019年度，实有人数301人，其中：在职人员207人，离休人员1人，退休人员93人。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从部门决算单位构成看，新疆喀什地区中级人民法院部门决算包括：新疆喀什地区中级人民法院决算。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2019年度本年收入6,389.12万元，与上年相比，增加71.89万元，增长1.14%，主要原因是：1、新增聘任制书记员54人；2、工资正常晋升；3、新增1个项目。本年支出6,211.25万元，与上年相比，增加360.45万元，增长6.16%，</w:t>
      </w:r>
      <w:r>
        <w:rPr>
          <w:rFonts w:ascii="仿宋_GB2312" w:eastAsia="仿宋_GB2312" w:hAnsi="仿宋_GB2312" w:cs="仿宋_GB2312"/>
          <w:sz w:val="32"/>
        </w:rPr>
        <w:lastRenderedPageBreak/>
        <w:t>主要原因是：1、新增聘任制书记员54人；2、工资正常晋升；3、新增1个项目。</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2019年度本年收入6,389.12万元，其中：财政拨款收入5,849.12万元，占91.55%；上级补助收入0万元，占0%；事业收入0万元，占0%；经营收入0万元，占0%；附属单位上缴收入0万元，占0%；其他收入540万元，占8.45%。</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2019年度本年支出6,211.25万元，其中：基本支出4,283.84万元，占68.97%；项目支出1,927.41万元，占31.03%；上缴上级支出0万元，占0%；经营支出0万元，占0%；对附属单位补助支出0万元，占0%。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5,849.12万元，与上年相比，增加256.89万元，增长4.59%，主要原因是：1、新增聘任制书记员54人；2、工资正常晋升；3、新增1个项目。财政拨款支出5,849.12万元，与上年相比，增加256.89万元，增长4.59%，主要原因是：1、新增聘任制书记员54人；2、工资正常晋升；3、新增1个项目。</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与年初预算数相比情况：财政拨款收入年初预算数4,251.39万元，决算数5,849.12万元，预决算差异率37.58%，主要原因是：1、年初预算中不包含当年上级专项；2、年中</w:t>
      </w:r>
      <w:r>
        <w:rPr>
          <w:rFonts w:ascii="仿宋_GB2312" w:eastAsia="仿宋_GB2312" w:hAnsi="仿宋_GB2312" w:cs="仿宋_GB2312"/>
          <w:sz w:val="32"/>
        </w:rPr>
        <w:lastRenderedPageBreak/>
        <w:t>新增聘任制书记员54人；3、工资正常晋升，人员经费调增；4、年中追加1个项目。财政拨款支出年初预算数4,251.39万元，决算数5,849.12万元，预决算差异率37.58%，主要原因是：1、年初预算中不包含当年上级专项；2、年中新增聘任制书记员54人；3、工资正常晋升，人员经费调增；4、年中追加1个项目。</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2019年度一般公共预算财政拨款支出5,849.12万元。按功能分类科目项级科目公开，其中：</w:t>
      </w:r>
    </w:p>
    <w:p w:rsidR="00FB3A48" w:rsidRDefault="00322FD5">
      <w:pPr>
        <w:ind w:firstLine="480"/>
      </w:pPr>
      <w:r>
        <w:rPr>
          <w:rFonts w:ascii="仿宋_GB2312" w:eastAsia="仿宋_GB2312" w:hAnsi="仿宋_GB2312" w:cs="仿宋_GB2312"/>
          <w:sz w:val="32"/>
        </w:rPr>
        <w:t xml:space="preserve">   2299901</w:t>
      </w:r>
      <w:r>
        <w:rPr>
          <w:rFonts w:ascii="仿宋_GB2312" w:eastAsia="仿宋_GB2312" w:hAnsi="仿宋_GB2312" w:cs="仿宋_GB2312"/>
          <w:sz w:val="32"/>
        </w:rPr>
        <w:t>其他支出</w:t>
      </w:r>
      <w:r>
        <w:rPr>
          <w:rFonts w:ascii="仿宋_GB2312" w:eastAsia="仿宋_GB2312" w:hAnsi="仿宋_GB2312" w:cs="仿宋_GB2312"/>
          <w:sz w:val="32"/>
        </w:rPr>
        <w:t>57</w:t>
      </w:r>
      <w:r w:rsidR="004D6569">
        <w:rPr>
          <w:rFonts w:ascii="仿宋_GB2312" w:eastAsia="仿宋_GB2312" w:hAnsi="仿宋_GB2312" w:cs="仿宋_GB2312"/>
          <w:sz w:val="32"/>
        </w:rPr>
        <w:t>万元；</w:t>
      </w:r>
      <w:bookmarkStart w:id="18" w:name="_GoBack"/>
      <w:bookmarkEnd w:id="18"/>
    </w:p>
    <w:p w:rsidR="00FB3A48" w:rsidRDefault="00322FD5">
      <w:pPr>
        <w:ind w:firstLine="480"/>
      </w:pPr>
      <w:r>
        <w:rPr>
          <w:rFonts w:ascii="仿宋_GB2312" w:eastAsia="仿宋_GB2312" w:hAnsi="仿宋_GB2312" w:cs="仿宋_GB2312"/>
          <w:sz w:val="32"/>
        </w:rPr>
        <w:t xml:space="preserve">   2210201</w:t>
      </w:r>
      <w:r>
        <w:rPr>
          <w:rFonts w:ascii="仿宋_GB2312" w:eastAsia="仿宋_GB2312" w:hAnsi="仿宋_GB2312" w:cs="仿宋_GB2312"/>
          <w:sz w:val="32"/>
        </w:rPr>
        <w:t>住房公积金支出</w:t>
      </w:r>
      <w:r>
        <w:rPr>
          <w:rFonts w:ascii="仿宋_GB2312" w:eastAsia="仿宋_GB2312" w:hAnsi="仿宋_GB2312" w:cs="仿宋_GB2312"/>
          <w:sz w:val="32"/>
        </w:rPr>
        <w:t>234.24</w:t>
      </w:r>
      <w:r>
        <w:rPr>
          <w:rFonts w:ascii="仿宋_GB2312" w:eastAsia="仿宋_GB2312" w:hAnsi="仿宋_GB2312" w:cs="仿宋_GB2312"/>
          <w:sz w:val="32"/>
        </w:rPr>
        <w:t>万元；</w:t>
      </w:r>
    </w:p>
    <w:p w:rsidR="00FB3A48" w:rsidRDefault="00322FD5">
      <w:pPr>
        <w:ind w:firstLine="480"/>
      </w:pPr>
      <w:r>
        <w:rPr>
          <w:rFonts w:ascii="仿宋_GB2312" w:eastAsia="仿宋_GB2312" w:hAnsi="仿宋_GB2312" w:cs="仿宋_GB2312"/>
          <w:sz w:val="32"/>
        </w:rPr>
        <w:t xml:space="preserve">   2080506</w:t>
      </w:r>
      <w:r>
        <w:rPr>
          <w:rFonts w:ascii="仿宋_GB2312" w:eastAsia="仿宋_GB2312" w:hAnsi="仿宋_GB2312" w:cs="仿宋_GB2312"/>
          <w:sz w:val="32"/>
        </w:rPr>
        <w:t>机关事业单位职业年金缴费支出</w:t>
      </w:r>
      <w:r>
        <w:rPr>
          <w:rFonts w:ascii="仿宋_GB2312" w:eastAsia="仿宋_GB2312" w:hAnsi="仿宋_GB2312" w:cs="仿宋_GB2312"/>
          <w:sz w:val="32"/>
        </w:rPr>
        <w:t>54.73</w:t>
      </w:r>
      <w:r>
        <w:rPr>
          <w:rFonts w:ascii="仿宋_GB2312" w:eastAsia="仿宋_GB2312" w:hAnsi="仿宋_GB2312" w:cs="仿宋_GB2312"/>
          <w:sz w:val="32"/>
        </w:rPr>
        <w:t>万元；</w:t>
      </w:r>
    </w:p>
    <w:p w:rsidR="00FB3A48" w:rsidRDefault="00322FD5">
      <w:pPr>
        <w:ind w:firstLine="480"/>
      </w:pPr>
      <w:r>
        <w:rPr>
          <w:rFonts w:ascii="仿宋_GB2312" w:eastAsia="仿宋_GB2312" w:hAnsi="仿宋_GB2312" w:cs="仿宋_GB2312"/>
          <w:sz w:val="32"/>
        </w:rPr>
        <w:t xml:space="preserve">   2080505</w:t>
      </w:r>
      <w:r>
        <w:rPr>
          <w:rFonts w:ascii="仿宋_GB2312" w:eastAsia="仿宋_GB2312" w:hAnsi="仿宋_GB2312" w:cs="仿宋_GB2312"/>
          <w:sz w:val="32"/>
        </w:rPr>
        <w:t>机关事业单位基本养老保险缴费支出</w:t>
      </w:r>
      <w:r>
        <w:rPr>
          <w:rFonts w:ascii="仿宋_GB2312" w:eastAsia="仿宋_GB2312" w:hAnsi="仿宋_GB2312" w:cs="仿宋_GB2312"/>
          <w:sz w:val="32"/>
        </w:rPr>
        <w:t>322.15</w:t>
      </w:r>
      <w:r>
        <w:rPr>
          <w:rFonts w:ascii="仿宋_GB2312" w:eastAsia="仿宋_GB2312" w:hAnsi="仿宋_GB2312" w:cs="仿宋_GB2312"/>
          <w:sz w:val="32"/>
        </w:rPr>
        <w:t>万元；</w:t>
      </w:r>
    </w:p>
    <w:p w:rsidR="00FB3A48" w:rsidRDefault="00322FD5">
      <w:pPr>
        <w:ind w:firstLine="480"/>
      </w:pPr>
      <w:r>
        <w:rPr>
          <w:rFonts w:ascii="仿宋_GB2312" w:eastAsia="仿宋_GB2312" w:hAnsi="仿宋_GB2312" w:cs="仿宋_GB2312"/>
          <w:sz w:val="32"/>
        </w:rPr>
        <w:t xml:space="preserve">   2050201</w:t>
      </w:r>
      <w:r>
        <w:rPr>
          <w:rFonts w:ascii="仿宋_GB2312" w:eastAsia="仿宋_GB2312" w:hAnsi="仿宋_GB2312" w:cs="仿宋_GB2312"/>
          <w:sz w:val="32"/>
        </w:rPr>
        <w:t>学前教育支出</w:t>
      </w:r>
      <w:r>
        <w:rPr>
          <w:rFonts w:ascii="仿宋_GB2312" w:eastAsia="仿宋_GB2312" w:hAnsi="仿宋_GB2312" w:cs="仿宋_GB2312"/>
          <w:sz w:val="32"/>
        </w:rPr>
        <w:t>9.36</w:t>
      </w:r>
      <w:r>
        <w:rPr>
          <w:rFonts w:ascii="仿宋_GB2312" w:eastAsia="仿宋_GB2312" w:hAnsi="仿宋_GB2312" w:cs="仿宋_GB2312"/>
          <w:sz w:val="32"/>
        </w:rPr>
        <w:t>万元；</w:t>
      </w:r>
    </w:p>
    <w:p w:rsidR="00FB3A48" w:rsidRDefault="00322FD5">
      <w:pPr>
        <w:ind w:firstLine="480"/>
      </w:pPr>
      <w:r>
        <w:rPr>
          <w:rFonts w:ascii="仿宋_GB2312" w:eastAsia="仿宋_GB2312" w:hAnsi="仿宋_GB2312" w:cs="仿宋_GB2312"/>
          <w:sz w:val="32"/>
        </w:rPr>
        <w:t xml:space="preserve">   2049901</w:t>
      </w:r>
      <w:r>
        <w:rPr>
          <w:rFonts w:ascii="仿宋_GB2312" w:eastAsia="仿宋_GB2312" w:hAnsi="仿宋_GB2312" w:cs="仿宋_GB2312"/>
          <w:sz w:val="32"/>
        </w:rPr>
        <w:t>其他公共安全支出</w:t>
      </w:r>
      <w:r>
        <w:rPr>
          <w:rFonts w:ascii="仿宋_GB2312" w:eastAsia="仿宋_GB2312" w:hAnsi="仿宋_GB2312" w:cs="仿宋_GB2312"/>
          <w:sz w:val="32"/>
        </w:rPr>
        <w:t>377</w:t>
      </w:r>
      <w:r>
        <w:rPr>
          <w:rFonts w:ascii="仿宋_GB2312" w:eastAsia="仿宋_GB2312" w:hAnsi="仿宋_GB2312" w:cs="仿宋_GB2312"/>
          <w:sz w:val="32"/>
        </w:rPr>
        <w:t>万元；</w:t>
      </w:r>
    </w:p>
    <w:p w:rsidR="00FB3A48" w:rsidRDefault="00322FD5">
      <w:pPr>
        <w:ind w:firstLine="480"/>
      </w:pPr>
      <w:r>
        <w:rPr>
          <w:rFonts w:ascii="仿宋_GB2312" w:eastAsia="仿宋_GB2312" w:hAnsi="仿宋_GB2312" w:cs="仿宋_GB2312"/>
          <w:sz w:val="32"/>
        </w:rPr>
        <w:t xml:space="preserve">   2040599</w:t>
      </w:r>
      <w:r>
        <w:rPr>
          <w:rFonts w:ascii="仿宋_GB2312" w:eastAsia="仿宋_GB2312" w:hAnsi="仿宋_GB2312" w:cs="仿宋_GB2312"/>
          <w:sz w:val="32"/>
        </w:rPr>
        <w:t>其他法院支出</w:t>
      </w:r>
      <w:r>
        <w:rPr>
          <w:rFonts w:ascii="仿宋_GB2312" w:eastAsia="仿宋_GB2312" w:hAnsi="仿宋_GB2312" w:cs="仿宋_GB2312"/>
          <w:sz w:val="32"/>
        </w:rPr>
        <w:t>761.46</w:t>
      </w:r>
      <w:r>
        <w:rPr>
          <w:rFonts w:ascii="仿宋_GB2312" w:eastAsia="仿宋_GB2312" w:hAnsi="仿宋_GB2312" w:cs="仿宋_GB2312"/>
          <w:sz w:val="32"/>
        </w:rPr>
        <w:t>万元；</w:t>
      </w:r>
    </w:p>
    <w:p w:rsidR="00FB3A48" w:rsidRDefault="00322FD5">
      <w:pPr>
        <w:ind w:firstLine="480"/>
      </w:pPr>
      <w:r>
        <w:rPr>
          <w:rFonts w:ascii="仿宋_GB2312" w:eastAsia="仿宋_GB2312" w:hAnsi="仿宋_GB2312" w:cs="仿宋_GB2312"/>
          <w:sz w:val="32"/>
        </w:rPr>
        <w:t xml:space="preserve">   2040502</w:t>
      </w:r>
      <w:r>
        <w:rPr>
          <w:rFonts w:ascii="仿宋_GB2312" w:eastAsia="仿宋_GB2312" w:hAnsi="仿宋_GB2312" w:cs="仿宋_GB2312"/>
          <w:sz w:val="32"/>
        </w:rPr>
        <w:t>一般行政管理事务支出</w:t>
      </w:r>
      <w:r>
        <w:rPr>
          <w:rFonts w:ascii="仿宋_GB2312" w:eastAsia="仿宋_GB2312" w:hAnsi="仿宋_GB2312" w:cs="仿宋_GB2312"/>
          <w:sz w:val="32"/>
        </w:rPr>
        <w:t>369.82</w:t>
      </w:r>
      <w:r>
        <w:rPr>
          <w:rFonts w:ascii="仿宋_GB2312" w:eastAsia="仿宋_GB2312" w:hAnsi="仿宋_GB2312" w:cs="仿宋_GB2312"/>
          <w:sz w:val="32"/>
        </w:rPr>
        <w:t>万元；</w:t>
      </w:r>
    </w:p>
    <w:p w:rsidR="00FB3A48" w:rsidRDefault="00322FD5">
      <w:pPr>
        <w:ind w:firstLine="480"/>
      </w:pPr>
      <w:r>
        <w:rPr>
          <w:rFonts w:ascii="仿宋_GB2312" w:eastAsia="仿宋_GB2312" w:hAnsi="仿宋_GB2312" w:cs="仿宋_GB2312"/>
          <w:sz w:val="32"/>
        </w:rPr>
        <w:t xml:space="preserve">   2040501</w:t>
      </w:r>
      <w:r>
        <w:rPr>
          <w:rFonts w:ascii="仿宋_GB2312" w:eastAsia="仿宋_GB2312" w:hAnsi="仿宋_GB2312" w:cs="仿宋_GB2312"/>
          <w:sz w:val="32"/>
        </w:rPr>
        <w:t>行政运行支出</w:t>
      </w:r>
      <w:r>
        <w:rPr>
          <w:rFonts w:ascii="仿宋_GB2312" w:eastAsia="仿宋_GB2312" w:hAnsi="仿宋_GB2312" w:cs="仿宋_GB2312"/>
          <w:sz w:val="32"/>
        </w:rPr>
        <w:t>3,663.36</w:t>
      </w:r>
      <w:r>
        <w:rPr>
          <w:rFonts w:ascii="仿宋_GB2312" w:eastAsia="仿宋_GB2312" w:hAnsi="仿宋_GB2312" w:cs="仿宋_GB2312"/>
          <w:sz w:val="32"/>
        </w:rPr>
        <w:t>万元；</w:t>
      </w:r>
    </w:p>
    <w:p w:rsidR="008853A8" w:rsidRDefault="008853A8">
      <w:pPr>
        <w:ind w:firstLineChars="200" w:firstLine="640"/>
        <w:outlineLvl w:val="1"/>
        <w:rPr>
          <w:rFonts w:ascii="黑体" w:eastAsia="黑体" w:hAnsi="黑体" w:cs="宋体"/>
          <w:bCs/>
          <w:kern w:val="0"/>
          <w:sz w:val="32"/>
          <w:szCs w:val="32"/>
        </w:rPr>
      </w:pPr>
      <w:bookmarkStart w:id="19" w:name="_Toc11146"/>
      <w:bookmarkStart w:id="20" w:name="_Toc30870"/>
      <w:r>
        <w:rPr>
          <w:rFonts w:ascii="黑体" w:eastAsia="黑体" w:hAnsi="黑体" w:cs="宋体" w:hint="eastAsia"/>
          <w:bCs/>
          <w:kern w:val="0"/>
          <w:sz w:val="32"/>
          <w:szCs w:val="32"/>
        </w:rPr>
        <w:t>六、一般公共预算财政拨款基本支出决算情况说明</w:t>
      </w:r>
      <w:bookmarkEnd w:id="19"/>
      <w:bookmarkEnd w:id="20"/>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2019年度一般公共预算财政拨款基本支出4,283.84万元，其中：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lastRenderedPageBreak/>
        <w:t>人员经费3,904.87万元，包括：基本工资、津贴补贴、奖金、伙食补助费、机关事业单位基本养老保险缴费、职业年金缴费、职工基本医疗保险缴费、公务员医疗补助缴费、其他社会保障缴费、住房公积金、其他工资福利支出、离休费、退休费、抚恤金、生活补助。</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公用经费378.97万元，包括：办公费、手续费、水费、电费、邮电费、取暖费、物业管理费、差旅费、维修（护）费、会议费、培训费、公务用车运行维护费、其他交通费用、其他商品和服务支出。</w:t>
      </w:r>
    </w:p>
    <w:p w:rsidR="008853A8" w:rsidRDefault="008853A8">
      <w:pPr>
        <w:ind w:firstLineChars="200" w:firstLine="640"/>
        <w:outlineLvl w:val="1"/>
        <w:rPr>
          <w:rFonts w:ascii="黑体" w:eastAsia="黑体" w:hAnsi="黑体" w:cs="宋体"/>
          <w:bCs/>
          <w:kern w:val="0"/>
          <w:sz w:val="32"/>
          <w:szCs w:val="32"/>
        </w:rPr>
      </w:pPr>
      <w:bookmarkStart w:id="21" w:name="_Toc7190"/>
      <w:bookmarkStart w:id="22" w:name="_Toc21518"/>
      <w:r>
        <w:rPr>
          <w:rFonts w:ascii="黑体" w:eastAsia="黑体" w:hAnsi="黑体" w:cs="宋体" w:hint="eastAsia"/>
          <w:bCs/>
          <w:kern w:val="0"/>
          <w:sz w:val="32"/>
          <w:szCs w:val="32"/>
        </w:rPr>
        <w:t>七、一般公共预算财政拨款“三公”经费支出决算情况说明</w:t>
      </w:r>
      <w:bookmarkEnd w:id="21"/>
      <w:bookmarkEnd w:id="22"/>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27.71万元，比上年减少0.29万元，降低1.04%，主要原因是厉行节约，减少“三公”经费支出。其中，因公出国（境）费支出0万元，占0%，比上年增加0万元，增长0%，主要原因是与上年相比无变动，与上年一致；公务用车购置及运行维护费支出27.71万元，占100%，比上年减少0.29万元，降低1.04%，主要原因是厉行节约，减少公车运行维护费支出；公务接待费支出0万元，占0%，比上年增加0万元，增长0%，主要原因是与上年相比无变动，与上年一致。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w:t>
      </w:r>
      <w:r>
        <w:rPr>
          <w:rFonts w:ascii="仿宋_GB2312" w:eastAsia="仿宋_GB2312" w:hAnsi="仿宋_GB2312" w:cs="仿宋_GB2312"/>
          <w:sz w:val="32"/>
        </w:rPr>
        <w:lastRenderedPageBreak/>
        <w:t>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27.71万元，其中，公务用车购置费0万元，公务用车运行维护费27.71万元。公务用车运行维护费开支内容包括汽车油料、维护费、过路费、车辆保险。公务用车购置数0辆，公务用车保有量32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82.80万元，决算数27.71万元，预决算差异率-66.53%，主要原因是：“三公”经费支出年初预算数中的公务用车运行维护费包含执法执勤用车支出和一般公务用车支出，决算数不包含执法执勤用车支出。其中：因公出国（境）费预算数0万元，决算数0万元，预决算差异率0%，主要原因是：预算未安排，无此项支出；公务用车购置费预算数0万元，决算数0万元，预决算差异率0%，主要原因是：预算未安排，无此项支出；公务用车运行费预算数82.80万元，决算数27.71万元，预决算差异率-66.53%，主要原因是：公务用车运行维护费年初预算数包含执法执勤用车和一般公务用车支出，决算数不包含执法执勤用车支出；公务接待费预算数0万元，决算数0万元，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3" w:name="_Toc7927"/>
      <w:bookmarkStart w:id="24" w:name="_Toc5810"/>
      <w:r>
        <w:rPr>
          <w:rFonts w:ascii="黑体" w:eastAsia="黑体" w:hAnsi="黑体" w:cs="宋体" w:hint="eastAsia"/>
          <w:bCs/>
          <w:kern w:val="0"/>
          <w:sz w:val="32"/>
          <w:szCs w:val="32"/>
        </w:rPr>
        <w:t>八、政府性基金预算收入支出决算情况说明</w:t>
      </w:r>
      <w:bookmarkEnd w:id="23"/>
      <w:bookmarkEnd w:id="24"/>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lastRenderedPageBreak/>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5" w:name="_Toc7314"/>
      <w:bookmarkStart w:id="26" w:name="_Toc1235"/>
      <w:r>
        <w:rPr>
          <w:rFonts w:ascii="黑体" w:eastAsia="黑体" w:hAnsi="黑体" w:cs="宋体" w:hint="eastAsia"/>
          <w:bCs/>
          <w:kern w:val="0"/>
          <w:sz w:val="32"/>
          <w:szCs w:val="32"/>
        </w:rPr>
        <w:t>九、其他重要事项的情况说明</w:t>
      </w:r>
      <w:bookmarkEnd w:id="25"/>
      <w:bookmarkEnd w:id="26"/>
    </w:p>
    <w:p w:rsidR="008853A8" w:rsidRDefault="008853A8">
      <w:pPr>
        <w:ind w:firstLineChars="200" w:firstLine="640"/>
        <w:outlineLvl w:val="2"/>
        <w:rPr>
          <w:rFonts w:ascii="黑体" w:eastAsia="黑体" w:hAnsi="黑体"/>
          <w:sz w:val="32"/>
          <w:szCs w:val="32"/>
        </w:rPr>
      </w:pPr>
      <w:bookmarkStart w:id="27" w:name="_Toc13105"/>
      <w:bookmarkStart w:id="28" w:name="_Toc14519"/>
      <w:r>
        <w:rPr>
          <w:rFonts w:ascii="黑体" w:eastAsia="黑体" w:hAnsi="黑体" w:hint="eastAsia"/>
          <w:sz w:val="32"/>
          <w:szCs w:val="32"/>
        </w:rPr>
        <w:t>（一）机关运行经费支出情况</w:t>
      </w:r>
      <w:bookmarkEnd w:id="27"/>
      <w:bookmarkEnd w:id="28"/>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2019年度新疆喀什地区中级人民法院机关运行经费支出378.97万元，比上年增加180.12万元，增长90.58%，主要原因是1、新增公务用车4辆；2、年初人员增加；3、帮扶工作经费增加。</w:t>
      </w:r>
    </w:p>
    <w:p w:rsidR="008853A8" w:rsidRDefault="008853A8">
      <w:pPr>
        <w:ind w:firstLineChars="200" w:firstLine="640"/>
        <w:outlineLvl w:val="2"/>
        <w:rPr>
          <w:rFonts w:ascii="黑体" w:eastAsia="黑体" w:hAnsi="黑体"/>
          <w:sz w:val="32"/>
          <w:szCs w:val="32"/>
        </w:rPr>
      </w:pPr>
      <w:bookmarkStart w:id="29" w:name="_Toc26704"/>
      <w:bookmarkStart w:id="30" w:name="_Toc227"/>
      <w:r>
        <w:rPr>
          <w:rFonts w:ascii="黑体" w:eastAsia="黑体" w:hAnsi="黑体" w:hint="eastAsia"/>
          <w:sz w:val="32"/>
          <w:szCs w:val="32"/>
        </w:rPr>
        <w:t>（二）政府采购情况</w:t>
      </w:r>
      <w:bookmarkEnd w:id="29"/>
      <w:bookmarkEnd w:id="30"/>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2019年度政府采购支出总额382.79万元，其中：政府采购货物支出334.16万元、政府采购工程支出0万元、政府采购服务支出48.63万元。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授予中小企业合同金额334.16万元，占政府采购支出总额的87.3%，其中：授予小微企业合同金额334.16万元，占政府采购支出总额的87.3%。</w:t>
      </w:r>
    </w:p>
    <w:p w:rsidR="008853A8" w:rsidRDefault="008853A8">
      <w:pPr>
        <w:ind w:firstLineChars="200" w:firstLine="640"/>
        <w:outlineLvl w:val="2"/>
        <w:rPr>
          <w:rFonts w:ascii="黑体" w:eastAsia="黑体" w:hAnsi="黑体"/>
          <w:sz w:val="32"/>
          <w:szCs w:val="32"/>
        </w:rPr>
      </w:pPr>
      <w:bookmarkStart w:id="31" w:name="_Toc4591"/>
      <w:bookmarkStart w:id="32" w:name="_Toc8391"/>
      <w:r>
        <w:rPr>
          <w:rFonts w:ascii="黑体" w:eastAsia="黑体" w:hAnsi="黑体" w:hint="eastAsia"/>
          <w:sz w:val="32"/>
          <w:szCs w:val="32"/>
        </w:rPr>
        <w:t>（三）国有资产占用情况说明</w:t>
      </w:r>
      <w:bookmarkEnd w:id="31"/>
      <w:bookmarkEnd w:id="32"/>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8,863.10（平方米），价值1,541.61万元。车辆32辆，价值670.24万元，其中：副部（省）级及以上领导用车0辆、主要领导干部用车0辆、机要通信用车0辆、应急保障用车0辆、执法执勤用车28辆、特种专业技术用车0辆、离退休干部用车0辆、其他用车4辆，其他用车主要是：一般公务用车；单位价值</w:t>
      </w:r>
      <w:r>
        <w:rPr>
          <w:rFonts w:ascii="仿宋_GB2312" w:eastAsia="仿宋_GB2312" w:hAnsi="仿宋_GB2312" w:cs="仿宋_GB2312"/>
          <w:sz w:val="32"/>
        </w:rPr>
        <w:lastRenderedPageBreak/>
        <w:t>50万元以上通用设备15台（套）、单位价值100万元以上专用设备0台（套）。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3" w:name="_Toc435"/>
      <w:bookmarkStart w:id="34" w:name="_Toc11283"/>
      <w:r>
        <w:rPr>
          <w:rFonts w:ascii="黑体" w:eastAsia="黑体" w:hAnsi="黑体" w:cs="宋体" w:hint="eastAsia"/>
          <w:bCs/>
          <w:kern w:val="0"/>
          <w:sz w:val="32"/>
          <w:szCs w:val="32"/>
        </w:rPr>
        <w:t>十、预算绩效的情况说明</w:t>
      </w:r>
      <w:bookmarkEnd w:id="33"/>
      <w:bookmarkEnd w:id="34"/>
    </w:p>
    <w:p w:rsidR="008853A8" w:rsidRDefault="009521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2019年度开展预算绩效评价项目8个，共涉及资金220.26万元。预算绩效管理取得的成效：一是部门年度任务在预算资金额度内完成，并通过规范的招投标及严格的资金管理及项目管理及其他创新的管理措施实现了资金的节约。三公经费在预算范围内开支，开支范围较上年的变化，没有节约；二是各项工作计划按预期计划按时完成，效益按预期时间产生；三是预期的社会效益、可持续的影响产生，相关人员的满意度达到预期目标。发现的问题及原因：前期资金使用因项目资金拨付较晚等原因未按期支付，导致了资金滞缓，影响了项目的进度，造成了部分资金的浪费。下一步改进措施：年初做好资金计划，按照项目进度及时拨付资金，使资金使用效益最大化，减少不必要的浪费，节约成本。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t>第三部分 专业名词解释</w:t>
      </w:r>
      <w:bookmarkEnd w:id="35"/>
      <w:bookmarkEnd w:id="36"/>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w:t>
      </w:r>
      <w:r>
        <w:rPr>
          <w:rFonts w:ascii="仿宋_GB2312" w:eastAsia="仿宋_GB2312" w:hint="eastAsia"/>
          <w:sz w:val="32"/>
          <w:szCs w:val="32"/>
        </w:rPr>
        <w:lastRenderedPageBreak/>
        <w:t>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w:t>
      </w:r>
      <w:r>
        <w:rPr>
          <w:rFonts w:ascii="仿宋_GB2312" w:eastAsia="仿宋_GB2312" w:hint="eastAsia"/>
          <w:sz w:val="32"/>
          <w:szCs w:val="32"/>
        </w:rPr>
        <w:lastRenderedPageBreak/>
        <w:t>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 部门决算报表（见附表）</w:t>
      </w:r>
      <w:bookmarkEnd w:id="37"/>
      <w:bookmarkEnd w:id="38"/>
    </w:p>
    <w:p w:rsidR="008853A8" w:rsidRDefault="008853A8">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8853A8" w:rsidRDefault="008853A8">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lastRenderedPageBreak/>
        <w:t>二、《收入决算表》</w:t>
      </w:r>
      <w:bookmarkEnd w:id="41"/>
      <w:bookmarkEnd w:id="42"/>
    </w:p>
    <w:p w:rsidR="008853A8" w:rsidRDefault="008853A8">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8853A8" w:rsidRDefault="008853A8">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8853A8" w:rsidRDefault="008853A8">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8853A8" w:rsidRDefault="008853A8">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8853A8" w:rsidRDefault="008853A8">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8853A8" w:rsidRDefault="008853A8">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8853A8">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FD5" w:rsidRDefault="00322FD5">
      <w:r>
        <w:separator/>
      </w:r>
    </w:p>
  </w:endnote>
  <w:endnote w:type="continuationSeparator" w:id="0">
    <w:p w:rsidR="00322FD5" w:rsidRDefault="00322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sidR="00F2645F">
                            <w:rPr>
                              <w:noProof/>
                            </w:rPr>
                            <w:t>7</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1ltQ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" filled="f" stroked="f">
              <v:textbox style="mso-fit-shape-to-text:t" inset="0,0,0,0">
                <w:txbxContent>
                  <w:p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sidR="00F2645F">
                      <w:rPr>
                        <w:noProof/>
                      </w:rPr>
                      <w:t>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FD5" w:rsidRDefault="00322FD5">
      <w:r>
        <w:separator/>
      </w:r>
    </w:p>
  </w:footnote>
  <w:footnote w:type="continuationSeparator" w:id="0">
    <w:p w:rsidR="00322FD5" w:rsidRDefault="00322F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scRTv/mkwZ1CO1FCtiAZfCYeuDw=" w:salt="yqU0L6puNO76yvFiVBQ72A=="/>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2FD5"/>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D6569"/>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2645F"/>
    <w:rsid w:val="00F45607"/>
    <w:rsid w:val="00F552F7"/>
    <w:rsid w:val="00F57EE2"/>
    <w:rsid w:val="00F67C07"/>
    <w:rsid w:val="00F777E1"/>
    <w:rsid w:val="00F80266"/>
    <w:rsid w:val="00F83E19"/>
    <w:rsid w:val="00FB3828"/>
    <w:rsid w:val="00FB3A4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14</Pages>
  <Words>998</Words>
  <Characters>5694</Characters>
  <Application>Microsoft Office Word</Application>
  <DocSecurity>8</DocSecurity>
  <Lines>47</Lines>
  <Paragraphs>13</Paragraphs>
  <ScaleCrop>false</ScaleCrop>
  <Company/>
  <LinksUpToDate>false</LinksUpToDate>
  <CharactersWithSpaces>6679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喀地财库-任雯</cp:lastModifiedBy>
  <cp:revision>8</cp:revision>
  <dcterms:created xsi:type="dcterms:W3CDTF">2020-09-08T14:04:00Z</dcterms:created>
  <dcterms:modified xsi:type="dcterms:W3CDTF">2020-09-30T10:35:00Z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