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新疆喀什地区财政局2019年度部门决算</w:t>
      </w:r>
    </w:p>
    <w:p>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部门单位概况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bCs/>
          <w:kern w:val="0"/>
          <w:sz w:val="32"/>
          <w:szCs w:val="32"/>
        </w:rPr>
        <w:t>九、其他重要事项的情况说明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十、预算绩效的情况说明</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32314"/>
      <w:bookmarkStart w:id="1" w:name="_Toc24028"/>
      <w:r>
        <w:rPr>
          <w:rFonts w:hint="eastAsia" w:ascii="黑体" w:hAnsi="黑体" w:eastAsia="黑体"/>
          <w:sz w:val="32"/>
          <w:szCs w:val="32"/>
        </w:rPr>
        <w:t>第一部分 部门单位概况</w:t>
      </w:r>
      <w:bookmarkEnd w:id="0"/>
      <w:bookmarkEnd w:id="1"/>
    </w:p>
    <w:p>
      <w:pPr>
        <w:ind w:firstLine="640" w:firstLineChars="200"/>
        <w:outlineLvl w:val="1"/>
        <w:rPr>
          <w:rFonts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pPr>
        <w:rPr>
          <w:rFonts w:ascii="仿宋_GB2312" w:eastAsia="仿宋_GB2312"/>
          <w:sz w:val="32"/>
          <w:szCs w:val="32"/>
        </w:rPr>
      </w:pPr>
      <w:r>
        <w:rPr>
          <w:rFonts w:hint="eastAsia" w:ascii="仿宋_GB2312" w:eastAsia="仿宋_GB2312"/>
          <w:sz w:val="32"/>
          <w:szCs w:val="32"/>
        </w:rPr>
        <w:t xml:space="preserve">    1、根据地区国民经济和社会发展战略，拟订地区财政发展战略、中长期财政规划和改革方案并组织实施；分析预测宏观经济形势，参与制定宏观经济政策，提出运用财税政策实施宏观经济调控和综合平衡社会财力的建议；拟定地区与各县（市）、财政与企业的分配政策，制定调节收入分配的财税政策、完善促进社会事业发展的财税政策。</w:t>
      </w:r>
      <w:r>
        <w:rPr>
          <w:rFonts w:hint="eastAsia" w:ascii="仿宋_GB2312" w:eastAsia="仿宋_GB2312"/>
          <w:sz w:val="32"/>
          <w:szCs w:val="32"/>
        </w:rPr>
        <w:br w:type="textWrapping"/>
      </w:r>
      <w:r>
        <w:rPr>
          <w:rFonts w:hint="eastAsia" w:ascii="仿宋_GB2312" w:eastAsia="仿宋_GB2312"/>
          <w:sz w:val="32"/>
          <w:szCs w:val="32"/>
        </w:rPr>
        <w:t xml:space="preserve">    2、承担地区各项财政收支管理责任；负责编制地区本级预决算草案并组织执行；受行署委托向自治区人大常委会喀什地区工作委员会报告预算及执行情况，向自治区人大常委会喀什地区工作委员会报告决算；组织实施财政资金绩效考核工作；组织制定经费开支标准、定额，负责财政预决算工作；完善地区对下转移支付制度。</w:t>
      </w:r>
      <w:r>
        <w:rPr>
          <w:rFonts w:hint="eastAsia" w:ascii="仿宋_GB2312" w:eastAsia="仿宋_GB2312"/>
          <w:sz w:val="32"/>
          <w:szCs w:val="32"/>
        </w:rPr>
        <w:br w:type="textWrapping"/>
      </w:r>
      <w:r>
        <w:rPr>
          <w:rFonts w:hint="eastAsia" w:ascii="仿宋_GB2312" w:eastAsia="仿宋_GB2312"/>
          <w:sz w:val="32"/>
          <w:szCs w:val="32"/>
        </w:rPr>
        <w:t xml:space="preserve">    3、负责政府非税收入和政府性基金管理；监管财政票据；按规定管理彩票资金。</w:t>
      </w:r>
      <w:r>
        <w:rPr>
          <w:rFonts w:hint="eastAsia" w:ascii="仿宋_GB2312" w:eastAsia="仿宋_GB2312"/>
          <w:sz w:val="32"/>
          <w:szCs w:val="32"/>
        </w:rPr>
        <w:br w:type="textWrapping"/>
      </w:r>
      <w:r>
        <w:rPr>
          <w:rFonts w:hint="eastAsia" w:ascii="仿宋_GB2312" w:eastAsia="仿宋_GB2312"/>
          <w:sz w:val="32"/>
          <w:szCs w:val="32"/>
        </w:rPr>
        <w:t xml:space="preserve">    4、组织制定地区国库管理制度、国库集中收付制度，按规定开展地区国库现金管理工作，监督管理地方国库资金缴拨使用；负责制定地区政府采购制度并监督管理；研究制定政府购买服务制度和政策并组织实施；管理地区财政统一发放工资工作。</w:t>
      </w:r>
      <w:r>
        <w:rPr>
          <w:rFonts w:hint="eastAsia" w:ascii="仿宋_GB2312" w:eastAsia="仿宋_GB2312"/>
          <w:sz w:val="32"/>
          <w:szCs w:val="32"/>
        </w:rPr>
        <w:br w:type="textWrapping"/>
      </w:r>
      <w:r>
        <w:rPr>
          <w:rFonts w:hint="eastAsia" w:ascii="仿宋_GB2312" w:eastAsia="仿宋_GB2312"/>
          <w:sz w:val="32"/>
          <w:szCs w:val="32"/>
        </w:rPr>
        <w:t xml:space="preserve">    5、拟定和执行地方政府性债务管理制度和办法，负责组织地区地方政府债券管理工作；按规定开展地方政府债券管理工作，防范财政风险；负责管理政府外债，组织实施外国政府、国际金融组织贷款项目和审核、申报、转贷、签订贷款协定以及资金管理工作；开展中亚区域经济合作工作。</w:t>
      </w:r>
      <w:r>
        <w:rPr>
          <w:rFonts w:hint="eastAsia" w:ascii="仿宋_GB2312" w:eastAsia="仿宋_GB2312"/>
          <w:sz w:val="32"/>
          <w:szCs w:val="32"/>
        </w:rPr>
        <w:br w:type="textWrapping"/>
      </w:r>
      <w:r>
        <w:rPr>
          <w:rFonts w:hint="eastAsia" w:ascii="仿宋_GB2312" w:eastAsia="仿宋_GB2312"/>
          <w:sz w:val="32"/>
          <w:szCs w:val="32"/>
        </w:rPr>
        <w:t xml:space="preserve">    6、参与拟定地区建设投资的有关政策，制定地区基本建设财务管理制度，负责中央和自治区政府性投资项目财政资金管理工作；制定地区政府和社会资本合作（PPP）有关政策制度，承担相关规范管理工作；承担有关政策性补贴和专项储备资金财政管理工作；管理各项财政扶贫资金。</w:t>
      </w:r>
      <w:r>
        <w:rPr>
          <w:rFonts w:hint="eastAsia" w:ascii="仿宋_GB2312" w:eastAsia="仿宋_GB2312"/>
          <w:sz w:val="32"/>
          <w:szCs w:val="32"/>
        </w:rPr>
        <w:br w:type="textWrapping"/>
      </w:r>
      <w:r>
        <w:rPr>
          <w:rFonts w:hint="eastAsia" w:ascii="仿宋_GB2312" w:eastAsia="仿宋_GB2312"/>
          <w:sz w:val="32"/>
          <w:szCs w:val="32"/>
        </w:rPr>
        <w:t xml:space="preserve">    7、贯彻执行国家行政事业单位国有资产管理法规、制度和方针政策，制定地区行政事业单位国有资产管理政策制度并组织实施，按规定管理行政事业单位国有资产，履行行政事业单位国有资产购置、使用、处置监督审核职责；牵头编制地区国有资产管理情况报告，拟定和执行需要全地区统一规定的开支标准和支出政策。</w:t>
      </w:r>
      <w:r>
        <w:rPr>
          <w:rFonts w:hint="eastAsia" w:ascii="仿宋_GB2312" w:eastAsia="仿宋_GB2312"/>
          <w:sz w:val="32"/>
          <w:szCs w:val="32"/>
        </w:rPr>
        <w:br w:type="textWrapping"/>
      </w:r>
      <w:r>
        <w:rPr>
          <w:rFonts w:hint="eastAsia" w:ascii="仿宋_GB2312" w:eastAsia="仿宋_GB2312"/>
          <w:sz w:val="32"/>
          <w:szCs w:val="32"/>
        </w:rPr>
        <w:t xml:space="preserve">    8、会同地区有关部门管理中央、自治区及地区财政社会保障和就业及医疗卫生资金管理工作，会同地区有关部门研究制定地区社会保障资金（基金）政策和有关的财务管理制度，编制地区社会保障预决算草案。</w:t>
      </w:r>
      <w:r>
        <w:rPr>
          <w:rFonts w:hint="eastAsia" w:ascii="仿宋_GB2312" w:eastAsia="仿宋_GB2312"/>
          <w:sz w:val="32"/>
          <w:szCs w:val="32"/>
        </w:rPr>
        <w:br w:type="textWrapping"/>
      </w:r>
      <w:r>
        <w:rPr>
          <w:rFonts w:hint="eastAsia" w:ascii="仿宋_GB2312" w:eastAsia="仿宋_GB2312"/>
          <w:sz w:val="32"/>
          <w:szCs w:val="32"/>
        </w:rPr>
        <w:t xml:space="preserve">    9、负责审核和汇总编制国有资本经营预决算草案，制定国有资本经营预算的制度和办法，收取地区本级企业国有资本收益；组织实施企业财务制度，参与制定企业国有资产管理相关制度。</w:t>
      </w:r>
      <w:r>
        <w:rPr>
          <w:rFonts w:hint="eastAsia" w:ascii="仿宋_GB2312" w:eastAsia="仿宋_GB2312"/>
          <w:sz w:val="32"/>
          <w:szCs w:val="32"/>
        </w:rPr>
        <w:br w:type="textWrapping"/>
      </w:r>
      <w:r>
        <w:rPr>
          <w:rFonts w:hint="eastAsia" w:ascii="仿宋_GB2312" w:eastAsia="仿宋_GB2312"/>
          <w:sz w:val="32"/>
          <w:szCs w:val="32"/>
        </w:rPr>
        <w:t xml:space="preserve">    10、管理和指导全地区会计工作，规范会计行为；组织执行国家统一的会计制度，制定补充规定并贯彻执行；组织管理会计人员的业务培训。</w:t>
      </w:r>
      <w:r>
        <w:rPr>
          <w:rFonts w:hint="eastAsia" w:ascii="仿宋_GB2312" w:eastAsia="仿宋_GB2312"/>
          <w:sz w:val="32"/>
          <w:szCs w:val="32"/>
        </w:rPr>
        <w:br w:type="textWrapping"/>
      </w:r>
      <w:r>
        <w:rPr>
          <w:rFonts w:hint="eastAsia" w:ascii="仿宋_GB2312" w:eastAsia="仿宋_GB2312"/>
          <w:sz w:val="32"/>
          <w:szCs w:val="32"/>
        </w:rPr>
        <w:t xml:space="preserve">    11、监督检查财税法规、政策的执行情况，反映财政收支管理中的重大问题，提出加强财政管理的政策建议；贯彻落实财政绩效管理相关政策制度，组织指导地区本级和各县（市）预算绩效管理工作；组织实施专项资金绩效考核工作；研究建立财政支出绩效评价制度和评价体系并组织实施；负责地区财政系统信息化建设规划并组织实施。</w:t>
      </w:r>
      <w:r>
        <w:rPr>
          <w:rFonts w:hint="eastAsia" w:ascii="仿宋_GB2312" w:eastAsia="仿宋_GB2312"/>
          <w:sz w:val="32"/>
          <w:szCs w:val="32"/>
        </w:rPr>
        <w:br w:type="textWrapping"/>
      </w:r>
      <w:r>
        <w:rPr>
          <w:rFonts w:hint="eastAsia" w:ascii="仿宋_GB2312" w:eastAsia="仿宋_GB2312"/>
          <w:sz w:val="32"/>
          <w:szCs w:val="32"/>
        </w:rPr>
        <w:t xml:space="preserve">    12、根据行署授权，履行地区国有金融资本出资人职责，负责国有金融资本集中统一管理，对相关金融机构，依法依规享有参与重大决策、选择管理者、享有收益等出资人权利；负责制定全地区统一的国有金融资本管理规章制度；承担地方金融企业的国有资产和财务的监管工作；依法依规履行国有金融资本管理职责，负责组织实施基础管理、经营预算、绩效考核、负责人薪酬管理等工作。</w:t>
      </w:r>
      <w:r>
        <w:rPr>
          <w:rFonts w:hint="eastAsia" w:ascii="仿宋_GB2312" w:eastAsia="仿宋_GB2312"/>
          <w:sz w:val="32"/>
          <w:szCs w:val="32"/>
        </w:rPr>
        <w:br w:type="textWrapping"/>
      </w:r>
      <w:r>
        <w:rPr>
          <w:rFonts w:hint="eastAsia" w:ascii="仿宋_GB2312" w:eastAsia="仿宋_GB2312"/>
          <w:sz w:val="32"/>
          <w:szCs w:val="32"/>
        </w:rPr>
        <w:t xml:space="preserve">    13、负责做好喀什地区地方金融监督管理相关工作。研究分析金融运行情况；牵头组织防范化解地方金融风险；负责小额信贷公司、融资担保公司、区域性股权市场、典当行、融资租赁公司、商业保理公司、地方资产管理公司的设立、变更审批等；负责网络借贷信息中介机构的机构监管。</w:t>
      </w:r>
      <w:r>
        <w:rPr>
          <w:rFonts w:hint="eastAsia" w:ascii="仿宋_GB2312" w:eastAsia="仿宋_GB2312"/>
          <w:sz w:val="32"/>
          <w:szCs w:val="32"/>
        </w:rPr>
        <w:br w:type="textWrapping"/>
      </w:r>
      <w:r>
        <w:rPr>
          <w:rFonts w:hint="eastAsia" w:ascii="仿宋_GB2312" w:eastAsia="仿宋_GB2312"/>
          <w:sz w:val="32"/>
          <w:szCs w:val="32"/>
        </w:rPr>
        <w:t xml:space="preserve">    14、承办地委、行署交办的其他事项。</w:t>
      </w:r>
    </w:p>
    <w:p>
      <w:pPr>
        <w:ind w:firstLine="640" w:firstLineChars="200"/>
        <w:outlineLvl w:val="1"/>
        <w:rPr>
          <w:rFonts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pPr>
      <w:r>
        <w:rPr>
          <w:rFonts w:hint="eastAsia" w:ascii="仿宋_GB2312" w:eastAsia="仿宋_GB2312"/>
          <w:sz w:val="32"/>
          <w:szCs w:val="32"/>
        </w:rPr>
        <w:t>新疆喀什地区财政局2</w:t>
      </w:r>
      <w:r>
        <w:rPr>
          <w:rFonts w:ascii="仿宋_GB2312" w:eastAsia="仿宋_GB2312"/>
          <w:sz w:val="32"/>
          <w:szCs w:val="32"/>
        </w:rPr>
        <w:t>019</w:t>
      </w:r>
      <w:r>
        <w:rPr>
          <w:rFonts w:hint="eastAsia" w:ascii="仿宋_GB2312" w:eastAsia="仿宋_GB2312"/>
          <w:sz w:val="32"/>
          <w:szCs w:val="32"/>
        </w:rPr>
        <w:t>年度，实有人数167人，其中：在职人员117人，离休人员3人，退休人员47人。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从部门决算单位构成看，新疆喀什地区财政局部门决算包括：新疆喀什地区财政局决算。</w:t>
      </w:r>
    </w:p>
    <w:p>
      <w:pPr>
        <w:ind w:firstLine="640" w:firstLineChars="200"/>
        <w:jc w:val="center"/>
        <w:outlineLvl w:val="0"/>
        <w:rPr>
          <w:rFonts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hint="eastAsia" w:ascii="仿宋_GB2312" w:eastAsia="仿宋_GB2312"/>
          <w:sz w:val="32"/>
          <w:szCs w:val="32"/>
        </w:rPr>
        <w:t>2019年度本年收入3,993万元，与上年相比，增加616.79万元，增长18.27%，主要原因是：</w:t>
      </w:r>
      <w:r>
        <w:rPr>
          <w:rFonts w:hint="eastAsia" w:ascii="仿宋_GB2312" w:eastAsia="仿宋_GB2312"/>
          <w:color w:val="000000" w:themeColor="text1"/>
          <w:sz w:val="32"/>
          <w:szCs w:val="32"/>
          <w14:textFill>
            <w14:solidFill>
              <w14:schemeClr w14:val="tx1"/>
            </w14:solidFill>
          </w14:textFill>
        </w:rPr>
        <w:t>1、本年度增加了项目绩效管理方面的收入，保障全区绩效工作的顺利开展；2、本年度援疆指挥部拨入资金增加。</w:t>
      </w:r>
      <w:r>
        <w:rPr>
          <w:rFonts w:hint="eastAsia" w:ascii="仿宋_GB2312" w:eastAsia="仿宋_GB2312"/>
          <w:sz w:val="32"/>
          <w:szCs w:val="32"/>
        </w:rPr>
        <w:t>本年支出3,805.73万元，与上年相比，增加318.94万元，增长9.15%，主要原因是：</w:t>
      </w:r>
      <w:r>
        <w:rPr>
          <w:rFonts w:hint="eastAsia" w:ascii="仿宋_GB2312" w:eastAsia="仿宋_GB2312"/>
          <w:color w:val="000000" w:themeColor="text1"/>
          <w:sz w:val="32"/>
          <w:szCs w:val="32"/>
          <w14:textFill>
            <w14:solidFill>
              <w14:schemeClr w14:val="tx1"/>
            </w14:solidFill>
          </w14:textFill>
        </w:rPr>
        <w:t>本年度增加了项目绩效软件、服务、培训等方面的支出以及局机关会议室改造，电路改造支出。</w:t>
      </w:r>
    </w:p>
    <w:p>
      <w:pPr>
        <w:ind w:firstLine="640" w:firstLineChars="200"/>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年度本年收入3,993万元，其中：财政拨款收入3,661.26万元，占91.69%；上级补助收入0万元，占0%；事业收入0万元，占0%；经营收入0万元，占0%；附属单位上缴收入0万元，占0%；其他收入331.74万元，占8.31%。</w:t>
      </w:r>
    </w:p>
    <w:p>
      <w:pPr>
        <w:ind w:firstLine="640" w:firstLineChars="200"/>
        <w:outlineLvl w:val="1"/>
        <w:rPr>
          <w:rFonts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hint="eastAsia" w:ascii="仿宋_GB2312" w:eastAsia="仿宋_GB2312"/>
          <w:sz w:val="32"/>
          <w:szCs w:val="32"/>
        </w:rPr>
        <w:t>2019年度本年支出3,805.73万元，其中：基本支出2,059.07万元，占54.1%；项目支出1,746.66万元，占45.9%；上缴上级支出0万元，占0%；经营支出0万元，占0%；对附属单位补助支出0万元，占0%。</w:t>
      </w:r>
    </w:p>
    <w:p>
      <w:pPr>
        <w:ind w:firstLine="640" w:firstLineChars="200"/>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hint="eastAsia" w:ascii="仿宋_GB2312" w:eastAsia="仿宋_GB2312"/>
          <w:sz w:val="32"/>
          <w:szCs w:val="32"/>
        </w:rPr>
        <w:t>2019年度财政拨款收入3,661.26万元，与上年相比，增加501.64万元，增长15.88%，主要原因是：1、本年度增加了项目绩效管理方面的收入，保障全区绩效工作的顺利开展；2、本年度援疆指挥部拨入资金增加。财政拨款支出3,611.65万元，与上年相比，增加146.17万元，增长4.22%，主要原因是：</w:t>
      </w:r>
      <w:r>
        <w:rPr>
          <w:rFonts w:ascii="仿宋_GB2312" w:eastAsia="仿宋_GB2312"/>
          <w:sz w:val="32"/>
          <w:szCs w:val="32"/>
        </w:rPr>
        <w:t>本年度增加了项目绩效软件、服务、培训等方面的支出以及局机关会议室改造，电路改造支出。</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color w:val="000000" w:themeColor="text1"/>
          <w:sz w:val="32"/>
          <w:szCs w:val="32"/>
          <w14:textFill>
            <w14:solidFill>
              <w14:schemeClr w14:val="tx1"/>
            </w14:solidFill>
          </w14:textFill>
        </w:rPr>
        <w:t>4,837.74</w:t>
      </w:r>
      <w:r>
        <w:rPr>
          <w:rFonts w:hint="eastAsia" w:ascii="仿宋_GB2312" w:eastAsia="仿宋_GB2312"/>
          <w:sz w:val="32"/>
          <w:szCs w:val="32"/>
        </w:rPr>
        <w:t>万元，决算数3,661.26万元</w:t>
      </w:r>
      <w:r>
        <w:rPr>
          <w:rFonts w:ascii="仿宋_GB2312" w:eastAsia="仿宋_GB2312"/>
          <w:color w:val="000000" w:themeColor="text1"/>
          <w:sz w:val="32"/>
          <w:szCs w:val="32"/>
          <w14:textFill>
            <w14:solidFill>
              <w14:schemeClr w14:val="tx1"/>
            </w14:solidFill>
          </w14:textFill>
        </w:rPr>
        <w:t>，预决算差异率-24.32%，主要原因是：1、根据合同约定付款时限部分项目款项未支付完毕；2、单位人员减少，因此实际拨款收入数与预算数相比有所减少。</w:t>
      </w:r>
      <w:r>
        <w:rPr>
          <w:rFonts w:hint="eastAsia" w:ascii="仿宋_GB2312" w:eastAsia="仿宋_GB2312"/>
          <w:sz w:val="32"/>
          <w:szCs w:val="32"/>
        </w:rPr>
        <w:t>财政拨款支出年初预算数</w:t>
      </w:r>
      <w:r>
        <w:rPr>
          <w:rFonts w:ascii="仿宋_GB2312" w:eastAsia="仿宋_GB2312"/>
          <w:color w:val="000000" w:themeColor="text1"/>
          <w:sz w:val="32"/>
          <w:szCs w:val="32"/>
          <w14:textFill>
            <w14:solidFill>
              <w14:schemeClr w14:val="tx1"/>
            </w14:solidFill>
          </w14:textFill>
        </w:rPr>
        <w:t>4,877.74</w:t>
      </w:r>
      <w:r>
        <w:rPr>
          <w:rFonts w:hint="eastAsia" w:ascii="仿宋_GB2312" w:eastAsia="仿宋_GB2312"/>
          <w:sz w:val="32"/>
          <w:szCs w:val="32"/>
        </w:rPr>
        <w:t>万元，决算数3,611.65万元</w:t>
      </w:r>
      <w:r>
        <w:rPr>
          <w:rFonts w:ascii="仿宋_GB2312" w:eastAsia="仿宋_GB2312"/>
          <w:color w:val="000000" w:themeColor="text1"/>
          <w:sz w:val="32"/>
          <w:szCs w:val="32"/>
          <w14:textFill>
            <w14:solidFill>
              <w14:schemeClr w14:val="tx1"/>
            </w14:solidFill>
          </w14:textFill>
        </w:rPr>
        <w:t>，预决算差异率-25.96%，主要原因是：1、根据合同约定付款时限部分项目款项未支付完毕；2、人员减少，人员经费支出减少。</w:t>
      </w:r>
    </w:p>
    <w:p>
      <w:pPr>
        <w:ind w:firstLine="640" w:firstLineChars="200"/>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年度一般公共预算财政拨款支出3,611.65万元。按功能分类科目项级科目公开，其中：</w:t>
      </w:r>
    </w:p>
    <w:p>
      <w:pPr>
        <w:rPr>
          <w:rFonts w:ascii="仿宋_GB2312" w:eastAsia="仿宋_GB2312"/>
          <w:sz w:val="32"/>
          <w:szCs w:val="32"/>
        </w:rPr>
      </w:pPr>
      <w:r>
        <w:rPr>
          <w:rFonts w:ascii="仿宋_GB2312" w:eastAsia="仿宋_GB2312"/>
          <w:sz w:val="32"/>
          <w:szCs w:val="32"/>
        </w:rPr>
        <w:t xml:space="preserve">   2010301行政运行支出15.65万元；</w:t>
      </w:r>
      <w:r>
        <w:rPr>
          <w:rFonts w:ascii="仿宋_GB2312" w:eastAsia="仿宋_GB2312"/>
          <w:sz w:val="32"/>
          <w:szCs w:val="32"/>
        </w:rPr>
        <w:br w:type="textWrapping"/>
      </w:r>
      <w:r>
        <w:rPr>
          <w:rFonts w:ascii="仿宋_GB2312" w:eastAsia="仿宋_GB2312"/>
          <w:sz w:val="32"/>
          <w:szCs w:val="32"/>
        </w:rPr>
        <w:t xml:space="preserve">   2010601行政运行支出1,693.47万元；</w:t>
      </w:r>
      <w:r>
        <w:rPr>
          <w:rFonts w:ascii="仿宋_GB2312" w:eastAsia="仿宋_GB2312"/>
          <w:sz w:val="32"/>
          <w:szCs w:val="32"/>
        </w:rPr>
        <w:br w:type="textWrapping"/>
      </w:r>
      <w:r>
        <w:rPr>
          <w:rFonts w:ascii="仿宋_GB2312" w:eastAsia="仿宋_GB2312"/>
          <w:sz w:val="32"/>
          <w:szCs w:val="32"/>
        </w:rPr>
        <w:t xml:space="preserve">   2010602一般行政管理事务支出1,378.64万元；</w:t>
      </w:r>
      <w:r>
        <w:rPr>
          <w:rFonts w:ascii="仿宋_GB2312" w:eastAsia="仿宋_GB2312"/>
          <w:sz w:val="32"/>
          <w:szCs w:val="32"/>
        </w:rPr>
        <w:br w:type="textWrapping"/>
      </w:r>
      <w:r>
        <w:rPr>
          <w:rFonts w:ascii="仿宋_GB2312" w:eastAsia="仿宋_GB2312"/>
          <w:sz w:val="32"/>
          <w:szCs w:val="32"/>
        </w:rPr>
        <w:t xml:space="preserve">   2010607信息化建设支出97.83万元；</w:t>
      </w:r>
      <w:r>
        <w:rPr>
          <w:rFonts w:ascii="仿宋_GB2312" w:eastAsia="仿宋_GB2312"/>
          <w:sz w:val="32"/>
          <w:szCs w:val="32"/>
        </w:rPr>
        <w:br w:type="textWrapping"/>
      </w:r>
      <w:r>
        <w:rPr>
          <w:rFonts w:ascii="仿宋_GB2312" w:eastAsia="仿宋_GB2312"/>
          <w:sz w:val="32"/>
          <w:szCs w:val="32"/>
        </w:rPr>
        <w:t xml:space="preserve">   2010699其他财政事务支出48.46万元；</w:t>
      </w:r>
      <w:r>
        <w:rPr>
          <w:rFonts w:ascii="仿宋_GB2312" w:eastAsia="仿宋_GB2312"/>
          <w:sz w:val="32"/>
          <w:szCs w:val="32"/>
        </w:rPr>
        <w:br w:type="textWrapping"/>
      </w:r>
      <w:r>
        <w:rPr>
          <w:rFonts w:ascii="仿宋_GB2312" w:eastAsia="仿宋_GB2312"/>
          <w:sz w:val="32"/>
          <w:szCs w:val="32"/>
        </w:rPr>
        <w:t xml:space="preserve">   2080505机关事业单位基本养老保险缴费支出179.45万元；</w:t>
      </w:r>
      <w:r>
        <w:rPr>
          <w:rFonts w:ascii="仿宋_GB2312" w:eastAsia="仿宋_GB2312"/>
          <w:sz w:val="32"/>
          <w:szCs w:val="32"/>
        </w:rPr>
        <w:br w:type="textWrapping"/>
      </w:r>
      <w:r>
        <w:rPr>
          <w:rFonts w:ascii="仿宋_GB2312" w:eastAsia="仿宋_GB2312"/>
          <w:sz w:val="32"/>
          <w:szCs w:val="32"/>
        </w:rPr>
        <w:t xml:space="preserve">   2080506机关事业单位职业年金缴费支出42.23万元；</w:t>
      </w:r>
      <w:r>
        <w:rPr>
          <w:rFonts w:ascii="仿宋_GB2312" w:eastAsia="仿宋_GB2312"/>
          <w:sz w:val="32"/>
          <w:szCs w:val="32"/>
        </w:rPr>
        <w:br w:type="textWrapping"/>
      </w:r>
      <w:r>
        <w:rPr>
          <w:rFonts w:ascii="仿宋_GB2312" w:eastAsia="仿宋_GB2312"/>
          <w:sz w:val="32"/>
          <w:szCs w:val="32"/>
        </w:rPr>
        <w:t xml:space="preserve">   2130899其他普惠金融发展支出0.35万元；</w:t>
      </w:r>
      <w:r>
        <w:rPr>
          <w:rFonts w:ascii="仿宋_GB2312" w:eastAsia="仿宋_GB2312"/>
          <w:sz w:val="32"/>
          <w:szCs w:val="32"/>
        </w:rPr>
        <w:br w:type="textWrapping"/>
      </w:r>
      <w:r>
        <w:rPr>
          <w:rFonts w:ascii="仿宋_GB2312" w:eastAsia="仿宋_GB2312"/>
          <w:sz w:val="32"/>
          <w:szCs w:val="32"/>
        </w:rPr>
        <w:t xml:space="preserve">   2210201住房公积金支出128.27万元；</w:t>
      </w:r>
      <w:r>
        <w:rPr>
          <w:rFonts w:ascii="仿宋_GB2312" w:eastAsia="仿宋_GB2312"/>
          <w:sz w:val="32"/>
          <w:szCs w:val="32"/>
        </w:rPr>
        <w:br w:type="textWrapping"/>
      </w:r>
      <w:r>
        <w:rPr>
          <w:rFonts w:ascii="仿宋_GB2312" w:eastAsia="仿宋_GB2312"/>
          <w:sz w:val="32"/>
          <w:szCs w:val="32"/>
        </w:rPr>
        <w:t xml:space="preserve">   2299901其他支出27.29万元。</w:t>
      </w:r>
    </w:p>
    <w:p>
      <w:pPr>
        <w:ind w:firstLine="640" w:firstLineChars="200"/>
        <w:outlineLvl w:val="1"/>
        <w:rPr>
          <w:rFonts w:ascii="黑体" w:hAnsi="黑体" w:eastAsia="黑体" w:cs="宋体"/>
          <w:bCs/>
          <w:kern w:val="0"/>
          <w:sz w:val="32"/>
          <w:szCs w:val="32"/>
        </w:rPr>
      </w:pPr>
      <w:bookmarkStart w:id="18" w:name="_Toc11146"/>
      <w:bookmarkStart w:id="19" w:name="_Toc30870"/>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年度一般公共预算财政拨款基本支出2,059.07万元，其中：</w:t>
      </w:r>
    </w:p>
    <w:p>
      <w:pPr>
        <w:ind w:firstLine="640" w:firstLineChars="200"/>
        <w:rPr>
          <w:rFonts w:ascii="仿宋_GB2312" w:eastAsia="仿宋_GB2312"/>
          <w:sz w:val="32"/>
          <w:szCs w:val="32"/>
        </w:rPr>
      </w:pPr>
      <w:r>
        <w:rPr>
          <w:rFonts w:hint="eastAsia" w:ascii="仿宋_GB2312" w:eastAsia="仿宋_GB2312"/>
          <w:sz w:val="32"/>
          <w:szCs w:val="32"/>
        </w:rPr>
        <w:t>人员经费1,959.46万元，包括：基本工资、津贴补贴、奖金、机关事业单位基本养老保险缴费、职业年金缴费、职工基本医疗保险缴费、公务员医疗补助缴费、其</w:t>
      </w:r>
      <w:bookmarkStart w:id="54" w:name="_GoBack"/>
      <w:bookmarkEnd w:id="54"/>
      <w:r>
        <w:rPr>
          <w:rFonts w:hint="eastAsia" w:ascii="仿宋_GB2312" w:eastAsia="仿宋_GB2312"/>
          <w:sz w:val="32"/>
          <w:szCs w:val="32"/>
        </w:rPr>
        <w:t>他社会保障缴费、住房公积金、其他工资福利支出、离休费、退休费、生活补助、奖励金。</w:t>
      </w:r>
    </w:p>
    <w:p>
      <w:pPr>
        <w:ind w:firstLine="640" w:firstLineChars="200"/>
        <w:rPr>
          <w:rFonts w:ascii="仿宋_GB2312" w:eastAsia="仿宋_GB2312"/>
          <w:sz w:val="32"/>
          <w:szCs w:val="32"/>
        </w:rPr>
      </w:pPr>
      <w:r>
        <w:rPr>
          <w:rFonts w:hint="eastAsia" w:ascii="仿宋_GB2312" w:eastAsia="仿宋_GB2312"/>
          <w:sz w:val="32"/>
          <w:szCs w:val="32"/>
        </w:rPr>
        <w:t>公用经费99.61万元，包括：办公费、印刷费、手续费、邮电费、取暖费、差旅费、维修（护）费、培训费、公务用车运行维护费、其他交通费用、其他商品和服务支出</w:t>
      </w:r>
      <w:r>
        <w:rPr>
          <w:rFonts w:hint="eastAsia" w:ascii="仿宋_GB2312" w:eastAsia="仿宋_GB2312"/>
          <w:sz w:val="32"/>
          <w:szCs w:val="32"/>
          <w:lang w:eastAsia="zh-CN"/>
        </w:rPr>
        <w:t>、办公设备购置</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bookmarkStart w:id="20" w:name="_Toc7190"/>
      <w:bookmarkStart w:id="21" w:name="_Toc21518"/>
      <w:r>
        <w:rPr>
          <w:rFonts w:hint="eastAsia" w:ascii="黑体" w:hAnsi="黑体" w:eastAsia="黑体" w:cs="宋体"/>
          <w:bCs/>
          <w:kern w:val="0"/>
          <w:sz w:val="32"/>
          <w:szCs w:val="32"/>
        </w:rPr>
        <w:t>七、一般公共预算财政拨款“三公”经费支出决算情况说明</w:t>
      </w:r>
      <w:bookmarkEnd w:id="20"/>
      <w:bookmarkEnd w:id="21"/>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一般公共预算“三公”经费支出决算19.11万元，比上年减少6.09万元，降低24.17%，主要原因是积极响应中央八项规定，节能降耗，压缩三公经费开支，厉行节约。其中，因公出国（境）费支出0万元，占0%，比上年增加0万元，增长0%，主要原因是预算未安排，无此项支出；公务用车购置及运行维护费支出19.11万元，占100%，比上年减少6.09万元，降低24.17%，主要原因是机关所有车辆由办公室统一管理，车辆的油费、保险、维修均经三方询价后采购，有效控制公车运行维护费的支出；公务接待费支出0万元，占0%，比上年增加0万元，增长0%，主要原因是预算未安排，无此项支出。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因公出国（境）费支出0万元，开支内容包括：</w:t>
      </w:r>
      <w:r>
        <w:rPr>
          <w:rFonts w:ascii="仿宋_GB2312" w:eastAsia="仿宋_GB2312"/>
          <w:color w:val="000000" w:themeColor="text1"/>
          <w:sz w:val="32"/>
          <w:szCs w:val="32"/>
          <w14:textFill>
            <w14:solidFill>
              <w14:schemeClr w14:val="tx1"/>
            </w14:solidFill>
          </w14:textFill>
        </w:rPr>
        <w:t>预算未安排，无此项支出。</w:t>
      </w:r>
      <w:r>
        <w:rPr>
          <w:rFonts w:hint="eastAsia" w:ascii="仿宋_GB2312" w:eastAsia="仿宋_GB2312"/>
          <w:sz w:val="32"/>
          <w:szCs w:val="32"/>
        </w:rPr>
        <w:t>单位全年安排的因公出国（境）团组0个，因公出国（境）0人次。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19.11万元，其中，公务用车购置费0万元，公务用车运行维护费19.11万元。公务用车运行维护费开支内容包括车辆的油费、车辆保险、车辆维修、车辆过路、桥费用。公务用车购置数0辆，公务用车保有量8辆。</w:t>
      </w:r>
    </w:p>
    <w:p>
      <w:pPr>
        <w:ind w:firstLine="640" w:firstLineChars="200"/>
        <w:rPr>
          <w:rFonts w:ascii="仿宋_GB2312" w:eastAsia="仿宋_GB2312"/>
          <w:sz w:val="32"/>
          <w:szCs w:val="32"/>
        </w:rPr>
      </w:pPr>
      <w:r>
        <w:rPr>
          <w:rFonts w:hint="eastAsia" w:ascii="仿宋_GB2312" w:eastAsia="仿宋_GB2312"/>
          <w:sz w:val="32"/>
          <w:szCs w:val="32"/>
        </w:rPr>
        <w:t>公务接待费0万元，开支内容包括预算未安排，无此项支出。单位全年安排的国内公务接待0批次，0人次。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w:t>
      </w:r>
      <w:r>
        <w:rPr>
          <w:rFonts w:ascii="仿宋_GB2312" w:eastAsia="仿宋_GB2312"/>
          <w:color w:val="000000" w:themeColor="text1"/>
          <w:sz w:val="32"/>
          <w:szCs w:val="32"/>
          <w14:textFill>
            <w14:solidFill>
              <w14:schemeClr w14:val="tx1"/>
            </w14:solidFill>
          </w14:textFill>
        </w:rPr>
        <w:t>21</w:t>
      </w:r>
      <w:r>
        <w:rPr>
          <w:rFonts w:hint="eastAsia" w:ascii="仿宋_GB2312" w:eastAsia="仿宋_GB2312"/>
          <w:sz w:val="32"/>
          <w:szCs w:val="32"/>
        </w:rPr>
        <w:t>万元，决算数</w:t>
      </w:r>
      <w:r>
        <w:rPr>
          <w:rFonts w:hint="eastAsia" w:ascii="仿宋_GB2312" w:eastAsia="仿宋_GB2312"/>
          <w:color w:val="000000" w:themeColor="text1"/>
          <w:sz w:val="32"/>
          <w:szCs w:val="32"/>
          <w14:textFill>
            <w14:solidFill>
              <w14:schemeClr w14:val="tx1"/>
            </w14:solidFill>
          </w14:textFill>
        </w:rPr>
        <w:t>19.11</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，预决算差异率-9%，主要原因是：积极响应中央八项规定，节能降耗，压缩三公经费开支，厉行节约。</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万元，决算数</w:t>
      </w:r>
      <w:r>
        <w:rPr>
          <w:rFonts w:hint="eastAsia"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，预决算差异率0%，主要原因是：预算未安排，无此项支出；</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万元，决算数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，预决算差异率0%，主要原因是：预算未安排，无此项支出；</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w:t>
      </w:r>
      <w:r>
        <w:rPr>
          <w:rFonts w:ascii="仿宋_GB2312" w:eastAsia="仿宋_GB2312"/>
          <w:color w:val="000000" w:themeColor="text1"/>
          <w:sz w:val="32"/>
          <w:szCs w:val="32"/>
          <w14:textFill>
            <w14:solidFill>
              <w14:schemeClr w14:val="tx1"/>
            </w14:solidFill>
          </w14:textFill>
        </w:rPr>
        <w:t>21</w:t>
      </w:r>
      <w:r>
        <w:rPr>
          <w:rFonts w:hint="eastAsia" w:ascii="仿宋_GB2312" w:eastAsia="仿宋_GB2312"/>
          <w:sz w:val="32"/>
          <w:szCs w:val="32"/>
        </w:rPr>
        <w:t>万元，决算数</w:t>
      </w:r>
      <w:r>
        <w:rPr>
          <w:rFonts w:ascii="仿宋_GB2312" w:eastAsia="仿宋_GB2312"/>
          <w:color w:val="000000" w:themeColor="text1"/>
          <w:sz w:val="32"/>
          <w:szCs w:val="32"/>
          <w14:textFill>
            <w14:solidFill>
              <w14:schemeClr w14:val="tx1"/>
            </w14:solidFill>
          </w14:textFill>
        </w:rPr>
        <w:t>19.11</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，预决算差异率-9%，主要原因是：积极响应中央八项规定，节能降耗，压缩三公经费开支，厉行节约；</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万元，决算数</w:t>
      </w:r>
      <w:r>
        <w:rPr>
          <w:rFonts w:hint="eastAsia"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，预决算差异率0%，主要原因是：预算未安排，无此项支出。</w:t>
      </w:r>
    </w:p>
    <w:p>
      <w:pPr>
        <w:ind w:firstLine="640" w:firstLineChars="200"/>
        <w:outlineLvl w:val="1"/>
        <w:rPr>
          <w:rFonts w:ascii="黑体" w:hAnsi="黑体" w:eastAsia="黑体" w:cs="宋体"/>
          <w:bCs/>
          <w:kern w:val="0"/>
          <w:sz w:val="32"/>
          <w:szCs w:val="32"/>
        </w:rPr>
      </w:pPr>
      <w:bookmarkStart w:id="22" w:name="_Toc5810"/>
      <w:bookmarkStart w:id="23" w:name="_Toc7927"/>
      <w:r>
        <w:rPr>
          <w:rFonts w:hint="eastAsia" w:ascii="黑体" w:hAnsi="黑体" w:eastAsia="黑体" w:cs="宋体"/>
          <w:bCs/>
          <w:kern w:val="0"/>
          <w:sz w:val="32"/>
          <w:szCs w:val="32"/>
        </w:rPr>
        <w:t>八、政府性基金预算收入支出决算情况说明</w:t>
      </w:r>
      <w:bookmarkEnd w:id="22"/>
      <w:bookmarkEnd w:id="23"/>
    </w:p>
    <w:p>
      <w:pPr>
        <w:ind w:firstLine="640" w:firstLineChars="200"/>
        <w:rPr>
          <w:rFonts w:ascii="仿宋_GB2312" w:eastAsia="仿宋_GB2312"/>
          <w:color w:val="000000" w:themeColor="text1"/>
          <w:sz w:val="32"/>
          <w:szCs w:val="32"/>
          <w14:textFill>
            <w14:solidFill>
              <w14:schemeClr w14:val="tx1"/>
            </w14:solidFill>
          </w14:textFill>
        </w:rPr>
      </w:pPr>
      <w:r>
        <w:rPr>
          <w:rFonts w:ascii="仿宋_GB2312" w:eastAsia="仿宋_GB2312"/>
          <w:color w:val="000000" w:themeColor="text1"/>
          <w:sz w:val="32"/>
          <w:szCs w:val="32"/>
          <w14:textFill>
            <w14:solidFill>
              <w14:schemeClr w14:val="tx1"/>
            </w14:solidFill>
          </w14:textFill>
        </w:rPr>
        <w:t>我单位本年度无政府性基金预算财政拨款收入支出，政府性基金预算财政拨款收入支出决算表为空表。</w:t>
      </w:r>
    </w:p>
    <w:p>
      <w:pPr>
        <w:ind w:firstLine="640" w:firstLineChars="200"/>
        <w:outlineLvl w:val="1"/>
        <w:rPr>
          <w:rFonts w:ascii="黑体" w:hAnsi="黑体" w:eastAsia="黑体" w:cs="宋体"/>
          <w:bCs/>
          <w:kern w:val="0"/>
          <w:sz w:val="32"/>
          <w:szCs w:val="32"/>
        </w:rPr>
      </w:pPr>
      <w:bookmarkStart w:id="24" w:name="_Toc1235"/>
      <w:bookmarkStart w:id="25" w:name="_Toc7314"/>
      <w:r>
        <w:rPr>
          <w:rFonts w:hint="eastAsia" w:ascii="黑体" w:hAnsi="黑体" w:eastAsia="黑体" w:cs="宋体"/>
          <w:bCs/>
          <w:kern w:val="0"/>
          <w:sz w:val="32"/>
          <w:szCs w:val="32"/>
        </w:rPr>
        <w:t>九、其他重要事项的情况说明</w:t>
      </w:r>
      <w:bookmarkEnd w:id="24"/>
      <w:bookmarkEnd w:id="25"/>
    </w:p>
    <w:p>
      <w:pPr>
        <w:ind w:firstLine="640" w:firstLineChars="200"/>
        <w:outlineLvl w:val="2"/>
        <w:rPr>
          <w:rFonts w:ascii="黑体" w:hAnsi="黑体" w:eastAsia="黑体"/>
          <w:sz w:val="32"/>
          <w:szCs w:val="32"/>
        </w:rPr>
      </w:pPr>
      <w:bookmarkStart w:id="26" w:name="_Toc14519"/>
      <w:bookmarkStart w:id="27" w:name="_Toc13105"/>
      <w:r>
        <w:rPr>
          <w:rFonts w:hint="eastAsia" w:ascii="黑体" w:hAnsi="黑体" w:eastAsia="黑体"/>
          <w:sz w:val="32"/>
          <w:szCs w:val="32"/>
        </w:rPr>
        <w:t>（一）机关运行经费支出情况</w:t>
      </w:r>
      <w:bookmarkEnd w:id="26"/>
      <w:bookmarkEnd w:id="27"/>
    </w:p>
    <w:p>
      <w:pPr>
        <w:ind w:firstLine="640" w:firstLineChars="200"/>
        <w:rPr>
          <w:rFonts w:ascii="仿宋_GB2312" w:eastAsia="仿宋_GB2312"/>
          <w:sz w:val="32"/>
          <w:szCs w:val="32"/>
        </w:rPr>
      </w:pPr>
      <w:r>
        <w:rPr>
          <w:rFonts w:hint="eastAsia" w:ascii="仿宋_GB2312" w:eastAsia="仿宋_GB2312"/>
          <w:color w:val="000000" w:themeColor="text1"/>
          <w:sz w:val="32"/>
          <w:szCs w:val="32"/>
          <w14:textFill>
            <w14:solidFill>
              <w14:schemeClr w14:val="tx1"/>
            </w14:solidFill>
          </w14:textFill>
        </w:rPr>
        <w:t>2019年度新疆喀什地区财政局机关运行经费支出99.61万元，比上年增加17.85万元，增长21.83%，主要原因是本年度为脱贫攻坚关键年，各县检查培训差费有所增加。</w:t>
      </w:r>
    </w:p>
    <w:p>
      <w:pPr>
        <w:ind w:firstLine="640" w:firstLineChars="200"/>
        <w:outlineLvl w:val="2"/>
        <w:rPr>
          <w:rFonts w:ascii="黑体" w:hAnsi="黑体" w:eastAsia="黑体"/>
          <w:sz w:val="32"/>
          <w:szCs w:val="32"/>
        </w:rPr>
      </w:pPr>
      <w:bookmarkStart w:id="28" w:name="_Toc227"/>
      <w:bookmarkStart w:id="29" w:name="_Toc26704"/>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年度政府采购支出总额779.79万元，其中：政府采购货物支出53.09万元、政府采购工程支出0万元、政府采购服务支出726.69万元。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授予中小企业合同金额726.69万元，占政府采购支出总额的93.19%，其中：授予小微企业合同金额726.69万元，占政府采购支出总额的93.19%。</w:t>
      </w:r>
    </w:p>
    <w:p>
      <w:pPr>
        <w:ind w:firstLine="640" w:firstLineChars="200"/>
        <w:outlineLvl w:val="2"/>
        <w:rPr>
          <w:rFonts w:ascii="黑体" w:hAnsi="黑体" w:eastAsia="黑体"/>
          <w:sz w:val="32"/>
          <w:szCs w:val="32"/>
        </w:rPr>
      </w:pPr>
      <w:bookmarkStart w:id="30" w:name="_Toc8391"/>
      <w:bookmarkStart w:id="31" w:name="_Toc45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截止</w:t>
      </w:r>
      <w:r>
        <w:rPr>
          <w:rFonts w:ascii="仿宋_GB2312" w:eastAsia="仿宋_GB2312"/>
          <w:sz w:val="32"/>
          <w:szCs w:val="32"/>
        </w:rPr>
        <w:t>2019</w:t>
      </w:r>
      <w:r>
        <w:rPr>
          <w:rFonts w:hint="eastAsia" w:ascii="仿宋_GB2312" w:eastAsia="仿宋_GB2312"/>
          <w:sz w:val="32"/>
          <w:szCs w:val="32"/>
        </w:rPr>
        <w:t>年12月31日，单位共有房屋7,192（平方米），价值705.38万元。车辆8辆，价值270.73万元，其中：副部（省）级及以上领导用车0辆、主要领导干部用车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辆、机要通信用车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辆、应急保障用车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辆、执法执勤用车0辆、特种专业技术用车0辆、离退休干部用车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辆、其他用车</w:t>
      </w:r>
      <w:r>
        <w:rPr>
          <w:rFonts w:ascii="仿宋_GB2312" w:eastAsia="仿宋_GB2312"/>
          <w:color w:val="000000" w:themeColor="text1"/>
          <w:sz w:val="32"/>
          <w:szCs w:val="32"/>
          <w14:textFill>
            <w14:solidFill>
              <w14:schemeClr w14:val="tx1"/>
            </w14:solidFill>
          </w14:textFill>
        </w:rPr>
        <w:t>8</w:t>
      </w:r>
      <w:r>
        <w:rPr>
          <w:rFonts w:hint="eastAsia" w:ascii="仿宋_GB2312" w:eastAsia="仿宋_GB2312"/>
          <w:sz w:val="32"/>
          <w:szCs w:val="32"/>
        </w:rPr>
        <w:t>辆，其他用车主要是：</w:t>
      </w:r>
      <w:r>
        <w:rPr>
          <w:rFonts w:ascii="仿宋_GB2312" w:eastAsia="仿宋_GB2312"/>
          <w:color w:val="000000" w:themeColor="text1"/>
          <w:sz w:val="32"/>
          <w:szCs w:val="32"/>
          <w14:textFill>
            <w14:solidFill>
              <w14:schemeClr w14:val="tx1"/>
            </w14:solidFill>
          </w14:textFill>
        </w:rPr>
        <w:t>局机关工作人员使用公务用车；</w:t>
      </w:r>
      <w:r>
        <w:rPr>
          <w:rFonts w:hint="eastAsia" w:ascii="仿宋_GB2312" w:eastAsia="仿宋_GB2312"/>
          <w:sz w:val="32"/>
          <w:szCs w:val="32"/>
        </w:rPr>
        <w:t>单位价值50万元以上通用设备2台（套）、单位价值100万元以上专用设备0台（套）。</w:t>
      </w:r>
    </w:p>
    <w:p>
      <w:pPr>
        <w:ind w:firstLine="640" w:firstLineChars="200"/>
        <w:outlineLvl w:val="1"/>
        <w:rPr>
          <w:rFonts w:ascii="黑体" w:hAnsi="黑体" w:eastAsia="黑体" w:cs="宋体"/>
          <w:bCs/>
          <w:kern w:val="0"/>
          <w:sz w:val="32"/>
          <w:szCs w:val="32"/>
        </w:rPr>
      </w:pPr>
      <w:bookmarkStart w:id="32" w:name="_Toc11283"/>
      <w:bookmarkStart w:id="33" w:name="_Toc435"/>
      <w:r>
        <w:rPr>
          <w:rFonts w:hint="eastAsia" w:ascii="黑体" w:hAnsi="黑体" w:eastAsia="黑体" w:cs="宋体"/>
          <w:bCs/>
          <w:kern w:val="0"/>
          <w:sz w:val="32"/>
          <w:szCs w:val="32"/>
        </w:rPr>
        <w:t>十、预算绩效的情况说明</w:t>
      </w:r>
      <w:bookmarkEnd w:id="32"/>
      <w:bookmarkEnd w:id="33"/>
    </w:p>
    <w:p>
      <w:pPr>
        <w:ind w:firstLine="640" w:firstLineChars="200"/>
        <w:rPr>
          <w:rFonts w:ascii="仿宋_GB2312" w:eastAsia="仿宋_GB2312"/>
          <w:sz w:val="32"/>
          <w:szCs w:val="32"/>
        </w:rPr>
      </w:pPr>
      <w:r>
        <w:rPr>
          <w:rFonts w:hint="eastAsia" w:ascii="仿宋_GB2312" w:eastAsia="仿宋_GB2312"/>
          <w:sz w:val="32"/>
          <w:szCs w:val="32"/>
        </w:rPr>
        <w:t>根据预算绩效管理要求，我单位2019年度开展预算绩效评价项目28个，共涉及资金1560.19万元。预算绩效管理取得的成效：一是部门年度任务在预算资金额度内完成，并通过规范的招投标及严格的资金管理及项目管理及其他创新的管理措施实现了资金的节约。三公经费在预算范围内开支，开支范围较上年相比减少6.1万元，有节约；二是各项工作计划按预期计划按时完成，效益按预期时间产生；三是预期的社会效益、可持续的影响已产生效益，达到了预期目标，相关人员的满意度指标均已达到。发现的问题及原因：一是通过预算绩效管理，发现了工作中存在的不足，前期资金使用因指标下达较晚、合同签滞后等原因未按期支付，导致了资金滞缓，影响了项目的进度，造成了部分资金的浪费；二是资金渠道多，多头管理，缺乏统一协调和监督；项目不准，监控弱化，缺乏科学绩效评价体系财力匮乏；配套难到位，导致项目建设迟缓。下一步改进措施：年初做好资金计划，按照项目进度及时拨付资金，使资金使用效益最大化，减少不必要的浪费，节约成本。具体项目自评情况附项目支出绩效自评表。</w:t>
      </w:r>
    </w:p>
    <w:p>
      <w:pPr>
        <w:ind w:firstLine="640" w:firstLineChars="200"/>
        <w:jc w:val="center"/>
        <w:outlineLvl w:val="0"/>
        <w:rPr>
          <w:rFonts w:ascii="黑体" w:hAnsi="黑体" w:eastAsia="黑体"/>
          <w:sz w:val="32"/>
          <w:szCs w:val="32"/>
        </w:rPr>
      </w:pPr>
      <w:bookmarkStart w:id="34" w:name="_Toc3250"/>
      <w:bookmarkStart w:id="35" w:name="_Toc24143"/>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center"/>
        <w:outlineLvl w:val="0"/>
        <w:rPr>
          <w:rFonts w:ascii="黑体" w:hAnsi="黑体" w:eastAsia="黑体"/>
          <w:sz w:val="32"/>
          <w:szCs w:val="32"/>
        </w:rPr>
      </w:pPr>
      <w:bookmarkStart w:id="36" w:name="_Toc22784"/>
      <w:bookmarkStart w:id="37" w:name="_Toc28903"/>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2183"/>
      <w:bookmarkStart w:id="39" w:name="_Toc6062"/>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24532"/>
      <w:bookmarkStart w:id="41" w:name="_Toc30364"/>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21304"/>
      <w:bookmarkStart w:id="43" w:name="_Toc3243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14238"/>
      <w:bookmarkStart w:id="45" w:name="_Toc28786"/>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0347"/>
      <w:bookmarkStart w:id="47" w:name="_Toc14869"/>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8884"/>
      <w:bookmarkStart w:id="49" w:name="_Toc5626"/>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29106"/>
      <w:bookmarkStart w:id="51" w:name="_Toc32663"/>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5453"/>
      <w:bookmarkStart w:id="53" w:name="_Toc7643"/>
      <w:r>
        <w:rPr>
          <w:rFonts w:hint="eastAsia" w:ascii="黑体" w:hAnsi="黑体" w:eastAsia="黑体" w:cs="宋体"/>
          <w:bCs/>
          <w:kern w:val="0"/>
          <w:sz w:val="32"/>
          <w:szCs w:val="32"/>
        </w:rPr>
        <w:t>八、《政府性基金预算财政拨款收入支出决算表》</w:t>
      </w:r>
      <w:bookmarkEnd w:id="52"/>
      <w:bookmarkEnd w:id="53"/>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6pebnPAAAABQEAAA8A&#10;AAAAAAAAAQAgAAAAIgAAAGRycy9kb3ducmV2LnhtbFBLAQIUABQAAAAIAIdO4kAencV45wEAALYD&#10;AAAOAAAAAAAAAAEAIAAAAB4BAABkcnMvZTJvRG9jLnhtbFBLBQYAAAAABgAGAFkBAAB3BQ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bordersDoNotSurroundHeader w:val="1"/>
  <w:bordersDoNotSurroundFooter w:val="1"/>
  <w:documentProtection w:edit="comments" w:enforcement="1" w:cryptProviderType="rsaFull" w:cryptAlgorithmClass="hash" w:cryptAlgorithmType="typeAny" w:cryptAlgorithmSid="4" w:cryptSpinCount="0" w:hash="JgBYP190CRZP+ECAmvUmR1jsh8I=" w:salt="ecUR5JR4UfFWRDgA0FmVPg=="/>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E66"/>
    <w:rsid w:val="000033EF"/>
    <w:rsid w:val="00004533"/>
    <w:rsid w:val="00005A21"/>
    <w:rsid w:val="0004063C"/>
    <w:rsid w:val="000701A7"/>
    <w:rsid w:val="00082456"/>
    <w:rsid w:val="000A663A"/>
    <w:rsid w:val="000B57B8"/>
    <w:rsid w:val="000F01B7"/>
    <w:rsid w:val="000F6705"/>
    <w:rsid w:val="001128A8"/>
    <w:rsid w:val="001130AE"/>
    <w:rsid w:val="001237CF"/>
    <w:rsid w:val="00125A6F"/>
    <w:rsid w:val="0014029C"/>
    <w:rsid w:val="00146FA3"/>
    <w:rsid w:val="00162E66"/>
    <w:rsid w:val="001826D1"/>
    <w:rsid w:val="001848EE"/>
    <w:rsid w:val="00186B3B"/>
    <w:rsid w:val="001C2D35"/>
    <w:rsid w:val="001C5BE8"/>
    <w:rsid w:val="001C6E66"/>
    <w:rsid w:val="001D3634"/>
    <w:rsid w:val="001D37EF"/>
    <w:rsid w:val="001E4D79"/>
    <w:rsid w:val="001F777A"/>
    <w:rsid w:val="002122DE"/>
    <w:rsid w:val="00227229"/>
    <w:rsid w:val="002328AF"/>
    <w:rsid w:val="00233021"/>
    <w:rsid w:val="0024217C"/>
    <w:rsid w:val="00243E6C"/>
    <w:rsid w:val="00265F92"/>
    <w:rsid w:val="00272845"/>
    <w:rsid w:val="0029171A"/>
    <w:rsid w:val="00292B7F"/>
    <w:rsid w:val="002B072F"/>
    <w:rsid w:val="002B37DA"/>
    <w:rsid w:val="002B7A04"/>
    <w:rsid w:val="002D187F"/>
    <w:rsid w:val="002F1732"/>
    <w:rsid w:val="00327986"/>
    <w:rsid w:val="003314E6"/>
    <w:rsid w:val="00340AE7"/>
    <w:rsid w:val="00354737"/>
    <w:rsid w:val="0037159F"/>
    <w:rsid w:val="00377EC6"/>
    <w:rsid w:val="003920B8"/>
    <w:rsid w:val="003A44F0"/>
    <w:rsid w:val="003C3EF4"/>
    <w:rsid w:val="003D1DD1"/>
    <w:rsid w:val="003E5F70"/>
    <w:rsid w:val="00400D8F"/>
    <w:rsid w:val="00430E56"/>
    <w:rsid w:val="004318F5"/>
    <w:rsid w:val="00456820"/>
    <w:rsid w:val="00471387"/>
    <w:rsid w:val="00471BBD"/>
    <w:rsid w:val="0047268F"/>
    <w:rsid w:val="004A41CF"/>
    <w:rsid w:val="004A44C9"/>
    <w:rsid w:val="004B2E7F"/>
    <w:rsid w:val="004D35C0"/>
    <w:rsid w:val="004E519F"/>
    <w:rsid w:val="004F1D2D"/>
    <w:rsid w:val="00531503"/>
    <w:rsid w:val="00534ECA"/>
    <w:rsid w:val="005358C2"/>
    <w:rsid w:val="005474EB"/>
    <w:rsid w:val="005506DD"/>
    <w:rsid w:val="005529D0"/>
    <w:rsid w:val="00553FB5"/>
    <w:rsid w:val="00554A58"/>
    <w:rsid w:val="00560394"/>
    <w:rsid w:val="0056525F"/>
    <w:rsid w:val="005B1DE6"/>
    <w:rsid w:val="005C11EB"/>
    <w:rsid w:val="006032AE"/>
    <w:rsid w:val="0068591E"/>
    <w:rsid w:val="00690F22"/>
    <w:rsid w:val="00693012"/>
    <w:rsid w:val="006B0B73"/>
    <w:rsid w:val="006D2B94"/>
    <w:rsid w:val="006E0721"/>
    <w:rsid w:val="0070295D"/>
    <w:rsid w:val="00725755"/>
    <w:rsid w:val="0075023C"/>
    <w:rsid w:val="00750D8A"/>
    <w:rsid w:val="00764051"/>
    <w:rsid w:val="00772611"/>
    <w:rsid w:val="007741F8"/>
    <w:rsid w:val="007B0022"/>
    <w:rsid w:val="007E2E4F"/>
    <w:rsid w:val="007E3BFD"/>
    <w:rsid w:val="00807B4B"/>
    <w:rsid w:val="008144CF"/>
    <w:rsid w:val="00827663"/>
    <w:rsid w:val="00847CE1"/>
    <w:rsid w:val="00852D88"/>
    <w:rsid w:val="00857132"/>
    <w:rsid w:val="00862395"/>
    <w:rsid w:val="008853A8"/>
    <w:rsid w:val="00887778"/>
    <w:rsid w:val="008D5B57"/>
    <w:rsid w:val="008F7D99"/>
    <w:rsid w:val="00922FA7"/>
    <w:rsid w:val="00927301"/>
    <w:rsid w:val="009351E1"/>
    <w:rsid w:val="0094423A"/>
    <w:rsid w:val="00963E2E"/>
    <w:rsid w:val="009774AD"/>
    <w:rsid w:val="00980F6F"/>
    <w:rsid w:val="009A173F"/>
    <w:rsid w:val="009C479E"/>
    <w:rsid w:val="009F4245"/>
    <w:rsid w:val="009F594D"/>
    <w:rsid w:val="00A009B3"/>
    <w:rsid w:val="00A239E7"/>
    <w:rsid w:val="00A34EDA"/>
    <w:rsid w:val="00AA13D0"/>
    <w:rsid w:val="00AC0B18"/>
    <w:rsid w:val="00AC1D87"/>
    <w:rsid w:val="00AE136F"/>
    <w:rsid w:val="00AE6C82"/>
    <w:rsid w:val="00AE7A56"/>
    <w:rsid w:val="00AF0871"/>
    <w:rsid w:val="00AF530E"/>
    <w:rsid w:val="00AF5DFE"/>
    <w:rsid w:val="00B006E5"/>
    <w:rsid w:val="00B13535"/>
    <w:rsid w:val="00B24234"/>
    <w:rsid w:val="00B3219F"/>
    <w:rsid w:val="00B51D57"/>
    <w:rsid w:val="00B64D13"/>
    <w:rsid w:val="00B76725"/>
    <w:rsid w:val="00BC38D2"/>
    <w:rsid w:val="00BC65E4"/>
    <w:rsid w:val="00BE0A9F"/>
    <w:rsid w:val="00C01003"/>
    <w:rsid w:val="00C87860"/>
    <w:rsid w:val="00C92609"/>
    <w:rsid w:val="00C974A0"/>
    <w:rsid w:val="00CA0969"/>
    <w:rsid w:val="00CB7A14"/>
    <w:rsid w:val="00CD1E0A"/>
    <w:rsid w:val="00CD44C9"/>
    <w:rsid w:val="00CE40E2"/>
    <w:rsid w:val="00CE4AEB"/>
    <w:rsid w:val="00CE74CB"/>
    <w:rsid w:val="00D00B68"/>
    <w:rsid w:val="00D04E19"/>
    <w:rsid w:val="00D6644C"/>
    <w:rsid w:val="00D71F68"/>
    <w:rsid w:val="00D767F4"/>
    <w:rsid w:val="00DA07A0"/>
    <w:rsid w:val="00DB6F81"/>
    <w:rsid w:val="00DC1313"/>
    <w:rsid w:val="00DD3B82"/>
    <w:rsid w:val="00E43F43"/>
    <w:rsid w:val="00EE3598"/>
    <w:rsid w:val="00EE791B"/>
    <w:rsid w:val="00F040C7"/>
    <w:rsid w:val="00F04DC0"/>
    <w:rsid w:val="00F24BA1"/>
    <w:rsid w:val="00F45607"/>
    <w:rsid w:val="00F552F7"/>
    <w:rsid w:val="00F57EE2"/>
    <w:rsid w:val="00F777E1"/>
    <w:rsid w:val="00F80266"/>
    <w:rsid w:val="00F83E19"/>
    <w:rsid w:val="00FB3828"/>
    <w:rsid w:val="00FC7A52"/>
    <w:rsid w:val="00FE0761"/>
    <w:rsid w:val="00FF5166"/>
    <w:rsid w:val="06792773"/>
    <w:rsid w:val="1DAF458D"/>
    <w:rsid w:val="2A053397"/>
    <w:rsid w:val="2D1136DF"/>
    <w:rsid w:val="31C63837"/>
    <w:rsid w:val="33532EA7"/>
    <w:rsid w:val="3D5275AC"/>
    <w:rsid w:val="3F701A05"/>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toc 3"/>
    <w:basedOn w:val="1"/>
    <w:next w:val="1"/>
    <w:uiPriority w:val="0"/>
    <w:pPr>
      <w:ind w:left="840" w:leftChars="400"/>
    </w:p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uiPriority w:val="0"/>
  </w:style>
  <w:style w:type="paragraph" w:styleId="7">
    <w:name w:val="toc 2"/>
    <w:basedOn w:val="1"/>
    <w:next w:val="1"/>
    <w:uiPriority w:val="0"/>
    <w:pPr>
      <w:ind w:left="420" w:leftChars="200"/>
    </w:pPr>
  </w:style>
  <w:style w:type="paragraph" w:customStyle="1" w:styleId="10">
    <w:name w:val="WPSOffice手动目录 3"/>
    <w:uiPriority w:val="0"/>
    <w:pPr>
      <w:ind w:left="400" w:leftChars="400"/>
    </w:pPr>
    <w:rPr>
      <w:rFonts w:ascii="Times New Roman" w:hAnsi="Times New Roman" w:eastAsia="宋体" w:cs="Times New Roman"/>
      <w:lang w:val="en-US" w:eastAsia="zh-CN" w:bidi="ar-SA"/>
    </w:rPr>
  </w:style>
  <w:style w:type="paragraph" w:customStyle="1" w:styleId="11">
    <w:name w:val="WPSOffice手动目录 2"/>
    <w:uiPriority w:val="0"/>
    <w:pPr>
      <w:ind w:left="200" w:leftChars="200"/>
    </w:pPr>
    <w:rPr>
      <w:rFonts w:ascii="Times New Roman" w:hAnsi="Times New Roman" w:eastAsia="宋体" w:cs="Times New Roman"/>
      <w:lang w:val="en-US" w:eastAsia="zh-CN" w:bidi="ar-SA"/>
    </w:rPr>
  </w:style>
  <w:style w:type="paragraph" w:customStyle="1" w:styleId="12">
    <w:name w:val="WPSOffice手动目录 1"/>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1034</Words>
  <Characters>5894</Characters>
  <Lines>49</Lines>
  <Paragraphs>13</Paragraphs>
  <TotalTime>137</TotalTime>
  <ScaleCrop>false</ScaleCrop>
  <LinksUpToDate>false</LinksUpToDate>
  <CharactersWithSpaces>6915</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2020-07-16T02:47:00Z</dcterms:created>
  <dc:creator>GXR</dc:creator>
  <cp:lastModifiedBy>Administrator</cp:lastModifiedBy>
  <dcterms:modified xsi:type="dcterms:W3CDTF">2021-07-11T05:39:14Z</dcterms:modified>
  <cp:revision>150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