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新疆喀什地区审计局2019年度部门决算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EA656B">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EA656B">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EA656B">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喀什地区审计局是行署工作部门，为正县级。地委审计委员会办公室设在地区审计局，接受地委审计委员会的直接领导，承担地委审计委员会办公室具体工作，研究提出审计领域坚持党的领导、加强党的建设的政策建议，组织研究全地区审计工作规划、重大政策和改革方案，协调推进和督促落实地委和地委审计委员会决策部署，研究提出年度审计项目计划等。设地委审计委员会办公室综合工作科，负责处理地委审计委员会办公室日常事务。地区审计局的内设机构根据工作需要承担地委审计委员会办公室相关工作，接受地委审计委员会办公室的统筹协调。地区审计局贯彻落实党中央、自治区党委关于审计工作的方针政策和决策部署以及地委工作要求，在履行职责过程中坚持和加强党对审计工作的集中统一领导。1、主管全地区审计工作。负责对全地区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2、贯彻执行审计法律法规规章、国家审计准则和指南并监督执行。制定并组织实施专业领域审计工作规划。对直接审计、调查和核查的事项依法进行审计评价。作出审计决定或提出审计建议。3、向地委审计委员会提出年度地区预算执行和其他财政支出情况审计报告。向地区行政公署提出年度地区预算执行和其他财政收支情况的审计结果报告。受行政公署委托向地区人大工委提出地区本级预算执行和其他财政收支情况的审计工作报告、审计查出问题整改情况报告。向地委、行署报告对其他事项的审计和专项审计调查情况及结果。依法向社会公布审计结果。向地区有关部门、县市党委和人民政府通报审计情况和审计结果。4、直接审计下列事项，出具审计报告，在法定职权范围内作出审计决定，包括国家有关重大政策措施贯彻落实情况；地区本级预算执行情况和其他财政收支，地区本级各部门（含直属单位）预算执行情况、决算草案和其他财政收支，地区本级财政转移支付资金；县市预算执行情况、决算草案和其他财政收支；使用地区财政资金的事业单位和社会团体的财务收支；国家投资和以国家投资为主的建设项目的预算执行情况和决算；国家重大公共工程项目的资金管理使用和建设运营情况；自然资源管理、污染防治和生态保护与修复情况；地区国有企业和金融机构、地区行政公署规定的国有资本占控股或占主导地位的企业和金融机构境内外资产、负债和损益；有关社会保障基金、社会捐赠资金及其他基金、资金的财务收支；国际组织和外国政府援助、贷款项目；法律法规规定的其他事项。5、按规定对属于本级审计机关审计监督对象的党政主要领导干部及其他单位主要负责人实施经济责任审计和自然资源资产离任审计。6、组织实施对国家财经法律法规、规章、政策和宏观调控措施执行情况、财政预算管理及国有资产管理使用等与国家财政收支有关的事项进行专项审计调查。7、依法检查审计决定执行情况，督促整改审计查出的问题，依法办理被审计单位对审计决定提请行政复议、行政诉讼或地区行政公署裁决中的有关事项，协助配合有关部门查处相关重大案件。8、指导和监督内部审计工作，核查社会审计机构对依法属于审计监督对象的单位出具的相关审计报告。9、与县市党委和政府共同领导县市审计机关。依法领导和监督县市审计机关的业务，组织县市审计机关实施特定项目的专项审计或审计调查，纠正或责成纠正县市审计机关违反国家规定作出的审计决定。按照干部管理权限协管县市审计机关负责人。10、指导和推广信息技术在审计领域的应用。11、完成地委、行署交办的其他任务。12、职能转变。进一步完善地区审计管理体制，加强全地区审计工作统筹，明晰各级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新疆喀什地区审计局2019年度，实有人数81人，其中：在职人员48人，离休人员1人，退休人员32人。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从部门决算单位构成看，新疆喀什地区审计局部门决算包括：新疆喀什地区审计局决算。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1,162.90万元，与上年相比，增加41.29万元，增长3.68%，主要原因是：项目数量增加，相比2018年新增了审计专项业务经费项目和政府投资建设审计项目。本年支出1,162.90万元，与上年相比，增加41.29万元，增长3.68%，主要原因是：项目数量增加，相比2018年新增了审计专项业务经费项目和政府投资建设审计项目。</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2019年度本年收入1,162.90万元，其中：财政拨款收入1,162.90万元，占100%；上级补助收入0万元，占0%；事业收入0万元，占0%；经营收入0万元，占0%；附属单位上缴收入0万元，占0%；其他收入0万元，占0%。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2019年度本年支出1,162.90万元，其中：基本支出868.90万元，占74.72%；项目支出294万元，占25.28%；上缴上级支出0万元，占0%；经营支出0万元，占0%；对附属单位补助支出0万元，占0%。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1,162.90万元，与上年相比，增加41.29万元，增长3.68%，主要原因是：项目数量增加，相比2018年新增了审计专项业务经费项目和政府投资建设审计项目。财政拨款支出1,162.90万元，与上年相比，增加41.29万元，增长3.68%，主要原因是：项目数量增加，相比2018年新增了审计专项业务经费项目和政府投资建设审计项目。</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1,166.64万元，决算数1,162.90万元，预决算差异率-0.32%，主要原因是：2019年5月起单位缴纳机关养老保险比例降低。财政拨款支出年初预算数1,166.64万元，决算数1,162.90万元，预决算差异率-0.32%，主要原因是：2019年5月起单位缴纳机关养老保险比例降低。</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2019年度一般公共预算财政拨款支出1,162.90万元。按功能分类科目项级科目公开，其中：</w:t>
      </w:r>
    </w:p>
    <w:p>
      <w:pPr>
        <w:ind w:firstLine="480"/>
        <w:jc w:val="both"/>
      </w:pPr>
      <w:r>
        <w:rPr>
          <w:rFonts w:ascii="仿宋_GB2312" w:hAnsi="仿宋_GB2312" w:cs="仿宋_GB2312" w:eastAsia="仿宋_GB2312"/>
          <w:b w:val="false"/>
          <w:sz w:val="32"/>
        </w:rPr>
        <w:t xml:space="preserve">   2010801行政运行支出729.82万元；</w:t>
      </w:r>
    </w:p>
    <w:p>
      <w:pPr>
        <w:ind w:firstLine="480"/>
        <w:jc w:val="both"/>
      </w:pPr>
      <w:r>
        <w:rPr>
          <w:rFonts w:ascii="仿宋_GB2312" w:hAnsi="仿宋_GB2312" w:cs="仿宋_GB2312" w:eastAsia="仿宋_GB2312"/>
          <w:b w:val="false"/>
          <w:sz w:val="32"/>
        </w:rPr>
        <w:t xml:space="preserve">   2010802一般行政管理事务支出237.15万元；</w:t>
      </w:r>
    </w:p>
    <w:p>
      <w:pPr>
        <w:ind w:firstLine="480"/>
        <w:jc w:val="both"/>
      </w:pPr>
      <w:r>
        <w:rPr>
          <w:rFonts w:ascii="仿宋_GB2312" w:hAnsi="仿宋_GB2312" w:cs="仿宋_GB2312" w:eastAsia="仿宋_GB2312"/>
          <w:b w:val="false"/>
          <w:sz w:val="32"/>
        </w:rPr>
        <w:t xml:space="preserve">   2010804审计业务支出22.85万元；</w:t>
      </w:r>
    </w:p>
    <w:p>
      <w:pPr>
        <w:ind w:firstLine="480"/>
        <w:jc w:val="both"/>
      </w:pPr>
      <w:r>
        <w:rPr>
          <w:rFonts w:ascii="仿宋_GB2312" w:hAnsi="仿宋_GB2312" w:cs="仿宋_GB2312" w:eastAsia="仿宋_GB2312"/>
          <w:b w:val="false"/>
          <w:sz w:val="32"/>
        </w:rPr>
        <w:t xml:space="preserve">   2080505机关事业单位基本养老保险缴费支出69.10万元；</w:t>
      </w:r>
    </w:p>
    <w:p>
      <w:pPr>
        <w:ind w:firstLine="480"/>
        <w:jc w:val="both"/>
      </w:pPr>
      <w:r>
        <w:rPr>
          <w:rFonts w:ascii="仿宋_GB2312" w:hAnsi="仿宋_GB2312" w:cs="仿宋_GB2312" w:eastAsia="仿宋_GB2312"/>
          <w:b w:val="false"/>
          <w:sz w:val="32"/>
        </w:rPr>
        <w:t xml:space="preserve">   2080506机关事业单位职业年金缴费支出17.99万元；</w:t>
      </w:r>
    </w:p>
    <w:p>
      <w:pPr>
        <w:ind w:firstLine="480"/>
        <w:jc w:val="both"/>
      </w:pPr>
      <w:r>
        <w:rPr>
          <w:rFonts w:ascii="仿宋_GB2312" w:hAnsi="仿宋_GB2312" w:cs="仿宋_GB2312" w:eastAsia="仿宋_GB2312"/>
          <w:b w:val="false"/>
          <w:sz w:val="32"/>
        </w:rPr>
        <w:t xml:space="preserve">   2210201住房公积金支出51.98万元；</w:t>
      </w:r>
    </w:p>
    <w:p>
      <w:pPr>
        <w:ind w:firstLine="480"/>
        <w:jc w:val="both"/>
      </w:pPr>
      <w:r>
        <w:rPr>
          <w:rFonts w:ascii="仿宋_GB2312" w:hAnsi="仿宋_GB2312" w:cs="仿宋_GB2312" w:eastAsia="仿宋_GB2312"/>
          <w:b w:val="false"/>
          <w:sz w:val="32"/>
        </w:rPr>
        <w:t xml:space="preserve">   2299901其他支出34万元。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2019年度一般公共预算财政拨款基本支出868.90万元，其中：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831.96万元，包括：基本工资、津贴补贴、奖金、机关事业单位基本养老保险缴费、职业年金缴费、职工基本医疗保险缴费、公务员医疗补助缴费、其他社会保障缴费、住房公积金、其他工资福利支出、离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公用经费36.94万元，包括：办公费、邮电费、取暖费、差旅费、维修（护）费、培训费、公务用车运行维护费、其他交通费用、其他商品和服务支出。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10.50万元，比上年增加0万元，增长0%，主要原因是与上年相比无变动，与上年一致。其中，因公出国（境）费支出0万元，占0%，比上年增加0万元，增长0%，主要原因是与上年相比无变动，与上年一致；公务用车购置及运行维护费支出10.50万元，占100%，比上年增加0万元，增长0%，主要原因是与上年相比无变动，与上年一致；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10.50万元，其中，公务用车购置费0万元，公务用车运行维护费10.50万元。公务用车运行维护费开支内容包括公车运行的加油费、维修费、过路过桥费、审验费。公务用车购置数0辆，公务用车保有量5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10.50万元，决算数10.50万元，预决算差异率0%，主要原因是：我单位严格按照预算要求执行，预算与决算无差异。其中：因公出国（境）费预算数0万元，决算数0万元，预决算差异率0%，主要原因是：预算未安排，无此项支出；公务用车购置费预算数0万元，决算数0万元，预决算差异率0%，主要原因是：预算未安排，无此项支出；公务用车运行费预算数10.50万元，决算数10.50万元，预决算差异率0%，主要原因是：我单位严格按照预算要求执行，预算与决算无差异；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审计局机关运行经费支出36.94万元，比上年增加6.03万元，增长19.51%，主要原因是2019年我单位机构改革，从地区财政局、地区发改委、地区国资委转隶到我单位，5个编制在原单位的公用经费一同划转到我单位。</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2019年度政府采购支出总额16.83万元，其中：政府采购货物支出16.83万元、政府采购工程支出0万元、政府采购服务支出0万元。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授予中小企业合同金额16.83万元，占政府采购支出总额的100%，其中：授予小微企业合同金额16.83万元，占政府采购支出总额的100%。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556（平方米），价值34.03万元。车辆5辆，价值87.75万元，其中：副部（省）级及以上领导用车0辆、主要领导干部用车0辆、机要通信用车0辆、应急保障用车0辆、执法执勤用车0辆、特种专业技术用车0辆、离退休干部用车0辆、其他用车5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5个，共涉及资金294万元。预算绩效管理取得的成效：一是部门年度任务在预算资金额度内完成，并通过严格的资金管理及项目管理及其他创新的管理措施实现了资金的节约。三公经费在预算范围内开支，开支范围较上年的无变化。二是各项工作计划按预期计划按时完成，效益预期产生。三是预期的经济效益、社会效益得到具体的体现、可持续的影响产生期的影响，被审计单位人员的满意度达95%。发现的问题及原因：一是通过一年预算绩效管理，发现了全年的预算绩效管理工作中项目绩效监控太过刻板化。每个项目的实施过程和支付方式及要求都不一样，财务支付需要严格手续资料，以支付进度作为项目进度和完成情况有失偏颇，容易造成为了支付影响质量情况。下一步改进措施：针对支付进度慢情况充分进行进行调研和了解，以帮助预算单位解决问题为目标，提出合理的意见和建议，如果是慢作为或者不作为影响项目进度，看按照现行的预警制度作出相应的处理，保障项目的质量和资金的安全。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AF78A" w14:textId="77777777" w:rsidR="00EA656B" w:rsidRDefault="00EA656B">
      <w:r>
        <w:separator/>
      </w:r>
    </w:p>
  </w:endnote>
  <w:endnote w:type="continuationSeparator" w:id="0">
    <w:p w14:paraId="3234A3E4" w14:textId="77777777" w:rsidR="00EA656B" w:rsidRDefault="00EA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6A77A" w14:textId="77777777" w:rsidR="00EA656B" w:rsidRDefault="00EA656B">
      <w:r>
        <w:separator/>
      </w:r>
    </w:p>
  </w:footnote>
  <w:footnote w:type="continuationSeparator" w:id="0">
    <w:p w14:paraId="16C2A13B" w14:textId="77777777" w:rsidR="00EA656B" w:rsidRDefault="00EA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QXNBc1PeuU/L/SVu9q8W6w==" w:hash="qpVQeoz0xuhZiHPV5nglkwgA0z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2020-09-11T11:08:00Z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