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bookmarkStart w:id="1" w:name="_GoBack"/>
      <w:bookmarkEnd w:id="1"/>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i/>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项目名称：喀什地区政务服务建设外网横向接入项目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实施单位（公章）：喀什地区电子政务管理办公室</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填报时间：2020年03月19日</w:t>
      </w:r>
    </w:p>
    <w:p>
      <w:pPr>
        <w:spacing w:line="540" w:lineRule="exact"/>
        <w:jc w:val="center"/>
        <w:rPr>
          <w:rFonts w:hAnsi="宋体" w:eastAsia="仿宋_GB2312" w:cs="宋体"/>
          <w:kern w:val="0"/>
          <w:sz w:val="30"/>
          <w:szCs w:val="30"/>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电子政务管理办公室为行署副县级参公事业单位，隶属行署办公室，现有编制16名，实有工作人员16人，内设科室4个（综合科、网络管理科、信息科、培训鉴定科）。前身是地区经济信息中心、地区电子政务和信息管理中心。自治区人民政府电子政务办公室、自治区电子政务外网管理中心为上级业务主管单位。</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主要职能：</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1、组织贯彻落实国家、自治区关于电子政务工作的方针、政策和有关规定，开展涉及政府通过网络进行社会管理和公共服务等领域的调查研究，并提出政策建议。</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2、负责《中华人民共和国信息公开条例》等法规、政策的落实；承担行署本级政府信息工作职责，指导各县（市）依法开展政府信息公开工作。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3、负责地区门户网站“喀什政府信息网”的规划建设、运行维护、内容管理、安全保障等工作；围绕政府网站的功能定位，在信息公开、政民互动、在线办事等领域开展相关工作，为各县（市）、各 部门政府网站建设工作提供技术指导。</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4、承担地区电子政务外网规划建设、运行维护、安全管理等工作，为行署及各部门履行社会管理和公共服务提供安全高效的网络支持和技术保障；指导各县（市）电子政务业务系统的建设和管理工作。</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5、负责本地区“全国计算机技术与软件专业技术资格（水平）考试”的教务工作；承担地区计算机职业技术培训、考核、认证管理工作；负责全地区公务员电子政务相关知识和应用技术的培训教育工作。</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4" w:firstLineChars="200"/>
        <w:rPr>
          <w:rStyle w:val="19"/>
          <w:rFonts w:ascii="楷体" w:hAnsi="楷体" w:eastAsia="楷体"/>
          <w:b w:val="0"/>
          <w:spacing w:val="-4"/>
          <w:sz w:val="32"/>
          <w:szCs w:val="32"/>
        </w:rPr>
      </w:pPr>
      <w:bookmarkStart w:id="0" w:name="_Toc405279309"/>
      <w:r>
        <w:rPr>
          <w:rStyle w:val="19"/>
          <w:rFonts w:hint="eastAsia" w:ascii="楷体" w:hAnsi="楷体" w:eastAsia="楷体"/>
          <w:b w:val="0"/>
          <w:spacing w:val="-4"/>
          <w:sz w:val="32"/>
          <w:szCs w:val="32"/>
        </w:rPr>
        <w:t>1、项目预期目标及阶段性目标</w:t>
      </w:r>
    </w:p>
    <w:bookmarkEnd w:id="0"/>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项目的实施旨在</w:t>
      </w:r>
      <w:r>
        <w:rPr>
          <w:rFonts w:hint="eastAsia" w:ascii="仿宋" w:hAnsi="仿宋" w:eastAsia="仿宋"/>
          <w:color w:val="000000" w:themeColor="text1"/>
          <w:sz w:val="32"/>
          <w:szCs w:val="32"/>
          <w14:textFill>
            <w14:solidFill>
              <w14:schemeClr w14:val="tx1"/>
            </w14:solidFill>
          </w14:textFill>
        </w:rPr>
        <w:t>为认真贯彻落实自治区党委、人民政府关于推进“互联网政务服务”工作安排部署</w:t>
      </w:r>
      <w:r>
        <w:rPr>
          <w:rFonts w:ascii="仿宋" w:hAnsi="仿宋" w:eastAsia="仿宋"/>
          <w:color w:val="000000" w:themeColor="text1"/>
          <w:sz w:val="32"/>
          <w:szCs w:val="32"/>
          <w14:textFill>
            <w14:solidFill>
              <w14:schemeClr w14:val="tx1"/>
            </w14:solidFill>
          </w14:textFill>
        </w:rPr>
        <w:t>,按照《自治区人民攻府加快推进全区在线政务服务平台建设的实施方案》(新政发</w:t>
      </w:r>
      <w:r>
        <w:rPr>
          <w:rFonts w:hint="eastAsia" w:ascii="仿宋" w:hAnsi="仿宋" w:eastAsia="仿宋"/>
          <w:color w:val="000000" w:themeColor="text1"/>
          <w:sz w:val="32"/>
          <w:szCs w:val="32"/>
          <w14:textFill>
            <w14:solidFill>
              <w14:schemeClr w14:val="tx1"/>
            </w14:solidFill>
          </w14:textFill>
        </w:rPr>
        <w:t>&lt;</w:t>
      </w:r>
      <w:r>
        <w:rPr>
          <w:rFonts w:ascii="仿宋" w:hAnsi="仿宋" w:eastAsia="仿宋"/>
          <w:color w:val="000000" w:themeColor="text1"/>
          <w:sz w:val="32"/>
          <w:szCs w:val="32"/>
          <w14:textFill>
            <w14:solidFill>
              <w14:schemeClr w14:val="tx1"/>
            </w14:solidFill>
          </w14:textFill>
        </w:rPr>
        <w:t>2018</w:t>
      </w:r>
      <w:r>
        <w:rPr>
          <w:rFonts w:hint="eastAsia" w:ascii="仿宋" w:hAnsi="仿宋" w:eastAsia="仿宋"/>
          <w:color w:val="000000" w:themeColor="text1"/>
          <w:sz w:val="32"/>
          <w:szCs w:val="32"/>
          <w14:textFill>
            <w14:solidFill>
              <w14:schemeClr w14:val="tx1"/>
            </w14:solidFill>
          </w14:textFill>
        </w:rPr>
        <w:t>&gt;</w:t>
      </w:r>
      <w:r>
        <w:rPr>
          <w:rFonts w:ascii="仿宋" w:hAnsi="仿宋" w:eastAsia="仿宋"/>
          <w:color w:val="000000" w:themeColor="text1"/>
          <w:sz w:val="32"/>
          <w:szCs w:val="32"/>
          <w14:textFill>
            <w14:solidFill>
              <w14:schemeClr w14:val="tx1"/>
            </w14:solidFill>
          </w14:textFill>
        </w:rPr>
        <w:t>75号)和《关于各地(州、市)做好对接自治区在线政务服务平台的通知》(新政办明电</w:t>
      </w:r>
      <w:r>
        <w:rPr>
          <w:rFonts w:hint="eastAsia" w:ascii="仿宋" w:hAnsi="仿宋" w:eastAsia="仿宋"/>
          <w:color w:val="000000" w:themeColor="text1"/>
          <w:sz w:val="32"/>
          <w:szCs w:val="32"/>
          <w14:textFill>
            <w14:solidFill>
              <w14:schemeClr w14:val="tx1"/>
            </w14:solidFill>
          </w14:textFill>
        </w:rPr>
        <w:t>&lt;</w:t>
      </w:r>
      <w:r>
        <w:rPr>
          <w:rFonts w:ascii="仿宋" w:hAnsi="仿宋" w:eastAsia="仿宋"/>
          <w:color w:val="000000" w:themeColor="text1"/>
          <w:sz w:val="32"/>
          <w:szCs w:val="32"/>
          <w14:textFill>
            <w14:solidFill>
              <w14:schemeClr w14:val="tx1"/>
            </w14:solidFill>
          </w14:textFill>
        </w:rPr>
        <w:t>2019</w:t>
      </w:r>
      <w:r>
        <w:rPr>
          <w:rFonts w:hint="eastAsia" w:ascii="仿宋" w:hAnsi="仿宋" w:eastAsia="仿宋"/>
          <w:color w:val="000000" w:themeColor="text1"/>
          <w:sz w:val="32"/>
          <w:szCs w:val="32"/>
          <w14:textFill>
            <w14:solidFill>
              <w14:schemeClr w14:val="tx1"/>
            </w14:solidFill>
          </w14:textFill>
        </w:rPr>
        <w:t>&gt;</w:t>
      </w:r>
      <w:r>
        <w:rPr>
          <w:rFonts w:ascii="仿宋" w:hAnsi="仿宋" w:eastAsia="仿宋"/>
          <w:color w:val="000000" w:themeColor="text1"/>
          <w:sz w:val="32"/>
          <w:szCs w:val="32"/>
          <w14:textFill>
            <w14:solidFill>
              <w14:schemeClr w14:val="tx1"/>
            </w14:solidFill>
          </w14:textFill>
        </w:rPr>
        <w:t>31号)要求,</w:t>
      </w:r>
      <w:r>
        <w:rPr>
          <w:rFonts w:hint="eastAsia" w:ascii="仿宋" w:hAnsi="仿宋" w:eastAsia="仿宋"/>
          <w:color w:val="000000" w:themeColor="text1"/>
          <w:sz w:val="32"/>
          <w:szCs w:val="32"/>
          <w14:textFill>
            <w14:solidFill>
              <w14:schemeClr w14:val="tx1"/>
            </w14:solidFill>
          </w14:textFill>
        </w:rPr>
        <w:t>推动我区互联网＋政务服务水平</w:t>
      </w:r>
      <w:r>
        <w:rPr>
          <w:rStyle w:val="19"/>
          <w:rFonts w:hint="eastAsia" w:ascii="仿宋" w:hAnsi="仿宋" w:eastAsia="仿宋"/>
          <w:b w:val="0"/>
          <w:spacing w:val="-4"/>
          <w:sz w:val="32"/>
          <w:szCs w:val="32"/>
        </w:rPr>
        <w:t>。根据喀署办发﹝2019﹞29号文件精神，计划实施该项目，预算金额20.58万元。</w:t>
      </w:r>
    </w:p>
    <w:p>
      <w:pPr>
        <w:adjustRightInd w:val="0"/>
        <w:snapToGrid w:val="0"/>
        <w:spacing w:line="560" w:lineRule="exact"/>
        <w:ind w:firstLine="624" w:firstLineChars="200"/>
        <w:rPr>
          <w:rStyle w:val="19"/>
          <w:rFonts w:ascii="楷体" w:hAnsi="楷体" w:eastAsia="楷体"/>
          <w:b w:val="0"/>
          <w:spacing w:val="-4"/>
          <w:sz w:val="32"/>
          <w:szCs w:val="32"/>
        </w:rPr>
      </w:pPr>
      <w:r>
        <w:rPr>
          <w:rStyle w:val="19"/>
          <w:rFonts w:hint="eastAsia" w:ascii="楷体" w:hAnsi="楷体" w:eastAsia="楷体"/>
          <w:b w:val="0"/>
          <w:spacing w:val="-4"/>
          <w:sz w:val="32"/>
          <w:szCs w:val="32"/>
        </w:rPr>
        <w:t>2、项目基本性质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本项目性质为经常性性项目。</w:t>
      </w:r>
    </w:p>
    <w:p>
      <w:pPr>
        <w:adjustRightInd w:val="0"/>
        <w:snapToGrid w:val="0"/>
        <w:spacing w:line="560" w:lineRule="exact"/>
        <w:ind w:firstLine="624" w:firstLineChars="200"/>
        <w:rPr>
          <w:rStyle w:val="19"/>
          <w:rFonts w:ascii="楷体" w:hAnsi="楷体" w:eastAsia="楷体"/>
          <w:b w:val="0"/>
          <w:spacing w:val="-4"/>
          <w:sz w:val="32"/>
          <w:szCs w:val="32"/>
        </w:rPr>
      </w:pPr>
      <w:r>
        <w:rPr>
          <w:rStyle w:val="19"/>
          <w:rFonts w:hint="eastAsia" w:ascii="楷体" w:hAnsi="楷体" w:eastAsia="楷体"/>
          <w:b w:val="0"/>
          <w:spacing w:val="-4"/>
          <w:sz w:val="32"/>
          <w:szCs w:val="32"/>
        </w:rPr>
        <w:t>3、项目用途及范围</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主要用途：49家单位接入自治区</w:t>
      </w:r>
      <w:r>
        <w:rPr>
          <w:rFonts w:ascii="仿宋" w:hAnsi="仿宋" w:eastAsia="仿宋"/>
          <w:color w:val="000000" w:themeColor="text1"/>
          <w:sz w:val="32"/>
          <w:szCs w:val="32"/>
          <w14:textFill>
            <w14:solidFill>
              <w14:schemeClr w14:val="tx1"/>
            </w14:solidFill>
          </w14:textFill>
        </w:rPr>
        <w:t>在线政务服务平台</w:t>
      </w:r>
      <w:r>
        <w:rPr>
          <w:rStyle w:val="19"/>
          <w:rFonts w:hint="eastAsia" w:ascii="仿宋" w:hAnsi="仿宋" w:eastAsia="仿宋"/>
          <w:b w:val="0"/>
          <w:spacing w:val="-4"/>
          <w:sz w:val="32"/>
          <w:szCs w:val="32"/>
        </w:rPr>
        <w:t>。</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主要内容:</w:t>
      </w:r>
      <w:r>
        <w:rPr>
          <w:rStyle w:val="19"/>
          <w:rFonts w:hint="eastAsia" w:ascii="仿宋" w:hAnsi="仿宋" w:eastAsia="仿宋"/>
          <w:spacing w:val="-4"/>
          <w:sz w:val="32"/>
          <w:szCs w:val="32"/>
        </w:rPr>
        <w:t xml:space="preserve"> </w:t>
      </w:r>
      <w:r>
        <w:rPr>
          <w:rStyle w:val="19"/>
          <w:rFonts w:hint="eastAsia" w:ascii="仿宋" w:hAnsi="仿宋" w:eastAsia="仿宋"/>
          <w:b w:val="0"/>
          <w:spacing w:val="-4"/>
          <w:sz w:val="32"/>
          <w:szCs w:val="32"/>
        </w:rPr>
        <w:t>1、政务外网横向接入线路49条，单条线路带宽20兆以上；2、政府采购率100%，线路故障率2%以内，故障排除时间8小时以内；3、单条线路月租费350元以内；4、在线办事水平逐步提高，政务公开水平逐步提高；5、窗口使用年限五年以上，政务服务建设外网横向接入单位满意率95%以上。项目实施后，49家单位接入自治区政务服务建设平台，为政务公开、网上办事打下基础。</w:t>
      </w:r>
    </w:p>
    <w:p>
      <w:pPr>
        <w:spacing w:line="540" w:lineRule="exact"/>
        <w:ind w:firstLine="564" w:firstLineChars="181"/>
        <w:rPr>
          <w:rStyle w:val="19"/>
          <w:rFonts w:ascii="楷体" w:hAnsi="楷体" w:eastAsia="楷体"/>
          <w:b w:val="0"/>
          <w:color w:val="FF000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360" w:lineRule="auto"/>
        <w:ind w:firstLine="480" w:firstLineChars="150"/>
        <w:outlineLvl w:val="0"/>
        <w:rPr>
          <w:rStyle w:val="19"/>
          <w:rFonts w:ascii="楷体" w:hAnsi="楷体" w:eastAsia="楷体"/>
          <w:color w:val="000000" w:themeColor="text1"/>
          <w:spacing w:val="-4"/>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根据喀财专报[2019]124文件要求，本项目资金</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cs="仿宋"/>
          <w:color w:val="000000" w:themeColor="text1"/>
          <w:sz w:val="32"/>
          <w:szCs w:val="32"/>
          <w14:textFill>
            <w14:solidFill>
              <w14:schemeClr w14:val="tx1"/>
            </w14:solidFill>
          </w14:textFill>
        </w:rPr>
        <w:t>万元，其中财政资金</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cs="仿宋"/>
          <w:color w:val="000000" w:themeColor="text1"/>
          <w:sz w:val="32"/>
          <w:szCs w:val="32"/>
          <w14:textFill>
            <w14:solidFill>
              <w14:schemeClr w14:val="tx1"/>
            </w14:solidFill>
          </w14:textFill>
        </w:rPr>
        <w:t>万元，其他资金0万元，</w:t>
      </w:r>
      <w:r>
        <w:rPr>
          <w:rFonts w:hint="eastAsia" w:ascii="仿宋" w:hAnsi="仿宋" w:eastAsia="仿宋"/>
          <w:bCs/>
          <w:color w:val="000000" w:themeColor="text1"/>
          <w:spacing w:val="-4"/>
          <w:sz w:val="32"/>
          <w:szCs w:val="32"/>
          <w14:textFill>
            <w14:solidFill>
              <w14:schemeClr w14:val="tx1"/>
            </w14:solidFill>
          </w14:textFill>
        </w:rPr>
        <w:t>资金到位</w:t>
      </w:r>
      <w:r>
        <w:rPr>
          <w:rStyle w:val="19"/>
          <w:rFonts w:hint="eastAsia" w:ascii="仿宋" w:hAnsi="仿宋" w:eastAsia="仿宋"/>
          <w:b w:val="0"/>
          <w:color w:val="000000" w:themeColor="text1"/>
          <w:spacing w:val="-4"/>
          <w:sz w:val="32"/>
          <w:szCs w:val="32"/>
          <w14:textFill>
            <w14:solidFill>
              <w14:schemeClr w14:val="tx1"/>
            </w14:solidFill>
          </w14:textFill>
        </w:rPr>
        <w:t>20.58</w:t>
      </w:r>
      <w:r>
        <w:rPr>
          <w:rFonts w:hint="eastAsia" w:ascii="仿宋" w:hAnsi="仿宋" w:eastAsia="仿宋"/>
          <w:bCs/>
          <w:color w:val="000000" w:themeColor="text1"/>
          <w:spacing w:val="-4"/>
          <w:sz w:val="32"/>
          <w:szCs w:val="32"/>
          <w14:textFill>
            <w14:solidFill>
              <w14:schemeClr w14:val="tx1"/>
            </w14:solidFill>
          </w14:textFill>
        </w:rPr>
        <w:t>万元；资金到位率100%。</w:t>
      </w:r>
    </w:p>
    <w:p>
      <w:pPr>
        <w:spacing w:line="540" w:lineRule="exact"/>
        <w:ind w:firstLine="567" w:firstLineChars="181"/>
        <w:rPr>
          <w:rStyle w:val="19"/>
          <w:rFonts w:ascii="楷体" w:hAnsi="楷体" w:eastAsia="楷体"/>
          <w:color w:val="0000FF"/>
          <w:spacing w:val="-4"/>
          <w:sz w:val="32"/>
          <w:szCs w:val="32"/>
        </w:rPr>
      </w:pPr>
      <w:r>
        <w:rPr>
          <w:rStyle w:val="19"/>
          <w:rFonts w:hint="eastAsia" w:ascii="楷体" w:hAnsi="楷体" w:eastAsia="楷体"/>
          <w:spacing w:val="-4"/>
          <w:sz w:val="32"/>
          <w:szCs w:val="32"/>
        </w:rPr>
        <w:t xml:space="preserve">（二）项目资金实际使用情况分析   </w:t>
      </w:r>
    </w:p>
    <w:p>
      <w:pPr>
        <w:ind w:firstLine="624" w:firstLineChars="200"/>
        <w:rPr>
          <w:rFonts w:ascii="仿宋_GB2312" w:eastAsia="仿宋_GB2312"/>
          <w:sz w:val="32"/>
          <w:szCs w:val="32"/>
        </w:rPr>
      </w:pPr>
      <w:r>
        <w:rPr>
          <w:rStyle w:val="19"/>
          <w:rFonts w:hint="eastAsia" w:ascii="仿宋" w:hAnsi="仿宋" w:eastAsia="仿宋"/>
          <w:b w:val="0"/>
          <w:spacing w:val="-4"/>
          <w:sz w:val="32"/>
          <w:szCs w:val="32"/>
        </w:rPr>
        <w:t>根据喀地财发【2019】60号关于下达2019年喀什地区本级预算部门预算批复的通知，到位资金20.58万元，本项目实际支付资金15.435万元，预算执行率75%。项目资金主要用于支付中国移动通信集团新疆有限公司喀什地区分公司9个月线路租用费15.435万元，结余资金5.145万元。</w:t>
      </w:r>
    </w:p>
    <w:p>
      <w:pPr>
        <w:adjustRightInd w:val="0"/>
        <w:snapToGrid w:val="0"/>
        <w:spacing w:line="360" w:lineRule="auto"/>
        <w:ind w:firstLine="624" w:firstLineChars="200"/>
        <w:outlineLvl w:val="0"/>
        <w:rPr>
          <w:rStyle w:val="19"/>
          <w:rFonts w:ascii="仿宋" w:hAnsi="仿宋" w:eastAsia="仿宋"/>
          <w:b w:val="0"/>
          <w:spacing w:val="-4"/>
          <w:sz w:val="32"/>
          <w:szCs w:val="32"/>
        </w:rPr>
      </w:pPr>
      <w:r>
        <w:rPr>
          <w:rStyle w:val="19"/>
          <w:rFonts w:hint="eastAsia" w:ascii="仿宋" w:hAnsi="仿宋" w:eastAsia="仿宋"/>
          <w:b w:val="0"/>
          <w:spacing w:val="-4"/>
          <w:sz w:val="32"/>
          <w:szCs w:val="32"/>
        </w:rPr>
        <w:t>根据中央和自治区项目资金管理办法的要求，喀什地区电子政务管理办公室严格按照项目资金规定的项目条件和范围要求，严格按照有关规定使用管理项目资金。</w:t>
      </w:r>
    </w:p>
    <w:p>
      <w:pPr>
        <w:adjustRightInd w:val="0"/>
        <w:snapToGrid w:val="0"/>
        <w:spacing w:line="360" w:lineRule="auto"/>
        <w:ind w:firstLine="584" w:firstLineChars="200"/>
        <w:outlineLvl w:val="0"/>
        <w:rPr>
          <w:rFonts w:ascii="仿宋" w:hAnsi="仿宋" w:eastAsia="仿宋"/>
          <w:bCs/>
          <w:color w:val="FF0000"/>
          <w:spacing w:val="-4"/>
          <w:sz w:val="30"/>
          <w:szCs w:val="30"/>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支出符合地区财政资金管理制度，包括会计人员集中核算工作管理制度、财务收支审批制度、财务稽核制度、财务牵制制度、会计主管岗位职责等制度规定；资金支付由本单位主要领导同意、主管财务领导、财务负责人、经办人签字、地区财政局等各级部门审批审核；资金的支付有完整的审批程序和手续，符合制度要求；不存在截留、挤占、挪用、虚列支出等情况。</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为保证项目质量和成本控制，我单位积极与地区财政局政府采购办对接，确定了采购方式，采取询价的方式进行采购，经专家评审，一致通过由中国移动通信集团新疆有限公司喀什地区分公司提供线路接入服务。按计划施工后，49家单位于4月初接入政务服务平台。项目实施完成后，由本项目相关人员完成检查验收，检查验收合格后按合同规定支付款项。项目达到预期目标，按合同规定支付款项。</w:t>
      </w:r>
    </w:p>
    <w:p>
      <w:pPr>
        <w:spacing w:line="54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本项目不存在调整情况。</w:t>
      </w:r>
    </w:p>
    <w:p>
      <w:pPr>
        <w:spacing w:line="540" w:lineRule="exact"/>
        <w:ind w:firstLine="624" w:firstLineChars="200"/>
        <w:rPr>
          <w:rStyle w:val="19"/>
          <w:rFonts w:ascii="仿宋" w:hAnsi="仿宋" w:eastAsia="仿宋"/>
          <w:b w:val="0"/>
          <w:spacing w:val="-4"/>
          <w:sz w:val="32"/>
          <w:szCs w:val="32"/>
        </w:rPr>
      </w:pPr>
    </w:p>
    <w:p>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r>
        <w:rPr>
          <w:rStyle w:val="19"/>
          <w:rFonts w:hint="eastAsia" w:ascii="仿宋" w:hAnsi="仿宋" w:eastAsia="仿宋"/>
          <w:b w:val="0"/>
          <w:color w:val="000000" w:themeColor="text1"/>
          <w:spacing w:val="-4"/>
          <w:sz w:val="32"/>
          <w:szCs w:val="32"/>
          <w14:textFill>
            <w14:solidFill>
              <w14:schemeClr w14:val="tx1"/>
            </w14:solidFill>
          </w14:textFill>
        </w:rPr>
        <w:t>项目实施过程中，我单位建立了《喀什地区电子政务管理办公室项目管理制度》保障项目的顺利实施。项目的实施遵守相关法律法规和业务管理规定，项目资料齐全并及时装订、归档。已建立《喀什地区电子政务管理办公室项目日常检查监督制度》，不定期对项目进度情况进行督导检查，对检查过程中发现的问题及时督促整改，确保了项目按时保质完成。</w:t>
      </w:r>
    </w:p>
    <w:p>
      <w:pPr>
        <w:spacing w:line="540" w:lineRule="exact"/>
        <w:ind w:firstLine="624" w:firstLineChars="200"/>
        <w:rPr>
          <w:rStyle w:val="19"/>
          <w:rFonts w:ascii="仿宋" w:hAnsi="仿宋" w:eastAsia="仿宋"/>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四、项目绩效情况</w:t>
      </w:r>
    </w:p>
    <w:p>
      <w:pPr>
        <w:spacing w:line="540" w:lineRule="exact"/>
        <w:ind w:firstLine="64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本项目的主要产出和效果：一是49家单位如期接入自治区政务服务，系统运行；截至12月底，系统已运行9个月。二是49家接入单位已经在该平台进行在线业务处理，在线办事水平逐步提高，政务公开水平逐步提高，49家接入单位满意率100%。</w:t>
      </w:r>
    </w:p>
    <w:p>
      <w:pPr>
        <w:spacing w:line="540" w:lineRule="exact"/>
        <w:ind w:firstLine="640"/>
        <w:rPr>
          <w:rStyle w:val="19"/>
          <w:rFonts w:ascii="黑体" w:hAnsi="黑体" w:eastAsia="黑体"/>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widowControl/>
        <w:ind w:firstLine="640" w:firstLineChars="200"/>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本项目共设置一级指标</w:t>
      </w:r>
      <w:r>
        <w:rPr>
          <w:rFonts w:ascii="仿宋" w:hAnsi="仿宋" w:eastAsia="仿宋" w:cs="仿宋"/>
          <w:color w:val="000000" w:themeColor="text1"/>
          <w:kern w:val="0"/>
          <w:sz w:val="32"/>
          <w:szCs w:val="32"/>
          <w14:textFill>
            <w14:solidFill>
              <w14:schemeClr w14:val="tx1"/>
            </w14:solidFill>
          </w14:textFill>
        </w:rPr>
        <w:t>3</w:t>
      </w:r>
      <w:r>
        <w:rPr>
          <w:rFonts w:hint="eastAsia" w:ascii="仿宋" w:hAnsi="仿宋" w:eastAsia="仿宋" w:cs="仿宋"/>
          <w:color w:val="000000" w:themeColor="text1"/>
          <w:kern w:val="0"/>
          <w:sz w:val="32"/>
          <w:szCs w:val="32"/>
          <w14:textFill>
            <w14:solidFill>
              <w14:schemeClr w14:val="tx1"/>
            </w14:solidFill>
          </w14:textFill>
        </w:rPr>
        <w:t>个，二级指标</w:t>
      </w:r>
      <w:r>
        <w:rPr>
          <w:rFonts w:hint="eastAsia" w:ascii="仿宋" w:hAnsi="仿宋" w:eastAsia="仿宋" w:cs="仿宋"/>
          <w:color w:val="000000" w:themeColor="text1"/>
          <w:kern w:val="0"/>
          <w:sz w:val="32"/>
          <w:szCs w:val="32"/>
          <w:lang w:val="en-US" w:eastAsia="zh-CN"/>
          <w14:textFill>
            <w14:solidFill>
              <w14:schemeClr w14:val="tx1"/>
            </w14:solidFill>
          </w14:textFill>
        </w:rPr>
        <w:t>7</w:t>
      </w:r>
      <w:r>
        <w:rPr>
          <w:rFonts w:hint="eastAsia" w:ascii="仿宋" w:hAnsi="仿宋" w:eastAsia="仿宋" w:cs="仿宋"/>
          <w:color w:val="000000" w:themeColor="text1"/>
          <w:kern w:val="0"/>
          <w:sz w:val="32"/>
          <w:szCs w:val="32"/>
          <w14:textFill>
            <w14:solidFill>
              <w14:schemeClr w14:val="tx1"/>
            </w14:solidFill>
          </w14:textFill>
        </w:rPr>
        <w:t>个，三级指标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11</w:t>
      </w:r>
      <w:r>
        <w:rPr>
          <w:rFonts w:hint="eastAsia" w:ascii="仿宋" w:hAnsi="仿宋" w:eastAsia="仿宋" w:cs="仿宋"/>
          <w:color w:val="000000" w:themeColor="text1"/>
          <w:kern w:val="0"/>
          <w:sz w:val="32"/>
          <w:szCs w:val="32"/>
          <w14:textFill>
            <w14:solidFill>
              <w14:schemeClr w14:val="tx1"/>
            </w14:solidFill>
          </w14:textFill>
        </w:rPr>
        <w:t>个，其中已完成三级指标</w:t>
      </w:r>
      <w:r>
        <w:rPr>
          <w:rFonts w:hint="eastAsia" w:ascii="仿宋" w:hAnsi="仿宋" w:eastAsia="仿宋" w:cs="仿宋"/>
          <w:color w:val="000000" w:themeColor="text1"/>
          <w:kern w:val="0"/>
          <w:sz w:val="32"/>
          <w:szCs w:val="32"/>
          <w:lang w:val="en-US" w:eastAsia="zh-CN"/>
          <w14:textFill>
            <w14:solidFill>
              <w14:schemeClr w14:val="tx1"/>
            </w14:solidFill>
          </w14:textFill>
        </w:rPr>
        <w:t>11</w:t>
      </w:r>
      <w:r>
        <w:rPr>
          <w:rFonts w:hint="eastAsia" w:ascii="仿宋" w:hAnsi="仿宋" w:eastAsia="仿宋" w:cs="仿宋"/>
          <w:color w:val="000000" w:themeColor="text1"/>
          <w:kern w:val="0"/>
          <w:sz w:val="32"/>
          <w:szCs w:val="32"/>
          <w14:textFill>
            <w14:solidFill>
              <w14:schemeClr w14:val="tx1"/>
            </w14:solidFill>
          </w14:textFill>
        </w:rPr>
        <w:t>个，指标完成率为100</w:t>
      </w:r>
      <w:r>
        <w:rPr>
          <w:rFonts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。根据年初设定的绩效目标，此项目自评得分为</w:t>
      </w:r>
      <w:r>
        <w:rPr>
          <w:rFonts w:hint="eastAsia" w:ascii="仿宋" w:hAnsi="仿宋" w:eastAsia="仿宋" w:cs="仿宋"/>
          <w:color w:val="FF0000"/>
          <w:kern w:val="0"/>
          <w:sz w:val="32"/>
          <w:szCs w:val="32"/>
        </w:rPr>
        <w:t>9</w:t>
      </w:r>
      <w:r>
        <w:rPr>
          <w:rFonts w:hint="eastAsia" w:ascii="仿宋" w:hAnsi="仿宋" w:eastAsia="仿宋" w:cs="仿宋"/>
          <w:color w:val="FF0000"/>
          <w:kern w:val="0"/>
          <w:sz w:val="32"/>
          <w:szCs w:val="32"/>
          <w:lang w:val="en-US" w:eastAsia="zh-CN"/>
        </w:rPr>
        <w:t>7.5</w:t>
      </w:r>
      <w:r>
        <w:rPr>
          <w:rFonts w:hint="eastAsia" w:ascii="仿宋" w:hAnsi="仿宋" w:eastAsia="仿宋" w:cs="仿宋"/>
          <w:color w:val="FF0000"/>
          <w:kern w:val="0"/>
          <w:sz w:val="32"/>
          <w:szCs w:val="32"/>
        </w:rPr>
        <w:t>分</w:t>
      </w:r>
      <w:r>
        <w:rPr>
          <w:rFonts w:hint="eastAsia" w:ascii="仿宋" w:hAnsi="仿宋" w:eastAsia="仿宋" w:cs="仿宋"/>
          <w:color w:val="000000" w:themeColor="text1"/>
          <w:kern w:val="0"/>
          <w:sz w:val="32"/>
          <w:szCs w:val="32"/>
          <w14:textFill>
            <w14:solidFill>
              <w14:schemeClr w14:val="tx1"/>
            </w14:solidFill>
          </w14:textFill>
        </w:rPr>
        <w:t>。</w:t>
      </w: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1.</w:t>
      </w:r>
      <w:r>
        <w:rPr>
          <w:rFonts w:hint="eastAsia" w:ascii="楷体" w:hAnsi="楷体" w:eastAsia="楷体"/>
          <w:spacing w:val="-4"/>
          <w:sz w:val="32"/>
          <w:szCs w:val="32"/>
        </w:rPr>
        <w:t>产出指标完成情况分析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）项目完成数量</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单条线路带宽（兆），预期指标是20，实际完成值是20，指标完成率是100%，达到预期目标；政务外网横向接入线路（条），预期指标是49，实际完成值是49，指标完成率是100%，达到预期目标。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数量指标共计2个，完成2个，达到预期目标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）项目完成质量</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故障排除时限（≦*小时），预期指标是8，实际完成值是4，指标完成率是100%，达到预期目标；政府采购率（%），预期指标是100%，实际完成值是100%，指标完成率是100%，达到预期目标；线路故障率（≦*%），预期指标是3%，实际完成值是0.5%，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质量指标共计3个，完成3个，达到预期目标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）项目实施进度</w:t>
      </w:r>
    </w:p>
    <w:p>
      <w:pPr>
        <w:spacing w:line="360" w:lineRule="auto"/>
        <w:ind w:firstLine="780" w:firstLineChars="25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日常巡查维修及时率（≧*%），预期指标是90%，实际完成值是100%，指标完成率是100%，达到预期目标。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时效指标共计1个，完成1个，达到预期目标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4</w:t>
      </w:r>
      <w:r>
        <w:rPr>
          <w:rFonts w:hint="eastAsia" w:ascii="仿宋" w:hAnsi="仿宋" w:eastAsia="仿宋" w:cs="仿宋"/>
          <w:color w:val="000000" w:themeColor="text1"/>
          <w:spacing w:val="-4"/>
          <w:sz w:val="32"/>
          <w:szCs w:val="32"/>
          <w14:textFill>
            <w14:solidFill>
              <w14:schemeClr w14:val="tx1"/>
            </w14:solidFill>
          </w14:textFill>
        </w:rPr>
        <w:t>）项目成本节约情况</w:t>
      </w:r>
    </w:p>
    <w:p>
      <w:pPr>
        <w:spacing w:line="360" w:lineRule="auto"/>
        <w:ind w:firstLine="780" w:firstLineChars="250"/>
        <w:rPr>
          <w:rFonts w:hint="eastAsia" w:ascii="仿宋" w:hAnsi="仿宋" w:eastAsia="仿宋" w:cs="仿宋"/>
          <w:color w:val="000000" w:themeColor="text1"/>
          <w:spacing w:val="-4"/>
          <w:sz w:val="32"/>
          <w:szCs w:val="32"/>
          <w:lang w:eastAsia="zh-CN"/>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单条线路月租费（≦*元），预期指标是350，实际完成值是337，指标完成率是100%，达到预期目标。偏差原因：做预算时，算的是全年的租费，由于四月才完工，实际只支出了8个月租费。改进措施：进一步加强预算</w:t>
      </w:r>
      <w:r>
        <w:rPr>
          <w:rFonts w:hint="eastAsia" w:ascii="仿宋" w:hAnsi="仿宋" w:eastAsia="仿宋" w:cs="仿宋"/>
          <w:color w:val="000000" w:themeColor="text1"/>
          <w:spacing w:val="-4"/>
          <w:sz w:val="32"/>
          <w:szCs w:val="32"/>
          <w:lang w:eastAsia="zh-CN"/>
          <w14:textFill>
            <w14:solidFill>
              <w14:schemeClr w14:val="tx1"/>
            </w14:solidFill>
          </w14:textFill>
        </w:rPr>
        <w:t>。</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成本指标共计1个，完成1个，达到预期目标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540" w:lineRule="exact"/>
        <w:ind w:firstLine="624" w:firstLineChars="200"/>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2.</w:t>
      </w:r>
      <w:r>
        <w:rPr>
          <w:rFonts w:hint="eastAsia" w:ascii="楷体" w:hAnsi="楷体" w:eastAsia="楷体"/>
          <w:spacing w:val="-4"/>
          <w:sz w:val="32"/>
          <w:szCs w:val="32"/>
        </w:rPr>
        <w:t>效益指标完成情况分析</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1</w:t>
      </w:r>
      <w:r>
        <w:rPr>
          <w:rFonts w:hint="eastAsia" w:ascii="仿宋" w:hAnsi="仿宋" w:eastAsia="仿宋" w:cs="仿宋"/>
          <w:color w:val="000000" w:themeColor="text1"/>
          <w:spacing w:val="-4"/>
          <w:sz w:val="32"/>
          <w:szCs w:val="32"/>
          <w14:textFill>
            <w14:solidFill>
              <w14:schemeClr w14:val="tx1"/>
            </w14:solidFill>
          </w14:textFill>
        </w:rPr>
        <w:t>）项目实施的经济效益分析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7"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
          <w:bCs/>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2</w:t>
      </w:r>
      <w:r>
        <w:rPr>
          <w:rFonts w:hint="eastAsia" w:ascii="仿宋" w:hAnsi="仿宋" w:eastAsia="仿宋" w:cs="仿宋"/>
          <w:color w:val="000000" w:themeColor="text1"/>
          <w:spacing w:val="-4"/>
          <w:sz w:val="32"/>
          <w:szCs w:val="32"/>
          <w14:textFill>
            <w14:solidFill>
              <w14:schemeClr w14:val="tx1"/>
            </w14:solidFill>
          </w14:textFill>
        </w:rPr>
        <w:t>）项目实施的社会效益分析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在线办事水平，预期指标是逐步提高，实际完成值是逐步提高，指标完成率是逐步提高，指标完成率是100%，达到预期目标；政务公开水平，预期指标是逐步提高，实际完成值是逐步提高，指标完成率是100%，达到预期目标。</w:t>
      </w:r>
    </w:p>
    <w:p>
      <w:pPr>
        <w:spacing w:line="360" w:lineRule="auto"/>
        <w:ind w:firstLine="640"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社会效益指标共计2个，完成2个，达到预期目标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w:t>
      </w:r>
      <w:r>
        <w:rPr>
          <w:rFonts w:ascii="仿宋" w:hAnsi="仿宋" w:eastAsia="仿宋" w:cs="仿宋"/>
          <w:color w:val="000000" w:themeColor="text1"/>
          <w:spacing w:val="-4"/>
          <w:sz w:val="32"/>
          <w:szCs w:val="32"/>
          <w14:textFill>
            <w14:solidFill>
              <w14:schemeClr w14:val="tx1"/>
            </w14:solidFill>
          </w14:textFill>
        </w:rPr>
        <w:t>3</w:t>
      </w:r>
      <w:r>
        <w:rPr>
          <w:rFonts w:hint="eastAsia" w:ascii="仿宋" w:hAnsi="仿宋" w:eastAsia="仿宋" w:cs="仿宋"/>
          <w:color w:val="000000" w:themeColor="text1"/>
          <w:spacing w:val="-4"/>
          <w:sz w:val="32"/>
          <w:szCs w:val="32"/>
          <w14:textFill>
            <w14:solidFill>
              <w14:schemeClr w14:val="tx1"/>
            </w14:solidFill>
          </w14:textFill>
        </w:rPr>
        <w:t>）项目实施的生态效益分</w:t>
      </w:r>
      <w:r>
        <w:rPr>
          <w:rFonts w:hint="eastAsia" w:ascii="仿宋" w:hAnsi="仿宋" w:eastAsia="仿宋" w:cs="仿宋"/>
          <w:bCs/>
          <w:color w:val="000000" w:themeColor="text1"/>
          <w:spacing w:val="-4"/>
          <w:sz w:val="32"/>
          <w:szCs w:val="32"/>
          <w14:textFill>
            <w14:solidFill>
              <w14:schemeClr w14:val="tx1"/>
            </w14:solidFill>
          </w14:textFill>
        </w:rPr>
        <w:t>析</w:t>
      </w:r>
    </w:p>
    <w:p>
      <w:pPr>
        <w:spacing w:line="360" w:lineRule="auto"/>
        <w:ind w:firstLine="936" w:firstLineChars="3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无</w:t>
      </w:r>
    </w:p>
    <w:p>
      <w:pPr>
        <w:spacing w:line="360" w:lineRule="auto"/>
        <w:ind w:firstLine="624" w:firstLineChars="200"/>
        <w:rPr>
          <w:rFonts w:ascii="仿宋" w:hAnsi="仿宋" w:eastAsia="仿宋" w:cs="仿宋"/>
          <w:bCs/>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w:t>
      </w:r>
      <w:r>
        <w:rPr>
          <w:rFonts w:ascii="仿宋" w:hAnsi="仿宋" w:eastAsia="仿宋" w:cs="仿宋"/>
          <w:bCs/>
          <w:color w:val="000000" w:themeColor="text1"/>
          <w:spacing w:val="-4"/>
          <w:sz w:val="32"/>
          <w:szCs w:val="32"/>
          <w14:textFill>
            <w14:solidFill>
              <w14:schemeClr w14:val="tx1"/>
            </w14:solidFill>
          </w14:textFill>
        </w:rPr>
        <w:t>4</w:t>
      </w:r>
      <w:r>
        <w:rPr>
          <w:rFonts w:hint="eastAsia" w:ascii="仿宋" w:hAnsi="仿宋" w:eastAsia="仿宋" w:cs="仿宋"/>
          <w:bCs/>
          <w:color w:val="000000" w:themeColor="text1"/>
          <w:spacing w:val="-4"/>
          <w:sz w:val="32"/>
          <w:szCs w:val="32"/>
          <w14:textFill>
            <w14:solidFill>
              <w14:schemeClr w14:val="tx1"/>
            </w14:solidFill>
          </w14:textFill>
        </w:rPr>
        <w:t>）项目实施的可持续影响分析</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窗口使用年限（≧*年），预期指标是5，实际完成值是5，指标完成率是100%，达到预期目标。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bCs/>
          <w:color w:val="000000" w:themeColor="text1"/>
          <w:spacing w:val="-4"/>
          <w:sz w:val="32"/>
          <w:szCs w:val="32"/>
          <w14:textFill>
            <w14:solidFill>
              <w14:schemeClr w14:val="tx1"/>
            </w14:solidFill>
          </w14:textFill>
        </w:rPr>
        <w:t>可持续影响</w:t>
      </w:r>
      <w:r>
        <w:rPr>
          <w:rFonts w:hint="eastAsia" w:ascii="仿宋" w:hAnsi="仿宋" w:eastAsia="仿宋"/>
          <w:color w:val="000000" w:themeColor="text1"/>
          <w:sz w:val="32"/>
          <w:szCs w:val="32"/>
          <w14:textFill>
            <w14:solidFill>
              <w14:schemeClr w14:val="tx1"/>
            </w14:solidFill>
          </w14:textFill>
        </w:rPr>
        <w:t>指标共计1个，完成1个，达到预期目标</w:t>
      </w:r>
      <w:r>
        <w:rPr>
          <w:rFonts w:hint="eastAsia" w:ascii="仿宋" w:hAnsi="仿宋" w:eastAsia="仿宋" w:cs="仿宋"/>
          <w:color w:val="000000" w:themeColor="text1"/>
          <w:spacing w:val="-4"/>
          <w:sz w:val="32"/>
          <w:szCs w:val="32"/>
          <w14:textFill>
            <w14:solidFill>
              <w14:schemeClr w14:val="tx1"/>
            </w14:solidFill>
          </w14:textFill>
        </w:rPr>
        <w:t>。</w:t>
      </w:r>
    </w:p>
    <w:p>
      <w:pPr>
        <w:spacing w:line="540" w:lineRule="exact"/>
        <w:ind w:firstLine="564" w:firstLineChars="181"/>
        <w:rPr>
          <w:rFonts w:ascii="仿宋" w:hAnsi="仿宋" w:eastAsia="仿宋" w:cs="仿宋"/>
          <w:color w:val="000000" w:themeColor="text1"/>
          <w:spacing w:val="-4"/>
          <w:sz w:val="32"/>
          <w:szCs w:val="32"/>
          <w14:textFill>
            <w14:solidFill>
              <w14:schemeClr w14:val="tx1"/>
            </w14:solidFill>
          </w14:textFill>
        </w:rPr>
      </w:pPr>
    </w:p>
    <w:p>
      <w:pPr>
        <w:spacing w:line="540" w:lineRule="exact"/>
        <w:ind w:firstLine="564" w:firstLineChars="181"/>
        <w:rPr>
          <w:rFonts w:ascii="楷体" w:hAnsi="楷体" w:eastAsia="楷体"/>
          <w:spacing w:val="-4"/>
          <w:sz w:val="32"/>
          <w:szCs w:val="32"/>
        </w:rPr>
      </w:pPr>
      <w:r>
        <w:rPr>
          <w:rFonts w:ascii="楷体" w:hAnsi="楷体" w:eastAsia="楷体"/>
          <w:spacing w:val="-4"/>
          <w:sz w:val="32"/>
          <w:szCs w:val="32"/>
        </w:rPr>
        <w:t>3.</w:t>
      </w:r>
      <w:r>
        <w:rPr>
          <w:rFonts w:hint="eastAsia" w:ascii="楷体" w:hAnsi="楷体" w:eastAsia="楷体"/>
          <w:spacing w:val="-4"/>
          <w:sz w:val="32"/>
          <w:szCs w:val="32"/>
        </w:rPr>
        <w:t>满意度指标完成情况分析</w:t>
      </w:r>
    </w:p>
    <w:p>
      <w:pPr>
        <w:ind w:firstLine="624" w:firstLineChars="200"/>
        <w:rPr>
          <w:rFonts w:ascii="仿宋" w:hAnsi="仿宋" w:eastAsia="仿宋" w:cs="仿宋"/>
          <w:color w:val="000000" w:themeColor="text1"/>
          <w:spacing w:val="-4"/>
          <w:sz w:val="30"/>
          <w:szCs w:val="30"/>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按计划完成项目实施，已做满意度调查问卷，</w:t>
      </w:r>
      <w:r>
        <w:rPr>
          <w:rFonts w:hint="eastAsia" w:ascii="仿宋" w:hAnsi="仿宋" w:eastAsia="仿宋" w:cs="仿宋"/>
          <w:color w:val="000000" w:themeColor="text1"/>
          <w:spacing w:val="-4"/>
          <w:sz w:val="30"/>
          <w:szCs w:val="30"/>
          <w14:textFill>
            <w14:solidFill>
              <w14:schemeClr w14:val="tx1"/>
            </w14:solidFill>
          </w14:textFill>
        </w:rPr>
        <w:t>具体如下：</w:t>
      </w:r>
    </w:p>
    <w:p>
      <w:pPr>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接入单位满意度 (≧*%)，预期指标是95%，实际完成值是100%，指标完成率是100%，达到预期目标。</w:t>
      </w:r>
    </w:p>
    <w:p>
      <w:pPr>
        <w:spacing w:line="360" w:lineRule="auto"/>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满意度指标共计1个，完成1个，达到预期目标，服务对象满意度指标完成。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584" w:firstLineChars="200"/>
        <w:rPr>
          <w:rFonts w:ascii="仿宋" w:hAnsi="仿宋" w:eastAsia="仿宋"/>
          <w:color w:val="000000" w:themeColor="text1"/>
          <w:spacing w:val="-4"/>
          <w:sz w:val="30"/>
          <w:szCs w:val="30"/>
          <w14:textFill>
            <w14:solidFill>
              <w14:schemeClr w14:val="tx1"/>
            </w14:solidFill>
          </w14:textFill>
        </w:rPr>
      </w:pPr>
      <w:r>
        <w:rPr>
          <w:rFonts w:hint="eastAsia" w:ascii="仿宋" w:hAnsi="仿宋" w:eastAsia="仿宋"/>
          <w:bCs/>
          <w:color w:val="000000" w:themeColor="text1"/>
          <w:spacing w:val="-4"/>
          <w:sz w:val="30"/>
          <w:szCs w:val="30"/>
          <w14:textFill>
            <w14:solidFill>
              <w14:schemeClr w14:val="tx1"/>
            </w14:solidFill>
          </w14:textFill>
        </w:rPr>
        <w:t>本项目预算资金为20.58万元，到位资金20.58万元，实际支付资金15.435万元，预算执行率</w:t>
      </w:r>
      <w:r>
        <w:rPr>
          <w:rStyle w:val="19"/>
          <w:rFonts w:hint="eastAsia" w:ascii="仿宋" w:hAnsi="仿宋" w:eastAsia="仿宋"/>
          <w:b w:val="0"/>
          <w:spacing w:val="-4"/>
          <w:sz w:val="32"/>
          <w:szCs w:val="32"/>
        </w:rPr>
        <w:t>75%</w:t>
      </w:r>
      <w:r>
        <w:rPr>
          <w:rFonts w:hint="eastAsia" w:ascii="仿宋" w:hAnsi="仿宋" w:eastAsia="仿宋"/>
          <w:bCs/>
          <w:color w:val="000000" w:themeColor="text1"/>
          <w:spacing w:val="-4"/>
          <w:sz w:val="30"/>
          <w:szCs w:val="30"/>
          <w14:textFill>
            <w14:solidFill>
              <w14:schemeClr w14:val="tx1"/>
            </w14:solidFill>
          </w14:textFill>
        </w:rPr>
        <w:t>，总体目标完成率为100%。</w:t>
      </w:r>
    </w:p>
    <w:p>
      <w:pPr>
        <w:ind w:firstLine="584" w:firstLineChars="200"/>
        <w:rPr>
          <w:rFonts w:ascii="仿宋_GB2312" w:eastAsia="仿宋_GB2312"/>
          <w:sz w:val="32"/>
          <w:szCs w:val="32"/>
        </w:rPr>
      </w:pPr>
      <w:r>
        <w:rPr>
          <w:rFonts w:hint="eastAsia" w:ascii="仿宋" w:hAnsi="仿宋" w:eastAsia="仿宋"/>
          <w:color w:val="000000" w:themeColor="text1"/>
          <w:spacing w:val="-4"/>
          <w:sz w:val="30"/>
          <w:szCs w:val="30"/>
          <w14:textFill>
            <w14:solidFill>
              <w14:schemeClr w14:val="tx1"/>
            </w14:solidFill>
          </w14:textFill>
        </w:rPr>
        <w:t>此项目有偏差，偏差率为</w:t>
      </w:r>
      <w:r>
        <w:rPr>
          <w:rFonts w:hint="eastAsia" w:ascii="仿宋" w:hAnsi="仿宋" w:eastAsia="仿宋"/>
          <w:bCs/>
          <w:color w:val="000000" w:themeColor="text1"/>
          <w:spacing w:val="-4"/>
          <w:sz w:val="30"/>
          <w:szCs w:val="30"/>
          <w14:textFill>
            <w14:solidFill>
              <w14:schemeClr w14:val="tx1"/>
            </w14:solidFill>
          </w14:textFill>
        </w:rPr>
        <w:t>25</w:t>
      </w:r>
      <w:r>
        <w:rPr>
          <w:rFonts w:hint="eastAsia" w:ascii="仿宋" w:hAnsi="仿宋" w:eastAsia="仿宋"/>
          <w:color w:val="000000" w:themeColor="text1"/>
          <w:spacing w:val="-4"/>
          <w:sz w:val="30"/>
          <w:szCs w:val="30"/>
          <w14:textFill>
            <w14:solidFill>
              <w14:schemeClr w14:val="tx1"/>
            </w14:solidFill>
          </w14:textFill>
        </w:rPr>
        <w:t>%，偏差的原因为：年初预算时，预算的是全年12个月的线路租赁费，实际支付是从四月起。采取的措施为：将</w:t>
      </w:r>
      <w:r>
        <w:rPr>
          <w:rStyle w:val="19"/>
          <w:rFonts w:hint="eastAsia" w:ascii="仿宋" w:hAnsi="仿宋" w:eastAsia="仿宋"/>
          <w:b w:val="0"/>
          <w:spacing w:val="-4"/>
          <w:sz w:val="32"/>
          <w:szCs w:val="32"/>
        </w:rPr>
        <w:t>结余资金5.145万元退回地区财政局。</w:t>
      </w:r>
    </w:p>
    <w:p>
      <w:pPr>
        <w:spacing w:line="540" w:lineRule="exact"/>
        <w:ind w:firstLine="640"/>
        <w:rPr>
          <w:rStyle w:val="19"/>
          <w:rFonts w:ascii="黑体" w:hAnsi="黑体" w:eastAsia="黑体"/>
          <w:b w:val="0"/>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600" w:lineRule="exact"/>
        <w:ind w:firstLine="624" w:firstLineChars="200"/>
        <w:rPr>
          <w:rFonts w:ascii="仿宋" w:hAnsi="仿宋" w:eastAsia="仿宋" w:cs="仿宋"/>
          <w:color w:val="000000" w:themeColor="text1"/>
          <w:spacing w:val="-4"/>
          <w:sz w:val="32"/>
          <w:szCs w:val="32"/>
          <w14:textFill>
            <w14:solidFill>
              <w14:schemeClr w14:val="tx1"/>
            </w14:solidFill>
          </w14:textFill>
        </w:rPr>
      </w:pPr>
      <w:r>
        <w:rPr>
          <w:rFonts w:hint="eastAsia" w:ascii="仿宋" w:hAnsi="仿宋" w:eastAsia="仿宋" w:cs="仿宋"/>
          <w:color w:val="000000" w:themeColor="text1"/>
          <w:spacing w:val="-4"/>
          <w:sz w:val="32"/>
          <w:szCs w:val="32"/>
          <w14:textFill>
            <w14:solidFill>
              <w14:schemeClr w14:val="tx1"/>
            </w14:solidFill>
          </w14:textFill>
        </w:rPr>
        <w:t>在后期运行过程中，将督促承建方提供7</w:t>
      </w:r>
      <w:r>
        <w:rPr>
          <w:rFonts w:ascii="仿宋" w:hAnsi="仿宋" w:eastAsia="仿宋" w:cs="仿宋"/>
          <w:color w:val="000000" w:themeColor="text1"/>
          <w:spacing w:val="-4"/>
          <w:sz w:val="32"/>
          <w:szCs w:val="32"/>
          <w14:textFill>
            <w14:solidFill>
              <w14:schemeClr w14:val="tx1"/>
            </w14:solidFill>
          </w14:textFill>
        </w:rPr>
        <w:t>*24</w:t>
      </w:r>
      <w:r>
        <w:rPr>
          <w:rFonts w:hint="eastAsia" w:ascii="仿宋" w:hAnsi="仿宋" w:eastAsia="仿宋" w:cs="仿宋"/>
          <w:color w:val="000000" w:themeColor="text1"/>
          <w:spacing w:val="-4"/>
          <w:sz w:val="32"/>
          <w:szCs w:val="32"/>
          <w14:textFill>
            <w14:solidFill>
              <w14:schemeClr w14:val="tx1"/>
            </w14:solidFill>
          </w14:textFill>
        </w:rPr>
        <w:t>小时技术支持、不限次数现场服务及应急响应服务，确保接入单位持续接入自治区政务服务，为在线办事、信息公开打下基础。</w:t>
      </w:r>
    </w:p>
    <w:p>
      <w:pPr>
        <w:adjustRightInd w:val="0"/>
        <w:snapToGrid w:val="0"/>
        <w:spacing w:line="560" w:lineRule="exact"/>
        <w:ind w:firstLine="584" w:firstLineChars="200"/>
        <w:rPr>
          <w:rFonts w:ascii="仿宋" w:hAnsi="仿宋" w:eastAsia="仿宋"/>
          <w:bCs/>
          <w:color w:val="FF0000"/>
          <w:spacing w:val="-4"/>
          <w:sz w:val="30"/>
          <w:szCs w:val="30"/>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主要经验及做法</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通过预算绩效管理，总结了工作中的较好的经验，如项目严格按照进度计划进行，严格把控项目的整个生命周期，做好每个周期的工作，确保项目高质量如期完成。</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14:textFill>
            <w14:solidFill>
              <w14:schemeClr w14:val="tx1"/>
            </w14:solidFill>
          </w14:textFill>
        </w:rPr>
        <w:t>一是领导重视,提供组织保障。我办先后多次召开党组会、办务会专题研究绩效工作,成立了由主任任组长,分管副主任任副组长,科长为成员的绩效工作领导小组，下设办公室,确保了项目绩效工作的全面推进。二是建章健制,提供制度保障。根据办绩效工作办法和一系列文件精神,结合实际,细化指标完善标准,修改制定了《喀什地区电子政务管理办公室财政项目绩效管理办法及实施细则》,进一步明确了绩效管理工作目标。使我办的各项工作有标准、有措施的稳步开展。三是绩效管理与其他工作一起齐抓共管,提供实绩保障。如期完成了以下工作：抓好绩效目标编制,及时报送绩效目标；加强过程监督，绩效；开展财政项目事前支出绩效评价报告,对项目实施事前绩效自评和项目核查,在此基础上形成事前支出自评报告。</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存在的问题</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通过预算绩效管理，发现了工作中存在的不足，如签合同时未约定按月支付，导致资金支出进度与项目完成进度存在一定偏差。</w:t>
      </w:r>
    </w:p>
    <w:p>
      <w:pPr>
        <w:numPr>
          <w:ilvl w:val="0"/>
          <w:numId w:val="1"/>
        </w:numPr>
        <w:adjustRightInd w:val="0"/>
        <w:snapToGrid w:val="0"/>
        <w:spacing w:line="560" w:lineRule="exact"/>
        <w:ind w:firstLine="624" w:firstLineChars="200"/>
        <w:rPr>
          <w:rFonts w:ascii="楷体" w:hAnsi="楷体" w:eastAsia="楷体"/>
          <w:spacing w:val="-4"/>
          <w:sz w:val="32"/>
          <w:szCs w:val="32"/>
        </w:rPr>
      </w:pPr>
      <w:r>
        <w:rPr>
          <w:rFonts w:hint="eastAsia" w:ascii="楷体" w:hAnsi="楷体" w:eastAsia="楷体"/>
          <w:spacing w:val="-4"/>
          <w:sz w:val="32"/>
          <w:szCs w:val="32"/>
        </w:rPr>
        <w:t>建议</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下一年按月进行资金支付，确保资金支出进度与项目完成进度保持一致。</w:t>
      </w:r>
    </w:p>
    <w:p>
      <w:pPr>
        <w:spacing w:line="540" w:lineRule="exact"/>
        <w:ind w:firstLine="564" w:firstLineChars="181"/>
        <w:rPr>
          <w:rFonts w:ascii="仿宋_GB2312" w:eastAsia="仿宋_GB2312"/>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无其他说明内容。</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14:textFill>
            <w14:solidFill>
              <w14:schemeClr w14:val="tx1"/>
            </w14:solidFill>
          </w14:textFill>
        </w:rPr>
      </w:pPr>
      <w:r>
        <w:rPr>
          <w:rFonts w:hint="eastAsia" w:ascii="仿宋" w:hAnsi="仿宋" w:eastAsia="仿宋"/>
          <w:color w:val="000000" w:themeColor="text1"/>
          <w:spacing w:val="-4"/>
          <w:sz w:val="32"/>
          <w:szCs w:val="32"/>
          <w14:textFill>
            <w14:solidFill>
              <w14:schemeClr w14:val="tx1"/>
            </w14:solidFill>
          </w14:textFill>
        </w:rPr>
        <w:t>本次评价通过文件研读、实地调研、数据分析等方式，全面了解喀什地区政务服务建设外网横向接入项目资金的使用效率和效果，项目管理过程严格按照规范流程进行，完成了预期绩效目标。同时，通过开展自我评价来总结经验和教训，为喀什地区电子政务管理办公室的其他项目今后的开展提供参考建议。</w:t>
      </w:r>
    </w:p>
    <w:p>
      <w:pPr>
        <w:ind w:firstLine="624" w:firstLineChars="200"/>
        <w:rPr>
          <w:rFonts w:ascii="仿宋_GB2312" w:eastAsia="仿宋_GB2312"/>
          <w:spacing w:val="-4"/>
          <w:sz w:val="32"/>
          <w:szCs w:val="32"/>
        </w:rPr>
      </w:pP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《喀什地区财政项目支出绩效自评表》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02ADE"/>
    <w:multiLevelType w:val="singleLevel"/>
    <w:tmpl w:val="3F402A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B5051"/>
    <w:rsid w:val="000C025E"/>
    <w:rsid w:val="000C0AD1"/>
    <w:rsid w:val="000C7A14"/>
    <w:rsid w:val="000E0361"/>
    <w:rsid w:val="000E0765"/>
    <w:rsid w:val="00103503"/>
    <w:rsid w:val="00121AE4"/>
    <w:rsid w:val="00122B34"/>
    <w:rsid w:val="00136BCC"/>
    <w:rsid w:val="00146AAD"/>
    <w:rsid w:val="00165487"/>
    <w:rsid w:val="001946F5"/>
    <w:rsid w:val="001B23F1"/>
    <w:rsid w:val="001B3A40"/>
    <w:rsid w:val="001F08C5"/>
    <w:rsid w:val="001F2FC0"/>
    <w:rsid w:val="0020452A"/>
    <w:rsid w:val="00220617"/>
    <w:rsid w:val="002603FD"/>
    <w:rsid w:val="0027540F"/>
    <w:rsid w:val="002A2B2F"/>
    <w:rsid w:val="00311626"/>
    <w:rsid w:val="00311C53"/>
    <w:rsid w:val="00321CBD"/>
    <w:rsid w:val="00347D87"/>
    <w:rsid w:val="00367EC8"/>
    <w:rsid w:val="00370339"/>
    <w:rsid w:val="003C2CF9"/>
    <w:rsid w:val="004020CD"/>
    <w:rsid w:val="004366A8"/>
    <w:rsid w:val="00501963"/>
    <w:rsid w:val="00502BA7"/>
    <w:rsid w:val="005127FA"/>
    <w:rsid w:val="005162F1"/>
    <w:rsid w:val="00517360"/>
    <w:rsid w:val="00535153"/>
    <w:rsid w:val="00554F82"/>
    <w:rsid w:val="0056390D"/>
    <w:rsid w:val="0056530C"/>
    <w:rsid w:val="00567A84"/>
    <w:rsid w:val="005719B0"/>
    <w:rsid w:val="005B50FD"/>
    <w:rsid w:val="005C0722"/>
    <w:rsid w:val="005D10D6"/>
    <w:rsid w:val="005F440E"/>
    <w:rsid w:val="005F5A1C"/>
    <w:rsid w:val="006026AC"/>
    <w:rsid w:val="0063597F"/>
    <w:rsid w:val="00645C20"/>
    <w:rsid w:val="006503BB"/>
    <w:rsid w:val="0065175F"/>
    <w:rsid w:val="00656E69"/>
    <w:rsid w:val="00667EA2"/>
    <w:rsid w:val="006901BE"/>
    <w:rsid w:val="0069400D"/>
    <w:rsid w:val="006C56F0"/>
    <w:rsid w:val="0072087C"/>
    <w:rsid w:val="0072282E"/>
    <w:rsid w:val="00742131"/>
    <w:rsid w:val="00764706"/>
    <w:rsid w:val="00782E2C"/>
    <w:rsid w:val="007A593B"/>
    <w:rsid w:val="007C3FA1"/>
    <w:rsid w:val="007D32F0"/>
    <w:rsid w:val="007E6716"/>
    <w:rsid w:val="00835CC2"/>
    <w:rsid w:val="00853A9A"/>
    <w:rsid w:val="00855E3A"/>
    <w:rsid w:val="00884535"/>
    <w:rsid w:val="008A6AFF"/>
    <w:rsid w:val="008E6B23"/>
    <w:rsid w:val="008F2612"/>
    <w:rsid w:val="00913E72"/>
    <w:rsid w:val="00922CB9"/>
    <w:rsid w:val="009411AA"/>
    <w:rsid w:val="0099379F"/>
    <w:rsid w:val="009D6B17"/>
    <w:rsid w:val="009E5CD9"/>
    <w:rsid w:val="009F7AEF"/>
    <w:rsid w:val="00A25CA8"/>
    <w:rsid w:val="00A26421"/>
    <w:rsid w:val="00A31569"/>
    <w:rsid w:val="00A4293B"/>
    <w:rsid w:val="00A67D50"/>
    <w:rsid w:val="00A8691A"/>
    <w:rsid w:val="00AA78D4"/>
    <w:rsid w:val="00AB4147"/>
    <w:rsid w:val="00AC0391"/>
    <w:rsid w:val="00AC1946"/>
    <w:rsid w:val="00AC4EF9"/>
    <w:rsid w:val="00AE2EFA"/>
    <w:rsid w:val="00AE41E3"/>
    <w:rsid w:val="00B270EE"/>
    <w:rsid w:val="00B37D8F"/>
    <w:rsid w:val="00B40063"/>
    <w:rsid w:val="00B41F61"/>
    <w:rsid w:val="00B46B9E"/>
    <w:rsid w:val="00B70330"/>
    <w:rsid w:val="00BA14D3"/>
    <w:rsid w:val="00BA2447"/>
    <w:rsid w:val="00BA46E6"/>
    <w:rsid w:val="00BF7355"/>
    <w:rsid w:val="00C56C72"/>
    <w:rsid w:val="00C61F60"/>
    <w:rsid w:val="00C87A8E"/>
    <w:rsid w:val="00C95952"/>
    <w:rsid w:val="00CA6457"/>
    <w:rsid w:val="00CB0722"/>
    <w:rsid w:val="00CD5026"/>
    <w:rsid w:val="00CF0CC8"/>
    <w:rsid w:val="00D17AF7"/>
    <w:rsid w:val="00D17F2E"/>
    <w:rsid w:val="00D30354"/>
    <w:rsid w:val="00D35A5E"/>
    <w:rsid w:val="00D40826"/>
    <w:rsid w:val="00D43ABB"/>
    <w:rsid w:val="00D736A7"/>
    <w:rsid w:val="00D8155B"/>
    <w:rsid w:val="00DD1016"/>
    <w:rsid w:val="00DD56D4"/>
    <w:rsid w:val="00DE2B9C"/>
    <w:rsid w:val="00DE6B68"/>
    <w:rsid w:val="00DF42A0"/>
    <w:rsid w:val="00E3237F"/>
    <w:rsid w:val="00E32AE0"/>
    <w:rsid w:val="00E42000"/>
    <w:rsid w:val="00E46FE7"/>
    <w:rsid w:val="00E5431C"/>
    <w:rsid w:val="00E564B5"/>
    <w:rsid w:val="00E73A0A"/>
    <w:rsid w:val="00E769FE"/>
    <w:rsid w:val="00E93547"/>
    <w:rsid w:val="00EA2CBE"/>
    <w:rsid w:val="00EA647E"/>
    <w:rsid w:val="00F23029"/>
    <w:rsid w:val="00F264A4"/>
    <w:rsid w:val="00F32FEE"/>
    <w:rsid w:val="00F33C8F"/>
    <w:rsid w:val="00F655A4"/>
    <w:rsid w:val="00F66577"/>
    <w:rsid w:val="00FB10BB"/>
    <w:rsid w:val="00FC3B55"/>
    <w:rsid w:val="00FE11B9"/>
    <w:rsid w:val="02E37DE9"/>
    <w:rsid w:val="0D5D5A45"/>
    <w:rsid w:val="17E421EC"/>
    <w:rsid w:val="2DC8129F"/>
    <w:rsid w:val="347362C2"/>
    <w:rsid w:val="36E72BD8"/>
    <w:rsid w:val="44DE4D3E"/>
    <w:rsid w:val="5F217C23"/>
    <w:rsid w:val="77093A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E46450-33E6-4AB3-BDD0-DC144D391A5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633</Words>
  <Characters>3609</Characters>
  <Lines>30</Lines>
  <Paragraphs>8</Paragraphs>
  <TotalTime>197</TotalTime>
  <ScaleCrop>false</ScaleCrop>
  <LinksUpToDate>false</LinksUpToDate>
  <CharactersWithSpaces>4234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2020-01-10T03:06:00Z</dcterms:created>
  <dc:creator>赵 恺（预算处）</dc:creator>
  <cp:lastModifiedBy>Administrator</cp:lastModifiedBy>
  <cp:lastPrinted>2018-12-31T10:56:00Z</cp:lastPrinted>
  <dcterms:modified xsi:type="dcterms:W3CDTF">2020-09-11T11:22:29Z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