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公共资源交易中心</w:t>
      </w:r>
      <w:r>
        <w:rPr>
          <w:rFonts w:hint="eastAsia" w:ascii="方正小标宋简体" w:eastAsia="方正小标宋简体"/>
          <w:sz w:val="44"/>
          <w:szCs w:val="44"/>
        </w:rPr>
        <w:t>工作启动资金项目支出绩效评价报告</w:t>
      </w: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  <w:t>公共资源交易中心工作启动资金</w:t>
      </w:r>
    </w:p>
    <w:p>
      <w:pPr>
        <w:autoSpaceDE w:val="0"/>
        <w:autoSpaceDN w:val="0"/>
        <w:spacing w:line="540" w:lineRule="exact"/>
        <w:ind w:firstLine="712" w:firstLineChars="200"/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  <w:t>喀什地区公共资源交易中心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  <w:t>喀什地区公共资源交易中心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pStyle w:val="2"/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基本情况</w:t>
      </w:r>
    </w:p>
    <w:p>
      <w:pPr>
        <w:pStyle w:val="24"/>
        <w:ind w:left="0" w:firstLine="643" w:firstLineChars="200"/>
        <w:rPr>
          <w:lang w:bidi="ar"/>
        </w:rPr>
      </w:pPr>
      <w:bookmarkStart w:id="0" w:name="_Toc26401549"/>
      <w:r>
        <w:rPr>
          <w:rFonts w:hint="eastAsia"/>
          <w:lang w:bidi="ar"/>
        </w:rPr>
        <w:t>项目概况</w:t>
      </w:r>
      <w:bookmarkEnd w:id="0"/>
    </w:p>
    <w:p>
      <w:pPr>
        <w:pStyle w:val="18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项目背景及立项依据</w:t>
      </w:r>
    </w:p>
    <w:p>
      <w:pPr>
        <w:spacing w:line="540" w:lineRule="exact"/>
        <w:ind w:firstLine="579" w:firstLineChars="181"/>
        <w:rPr>
          <w:rFonts w:hint="default" w:ascii="仿宋_GB2312" w:hAnsi="仿宋" w:eastAsia="仿宋_GB2312" w:cs="Times New Roman"/>
          <w:bCs/>
          <w:color w:val="000000" w:themeColor="text1"/>
          <w:kern w:val="2"/>
          <w:sz w:val="32"/>
          <w:szCs w:val="32"/>
          <w:highlight w:val="none"/>
          <w:u w:val="none"/>
          <w:shd w:val="clear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Times New Roman"/>
          <w:bCs/>
          <w:color w:val="000000" w:themeColor="text1"/>
          <w:kern w:val="2"/>
          <w:sz w:val="32"/>
          <w:szCs w:val="32"/>
          <w:highlight w:val="none"/>
          <w:u w:val="none"/>
          <w:shd w:val="clear"/>
          <w:lang w:val="en-US" w:eastAsia="zh-CN" w:bidi="ar-SA"/>
          <w14:textFill>
            <w14:solidFill>
              <w14:schemeClr w14:val="tx1"/>
            </w14:solidFill>
          </w14:textFill>
        </w:rPr>
        <w:t>根据《关于印发整合建立统一的公共资源交易平台工作 方案的通知》（国办发〔2015〕63号）、《自治区整合建立统 一规范的公共资源交易平台实施方案》（新政发〔2016〕54 号）精神和地委安排部署，成立喀什地区公共资源交易中心，为了确保公共资源交易中心的正常的正常运转，提高公共资源交易中心的服务水平，提升业务能力，特申请喀什地区公共资源交易中心启动工作经费。</w:t>
      </w:r>
    </w:p>
    <w:p>
      <w:pPr>
        <w:pStyle w:val="18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项目主要内容及实施情况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项目实施前进行充分调研，制定实施方案，项目实施过程中严格按照实施方案进行实施并及时进行监督管理，项目实施后进行及时验收及后期维护。</w:t>
      </w:r>
    </w:p>
    <w:p>
      <w:pPr>
        <w:tabs>
          <w:tab w:val="left" w:pos="7770"/>
        </w:tabs>
        <w:spacing w:before="156" w:beforeLines="50" w:line="600" w:lineRule="exact"/>
        <w:ind w:firstLine="645"/>
        <w:rPr>
          <w:rFonts w:hint="default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3.项目负责人为李素梅，主要职责为财务主管。</w:t>
      </w:r>
    </w:p>
    <w:p>
      <w:pPr>
        <w:pStyle w:val="24"/>
        <w:ind w:left="0" w:firstLine="643" w:firstLineChars="200"/>
        <w:rPr>
          <w:lang w:bidi="ar"/>
        </w:rPr>
      </w:pPr>
      <w:bookmarkStart w:id="1" w:name="_Toc26401550"/>
      <w:r>
        <w:rPr>
          <w:rFonts w:hint="eastAsia"/>
          <w:lang w:bidi="ar"/>
        </w:rPr>
        <w:t>资金</w:t>
      </w:r>
      <w:bookmarkEnd w:id="1"/>
      <w:r>
        <w:rPr>
          <w:rFonts w:hint="eastAsia"/>
          <w:lang w:bidi="ar"/>
        </w:rPr>
        <w:t>投入和使用情况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本项目总投资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200,000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元，资金来源为本级部门预算资金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200,000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元。</w:t>
      </w:r>
    </w:p>
    <w:p>
      <w:pPr>
        <w:spacing w:before="9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公共资源交易中心启动工作资金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项资金的使用范围：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此项目分别用于聘用人员工资、信息化服务、电费、基本公用。</w:t>
      </w:r>
    </w:p>
    <w:p>
      <w:pPr>
        <w:pStyle w:val="24"/>
        <w:ind w:left="0" w:firstLine="643" w:firstLineChars="200"/>
        <w:rPr>
          <w:lang w:bidi="ar"/>
        </w:rPr>
      </w:pPr>
      <w:bookmarkStart w:id="2" w:name="_Toc26401551"/>
      <w:r>
        <w:rPr>
          <w:rFonts w:hint="eastAsia"/>
          <w:lang w:bidi="ar"/>
        </w:rPr>
        <w:t>绩效目标</w:t>
      </w:r>
      <w:bookmarkEnd w:id="2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总体目标为：确保公共资源交易中心的正常的正常运转，提高公共资源交易中心的服务水平，提升业务能力</w:t>
      </w:r>
    </w:p>
    <w:p>
      <w:pPr>
        <w:spacing w:before="156" w:beforeLines="50" w:line="600" w:lineRule="exact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宋体"/>
          <w:sz w:val="32"/>
          <w:szCs w:val="32"/>
          <w:lang w:bidi="ar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项目共设置</w:t>
      </w:r>
      <w:r>
        <w:rPr>
          <w:rFonts w:ascii="仿宋_GB2312" w:hAnsi="仿宋" w:eastAsia="仿宋_GB2312" w:cs="宋体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级指标3个，二级指标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7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个，三级指标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14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个，绩效目标申报表详见附件1。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bookmarkStart w:id="3" w:name="_Toc26401552"/>
      <w:r>
        <w:rPr>
          <w:rFonts w:hint="eastAsia"/>
          <w:lang w:bidi="ar"/>
        </w:rPr>
        <w:t>评价工作简述</w:t>
      </w:r>
      <w:bookmarkEnd w:id="3"/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4" w:name="_Toc26401553"/>
      <w:r>
        <w:rPr>
          <w:rFonts w:hint="eastAsia"/>
          <w:lang w:bidi="ar"/>
        </w:rPr>
        <w:t>评价目的</w:t>
      </w:r>
      <w:bookmarkEnd w:id="4"/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《自治区财政支出绩效评价管理暂行办法》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（新财预〔2018〕189号）等相关政策文件与规定，旨在评价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公共资源交易中心工作启动资金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项目实施前期、过程及效果，评价财政预算资金使用的效率及效益。根据实际情况详细阐述开展本项目绩效评价的目的和达到的效果。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本次绩效评价的对象及范围</w:t>
      </w:r>
      <w:bookmarkStart w:id="5" w:name="_Toc2640155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ascii="仿宋_GB2312" w:hAnsi="仿宋" w:eastAsia="仿宋_GB2312" w:cs="宋体"/>
          <w:sz w:val="32"/>
          <w:szCs w:val="32"/>
          <w:lang w:bidi="ar"/>
        </w:rPr>
        <w:t>本次评价对象为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公共资源交易中心工作启动资金</w:t>
      </w:r>
      <w:r>
        <w:rPr>
          <w:rFonts w:ascii="仿宋_GB2312" w:hAnsi="仿宋" w:eastAsia="仿宋_GB2312" w:cs="宋体"/>
          <w:sz w:val="32"/>
          <w:szCs w:val="32"/>
          <w:lang w:bidi="ar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绩效评价原则</w:t>
      </w:r>
      <w:bookmarkEnd w:id="5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统筹兼顾。单位自评、部门评价和财政评价应职责明确，各有侧重，相互衔接。单位</w:t>
      </w:r>
      <w:bookmarkStart w:id="8" w:name="_GoBack"/>
      <w:bookmarkEnd w:id="8"/>
      <w:r>
        <w:rPr>
          <w:rFonts w:hint="eastAsia" w:hAnsi="仿宋" w:cs="宋体"/>
          <w:b w:val="0"/>
          <w:lang w:bidi="ar"/>
        </w:rPr>
        <w:t>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公开透明。绩效评价结果应依法依规公开，并自觉接受社会监督。</w:t>
      </w:r>
      <w:r>
        <w:rPr>
          <w:rFonts w:hint="eastAsia"/>
          <w:b w:val="0"/>
          <w:lang w:bidi="ar"/>
        </w:rPr>
        <w:t>绩效评价体系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  <w:color w:val="auto"/>
          <w:lang w:bidi="ar"/>
        </w:rPr>
      </w:pPr>
      <w:r>
        <w:rPr>
          <w:rFonts w:hint="eastAsia"/>
          <w:b w:val="0"/>
          <w:lang w:bidi="ar"/>
        </w:rPr>
        <w:t>本项目绩效评价体系为根据财预</w:t>
      </w:r>
      <w:r>
        <w:rPr>
          <w:rFonts w:hint="eastAsia" w:ascii="仿宋" w:hAnsi="仿宋" w:eastAsia="仿宋"/>
          <w:b w:val="0"/>
          <w:lang w:bidi="ar"/>
        </w:rPr>
        <w:t>﹝</w:t>
      </w:r>
      <w:r>
        <w:rPr>
          <w:rFonts w:hint="eastAsia"/>
          <w:b w:val="0"/>
          <w:lang w:bidi="ar"/>
        </w:rPr>
        <w:t>2</w:t>
      </w:r>
      <w:r>
        <w:rPr>
          <w:b w:val="0"/>
          <w:lang w:bidi="ar"/>
        </w:rPr>
        <w:t>020</w:t>
      </w:r>
      <w:r>
        <w:rPr>
          <w:rFonts w:hint="eastAsia" w:ascii="仿宋" w:hAnsi="仿宋" w:eastAsia="仿宋"/>
          <w:b w:val="0"/>
          <w:lang w:bidi="ar"/>
        </w:rPr>
        <w:t>﹞</w:t>
      </w:r>
      <w:r>
        <w:rPr>
          <w:rFonts w:hint="eastAsia"/>
          <w:b w:val="0"/>
          <w:lang w:bidi="ar"/>
        </w:rPr>
        <w:t>1</w:t>
      </w:r>
      <w:r>
        <w:rPr>
          <w:b w:val="0"/>
          <w:lang w:bidi="ar"/>
        </w:rPr>
        <w:t>0</w:t>
      </w:r>
      <w:r>
        <w:rPr>
          <w:rFonts w:hint="eastAsia"/>
          <w:b w:val="0"/>
          <w:lang w:bidi="ar"/>
        </w:rPr>
        <w:t>号共性指标及个性化指标设置</w:t>
      </w:r>
      <w:r>
        <w:rPr>
          <w:rFonts w:hint="eastAsia"/>
          <w:b w:val="0"/>
          <w:color w:val="auto"/>
          <w:lang w:bidi="ar"/>
        </w:rPr>
        <w:t>，详见附件</w:t>
      </w:r>
      <w:r>
        <w:rPr>
          <w:rFonts w:hint="eastAsia"/>
          <w:b w:val="0"/>
          <w:color w:val="auto"/>
          <w:lang w:val="en-US" w:eastAsia="zh-CN" w:bidi="ar"/>
        </w:rPr>
        <w:t>4</w:t>
      </w:r>
      <w:r>
        <w:rPr>
          <w:rFonts w:hint="eastAsia"/>
          <w:b w:val="0"/>
          <w:color w:val="auto"/>
          <w:lang w:bidi="ar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6" w:name="_Toc26401555"/>
      <w:r>
        <w:rPr>
          <w:rFonts w:hint="eastAsia"/>
          <w:lang w:bidi="ar"/>
        </w:rPr>
        <w:t>绩效评价方法</w:t>
      </w:r>
      <w:bookmarkEnd w:id="6"/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本次绩效评价方法的选用坚持简便有效的原则采用成本效益分析法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 xml:space="preserve"> </w:t>
      </w:r>
      <w:r>
        <w:rPr>
          <w:rFonts w:hint="eastAsia" w:ascii="仿宋_GB2312" w:hAnsi="仿宋" w:eastAsia="仿宋_GB2312" w:cs="宋体"/>
          <w:b w:val="0"/>
          <w:bCs w:val="0"/>
          <w:kern w:val="2"/>
          <w:sz w:val="32"/>
          <w:szCs w:val="32"/>
          <w:lang w:val="en-US" w:eastAsia="zh-CN" w:bidi="ar"/>
        </w:rPr>
        <w:t xml:space="preserve">   项目评价标准采用计划标准</w:t>
      </w:r>
      <w:r>
        <w:rPr>
          <w:rFonts w:hint="eastAsia" w:hAnsi="仿宋" w:cs="宋体"/>
          <w:b w:val="0"/>
          <w:bCs w:val="0"/>
          <w:kern w:val="2"/>
          <w:sz w:val="32"/>
          <w:szCs w:val="32"/>
          <w:lang w:val="en-US" w:eastAsia="zh-CN" w:bidi="ar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本次评价成立了评价工作组，成员如下：</w:t>
      </w:r>
    </w:p>
    <w:tbl>
      <w:tblPr>
        <w:tblStyle w:val="16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闵文东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霍静怡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/>
                <w:b w:val="0"/>
                <w:bCs w:val="0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lang w:val="en-US" w:eastAsia="zh-CN" w:bidi="ar"/>
              </w:rPr>
              <w:t>李素梅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/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2"/>
        </w:numPr>
        <w:ind w:firstLineChars="0"/>
        <w:rPr>
          <w:color w:val="auto"/>
          <w:highlight w:val="none"/>
          <w:lang w:bidi="ar"/>
        </w:rPr>
      </w:pPr>
      <w:bookmarkStart w:id="7" w:name="_Toc26401558"/>
      <w:r>
        <w:rPr>
          <w:rFonts w:hint="eastAsia" w:ascii="黑体" w:hAnsi="黑体"/>
          <w:color w:val="auto"/>
          <w:highlight w:val="none"/>
        </w:rPr>
        <w:t>综合评价情况及评价结论</w:t>
      </w:r>
      <w:r>
        <w:rPr>
          <w:rFonts w:hint="eastAsia" w:ascii="仿宋_GB2312"/>
          <w:color w:val="auto"/>
          <w:highlight w:val="none"/>
        </w:rPr>
        <w:t>（附相关评分表）</w:t>
      </w:r>
    </w:p>
    <w:p>
      <w:pPr>
        <w:pStyle w:val="22"/>
        <w:ind w:firstLine="640"/>
        <w:rPr>
          <w:rFonts w:ascii="仿宋_GB2312" w:eastAsia="仿宋_GB2312" w:hAnsiTheme="majorHAnsi"/>
          <w:b w:val="0"/>
          <w:bCs w:val="0"/>
          <w:kern w:val="2"/>
          <w:highlight w:val="none"/>
          <w:lang w:bidi="ar"/>
        </w:rPr>
      </w:pP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经评价组通过实地调研、资料分析等方式，采用综合分析法、成本效益分析法对项目的决策、管理、绩效进行的综合评价分析，项目得分为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val="en-US" w:eastAsia="zh-CN" w:bidi="ar"/>
        </w:rPr>
        <w:t>100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分，评价结果为优，详见附件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val="en-US" w:eastAsia="zh-CN" w:bidi="ar"/>
        </w:rPr>
        <w:t>6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绩效评价指标分析</w:t>
      </w:r>
      <w:bookmarkEnd w:id="7"/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项目的决策情况</w:t>
      </w:r>
    </w:p>
    <w:p>
      <w:pPr>
        <w:pStyle w:val="27"/>
        <w:ind w:firstLine="640"/>
        <w:rPr>
          <w:rFonts w:ascii="仿宋_GB2312" w:hAnsi="仿宋" w:cs="宋体"/>
          <w:sz w:val="32"/>
          <w:szCs w:val="32"/>
          <w:lang w:bidi="ar"/>
        </w:rPr>
      </w:pPr>
      <w:r>
        <w:rPr>
          <w:rFonts w:hint="eastAsia" w:ascii="仿宋_GB2312" w:hAnsi="仿宋" w:cs="宋体"/>
          <w:sz w:val="32"/>
          <w:szCs w:val="32"/>
          <w:lang w:bidi="ar"/>
        </w:rPr>
        <w:t>本项目的立项符合相关法规政策及部门职责，依据充分；项目按照规定的程序申请设立；审批文件、材料符合相关要求；项目前期已经过必要的可行性研究、专家论证、风险评估、绩效评估、集体决策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资金管理方面，项目资金到位足额及时，及时支付，资金使用符合国家法规和财务管理制度；资金拨付有完整的审批程序和手续，符合项目预算批复或合同规定的用途；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项目调整及支出调整手续完备，项目合同书、验收报告、技术鉴定等资料齐全并及时归档，项目实施的人员条件、场地设备、信息支撑等落实到位。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项目产出情况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项目产出数量为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聘用一般工作人员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，预期指标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2人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，实际完成值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2人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，指标完成率100%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；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聘用财务人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员，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预期指标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2人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，实际完成值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2人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，指标完成率100%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；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支付电费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，预期指标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50,000千瓦时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，实际完成值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50,000千瓦时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，指标完成率100%。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项目产出质量为资金使用合规率，预期指标100%，实际指标100%，指标完成率100%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项目产出时效资金支付及时率，预期指标100%，实际指标100%，指标完成率100%。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项目产出成本指标为预付电费，预期指标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万元，实际指标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万元，指标完成率100%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；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财务人员工资，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预期指标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0.4万元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，实际指标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0.4万元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，指标完成率100%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；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一般工作人员工资，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预期指标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0.35万元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，实际指标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0.35万元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，指标完成率100%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；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购买杂志，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预期指标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0.51万元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，实际指标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0.51万元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，指标完成率100%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；</w:t>
      </w:r>
    </w:p>
    <w:p>
      <w:pPr>
        <w:spacing w:line="500" w:lineRule="exact"/>
        <w:ind w:firstLine="645"/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信息化服务，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预期指标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5.84万元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，实际指标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5.84万元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，指标完成率100%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项目效益情况</w:t>
      </w:r>
    </w:p>
    <w:p>
      <w:pPr>
        <w:spacing w:before="156" w:beforeLines="50" w:line="600" w:lineRule="exact"/>
        <w:ind w:firstLine="660"/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项目实施产生的经济效益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无。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pacing w:val="-4"/>
          <w:sz w:val="30"/>
          <w:szCs w:val="30"/>
          <w:lang w:eastAsia="zh-CN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项目实施产生的社会效益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能够逐步提升公共资源交易服务水平，预期指标持续提升，实际指标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100%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，指标完成率100%</w:t>
      </w:r>
      <w:r>
        <w:rPr>
          <w:rFonts w:hint="eastAsia" w:ascii="仿宋" w:hAnsi="仿宋" w:eastAsia="仿宋" w:cs="仿宋"/>
          <w:spacing w:val="-4"/>
          <w:sz w:val="30"/>
          <w:szCs w:val="30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项目实施产生的生态效益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无。 </w:t>
      </w:r>
    </w:p>
    <w:p>
      <w:pPr>
        <w:spacing w:line="360" w:lineRule="auto"/>
        <w:ind w:firstLine="640" w:firstLineChars="200"/>
        <w:rPr>
          <w:rFonts w:ascii="仿宋_GB2312" w:hAnsi="仿宋" w:eastAsia="仿宋_GB2312" w:cs="宋体"/>
          <w:bCs/>
          <w:color w:val="auto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项目的可持续效益效益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能够逐步提升业务能力，预期指标</w:t>
      </w:r>
      <w:r>
        <w:rPr>
          <w:rFonts w:hint="eastAsia" w:ascii="仿宋" w:hAnsi="仿宋" w:eastAsia="仿宋" w:cs="仿宋"/>
          <w:spacing w:val="-4"/>
          <w:sz w:val="30"/>
          <w:szCs w:val="30"/>
          <w:lang w:eastAsia="zh-CN"/>
        </w:rPr>
        <w:t>能够逐</w:t>
      </w:r>
      <w:r>
        <w:rPr>
          <w:rFonts w:hint="eastAsia" w:ascii="仿宋" w:hAnsi="仿宋" w:eastAsia="仿宋" w:cs="仿宋"/>
          <w:color w:val="auto"/>
          <w:spacing w:val="-4"/>
          <w:sz w:val="30"/>
          <w:szCs w:val="30"/>
          <w:lang w:eastAsia="zh-CN"/>
        </w:rPr>
        <w:t>步提升业务能力</w:t>
      </w:r>
      <w:r>
        <w:rPr>
          <w:rFonts w:hint="eastAsia" w:ascii="仿宋" w:hAnsi="仿宋" w:eastAsia="仿宋" w:cs="仿宋"/>
          <w:color w:val="auto"/>
          <w:spacing w:val="-4"/>
          <w:sz w:val="30"/>
          <w:szCs w:val="30"/>
        </w:rPr>
        <w:t>，实际指标</w:t>
      </w:r>
      <w:r>
        <w:rPr>
          <w:rFonts w:hint="eastAsia" w:ascii="仿宋" w:hAnsi="仿宋" w:eastAsia="仿宋" w:cs="仿宋"/>
          <w:color w:val="auto"/>
          <w:spacing w:val="-4"/>
          <w:sz w:val="30"/>
          <w:szCs w:val="30"/>
          <w:lang w:val="en-US" w:eastAsia="zh-CN"/>
        </w:rPr>
        <w:t>100%</w:t>
      </w:r>
      <w:r>
        <w:rPr>
          <w:rFonts w:hint="eastAsia" w:ascii="仿宋" w:hAnsi="仿宋" w:eastAsia="仿宋" w:cs="仿宋"/>
          <w:color w:val="auto"/>
          <w:spacing w:val="-4"/>
          <w:sz w:val="30"/>
          <w:szCs w:val="30"/>
        </w:rPr>
        <w:t>，指标完成率100%。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pacing w:val="-4"/>
          <w:sz w:val="30"/>
          <w:szCs w:val="30"/>
        </w:rPr>
      </w:pPr>
      <w:r>
        <w:rPr>
          <w:rFonts w:hint="eastAsia" w:ascii="仿宋_GB2312" w:hAnsi="仿宋" w:eastAsia="仿宋_GB2312" w:cs="宋体"/>
          <w:bCs/>
          <w:color w:val="auto"/>
          <w:sz w:val="32"/>
          <w:szCs w:val="32"/>
          <w:lang w:bidi="ar"/>
        </w:rPr>
        <w:t>经问卷调查，</w:t>
      </w:r>
      <w:r>
        <w:rPr>
          <w:rFonts w:hint="eastAsia" w:ascii="仿宋" w:hAnsi="仿宋" w:eastAsia="仿宋" w:cs="仿宋"/>
          <w:color w:val="auto"/>
          <w:spacing w:val="-4"/>
          <w:sz w:val="30"/>
          <w:szCs w:val="30"/>
          <w:highlight w:val="none"/>
        </w:rPr>
        <w:t>服务对象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满意度，预期指标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%，实际指标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%，指标完成率100%、</w:t>
      </w:r>
      <w:r>
        <w:rPr>
          <w:rFonts w:hint="eastAsia" w:ascii="仿宋" w:hAnsi="仿宋" w:eastAsia="仿宋" w:cs="仿宋"/>
          <w:spacing w:val="-4"/>
          <w:sz w:val="30"/>
          <w:szCs w:val="30"/>
          <w:highlight w:val="none"/>
          <w:lang w:val="en-US" w:eastAsia="zh-CN"/>
        </w:rPr>
        <w:t>聘用人员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满意度，预期指标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%，实际指标</w:t>
      </w:r>
      <w:r>
        <w:rPr>
          <w:rFonts w:hint="eastAsia" w:ascii="仿宋" w:hAnsi="仿宋" w:eastAsia="仿宋" w:cs="仿宋"/>
          <w:spacing w:val="-4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%，指标完成率100%。</w:t>
      </w:r>
    </w:p>
    <w:p>
      <w:pPr>
        <w:pStyle w:val="22"/>
        <w:numPr>
          <w:ilvl w:val="0"/>
          <w:numId w:val="2"/>
        </w:numPr>
        <w:ind w:firstLineChars="0"/>
        <w:rPr>
          <w:rFonts w:hint="eastAsia" w:ascii="黑体" w:hAnsi="黑体"/>
        </w:rPr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18"/>
        <w:numPr>
          <w:numId w:val="0"/>
        </w:numPr>
        <w:spacing w:before="156" w:beforeLines="50" w:line="600" w:lineRule="exact"/>
        <w:ind w:leftChars="200"/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eastAsia="zh-CN" w:bidi="ar"/>
        </w:rPr>
        <w:t>（一）</w:t>
      </w: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主要经验及做法</w:t>
      </w:r>
    </w:p>
    <w:p>
      <w:pPr>
        <w:spacing w:line="360" w:lineRule="auto"/>
        <w:ind w:firstLine="584" w:firstLineChars="200"/>
        <w:rPr>
          <w:rFonts w:hint="eastAsia" w:ascii="仿宋" w:hAnsi="仿宋" w:eastAsia="仿宋" w:cs="仿宋"/>
          <w:color w:val="auto"/>
          <w:spacing w:val="-4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0"/>
          <w:szCs w:val="30"/>
          <w:lang w:eastAsia="zh-CN"/>
        </w:rPr>
        <w:t>本项目实施效果较好的原因主要是管理制度完善、责任落实到位，跟踪考核机制完善且运行有效，在项目实施过程中创新管理办法，采用成本效益分析方式使项目取得了</w:t>
      </w:r>
      <w:r>
        <w:rPr>
          <w:rFonts w:hint="eastAsia" w:ascii="仿宋" w:hAnsi="仿宋" w:eastAsia="仿宋" w:cs="仿宋"/>
          <w:color w:val="auto"/>
          <w:spacing w:val="-4"/>
          <w:sz w:val="30"/>
          <w:szCs w:val="30"/>
          <w:lang w:val="en-US" w:eastAsia="zh-CN"/>
        </w:rPr>
        <w:t>使用效益最大化</w:t>
      </w:r>
      <w:r>
        <w:rPr>
          <w:rFonts w:hint="eastAsia" w:ascii="仿宋" w:hAnsi="仿宋" w:eastAsia="仿宋" w:cs="仿宋"/>
          <w:color w:val="auto"/>
          <w:spacing w:val="-4"/>
          <w:sz w:val="30"/>
          <w:szCs w:val="30"/>
          <w:lang w:eastAsia="zh-CN"/>
        </w:rPr>
        <w:t>良好的效果。</w:t>
      </w:r>
    </w:p>
    <w:p>
      <w:pPr>
        <w:numPr>
          <w:ilvl w:val="0"/>
          <w:numId w:val="7"/>
        </w:numPr>
        <w:spacing w:line="360" w:lineRule="auto"/>
        <w:ind w:firstLine="643" w:firstLineChars="200"/>
        <w:rPr>
          <w:rFonts w:hint="eastAsia" w:ascii="仿宋_GB2312" w:hAnsi="仿宋" w:eastAsia="仿宋_GB2312" w:cs="宋体"/>
          <w:b/>
          <w:bCs/>
          <w:kern w:val="2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" w:eastAsia="仿宋_GB2312" w:cs="宋体"/>
          <w:b/>
          <w:bCs/>
          <w:kern w:val="2"/>
          <w:sz w:val="32"/>
          <w:szCs w:val="32"/>
          <w:highlight w:val="none"/>
          <w:lang w:val="en-US" w:eastAsia="zh-CN" w:bidi="ar"/>
        </w:rPr>
        <w:t>存在的问题及原因分析</w:t>
      </w:r>
    </w:p>
    <w:p>
      <w:pPr>
        <w:spacing w:line="360" w:lineRule="auto"/>
        <w:ind w:firstLine="584" w:firstLineChars="200"/>
        <w:rPr>
          <w:rFonts w:hint="eastAsia" w:ascii="仿宋" w:hAnsi="仿宋" w:eastAsia="仿宋" w:cs="仿宋"/>
          <w:color w:val="auto"/>
          <w:spacing w:val="-4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4"/>
          <w:sz w:val="30"/>
          <w:szCs w:val="30"/>
          <w:lang w:val="en-US" w:eastAsia="zh-CN"/>
        </w:rPr>
        <w:t>无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adjustRightInd w:val="0"/>
        <w:snapToGrid w:val="0"/>
        <w:spacing w:line="560" w:lineRule="exact"/>
        <w:ind w:left="420" w:leftChars="200"/>
        <w:rPr>
          <w:rFonts w:ascii="黑体" w:hAnsi="黑体"/>
          <w:b w:val="0"/>
        </w:rPr>
      </w:pPr>
      <w:r>
        <w:rPr>
          <w:rFonts w:ascii="黑体" w:hAnsi="黑体"/>
          <w:b w:val="0"/>
        </w:rPr>
        <w:t xml:space="preserve"> </w:t>
      </w:r>
      <w:r>
        <w:rPr>
          <w:rFonts w:ascii="仿宋_GB2312" w:hAnsi="仿宋" w:eastAsia="仿宋_GB2312" w:cs="宋体"/>
          <w:b w:val="0"/>
          <w:kern w:val="2"/>
          <w:lang w:bidi="ar"/>
        </w:rPr>
        <w:t xml:space="preserve">   </w:t>
      </w:r>
      <w:r>
        <w:rPr>
          <w:rFonts w:hint="eastAsia" w:ascii="仿宋" w:hAnsi="仿宋" w:eastAsia="仿宋"/>
          <w:bCs/>
          <w:spacing w:val="-4"/>
          <w:sz w:val="30"/>
          <w:szCs w:val="30"/>
        </w:rPr>
        <w:t>年初做好资金计划，按照项目进度及时拨付资金，使资金使用效益最大化，减少不必要的浪费，节约成本。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adjustRightInd w:val="0"/>
        <w:snapToGrid w:val="0"/>
        <w:spacing w:line="560" w:lineRule="exact"/>
        <w:ind w:left="420" w:leftChars="200" w:firstLine="292" w:firstLineChars="100"/>
        <w:rPr>
          <w:rFonts w:hint="eastAsia" w:ascii="仿宋" w:hAnsi="仿宋" w:eastAsia="仿宋"/>
          <w:bCs/>
          <w:spacing w:val="-4"/>
          <w:sz w:val="30"/>
          <w:szCs w:val="30"/>
        </w:rPr>
      </w:pPr>
      <w:r>
        <w:rPr>
          <w:rFonts w:hint="eastAsia" w:ascii="仿宋" w:hAnsi="仿宋" w:eastAsia="仿宋"/>
          <w:bCs/>
          <w:spacing w:val="-4"/>
          <w:sz w:val="30"/>
          <w:szCs w:val="30"/>
          <w:lang w:val="en-US" w:eastAsia="zh-CN"/>
        </w:rPr>
        <w:t>无。</w:t>
      </w:r>
    </w:p>
    <w:p>
      <w:pPr>
        <w:autoSpaceDE w:val="0"/>
        <w:autoSpaceDN w:val="0"/>
        <w:spacing w:line="54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</w:p>
    <w:p>
      <w:pPr>
        <w:autoSpaceDE w:val="0"/>
        <w:autoSpaceDN w:val="0"/>
        <w:spacing w:line="54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</w:p>
    <w:p>
      <w:pPr>
        <w:autoSpaceDE w:val="0"/>
        <w:autoSpaceDN w:val="0"/>
        <w:spacing w:line="54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</w:p>
    <w:p>
      <w:pPr>
        <w:autoSpaceDE w:val="0"/>
        <w:autoSpaceDN w:val="0"/>
        <w:spacing w:line="54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</w:p>
    <w:p>
      <w:pPr>
        <w:autoSpaceDE w:val="0"/>
        <w:autoSpaceDN w:val="0"/>
        <w:spacing w:line="54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附件1：喀什地区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公共资源交易中心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单位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公共资源交易中心工作启动资金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项目支出绩效目标申报表</w:t>
      </w:r>
    </w:p>
    <w:p>
      <w:pPr>
        <w:autoSpaceDE w:val="0"/>
        <w:autoSpaceDN w:val="0"/>
        <w:spacing w:line="54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公共资源交易中心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单位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公共资源交易中心工作启动资金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监控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表</w:t>
      </w:r>
    </w:p>
    <w:p>
      <w:pPr>
        <w:autoSpaceDE w:val="0"/>
        <w:autoSpaceDN w:val="0"/>
        <w:spacing w:line="54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附件3：喀什地区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公共资源交易中心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单位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公共资源交易中心工作启动资金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项目支出绩效自评表</w:t>
      </w:r>
    </w:p>
    <w:p>
      <w:pPr>
        <w:autoSpaceDE w:val="0"/>
        <w:autoSpaceDN w:val="0"/>
        <w:spacing w:line="54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公共资源交易中心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部门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公共资源交易中心工作启动资金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项目支出绩效评价指标体系</w:t>
      </w:r>
    </w:p>
    <w:p>
      <w:pPr>
        <w:autoSpaceDE w:val="0"/>
        <w:autoSpaceDN w:val="0"/>
        <w:spacing w:line="54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：绩效评价依据</w:t>
      </w:r>
    </w:p>
    <w:p>
      <w:pPr>
        <w:autoSpaceDE w:val="0"/>
        <w:autoSpaceDN w:val="0"/>
        <w:spacing w:line="54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6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公共资源交易中心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部门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公共资源交易中心工作启动资金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项目支出绩效评价评分表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41401D"/>
    <w:multiLevelType w:val="singleLevel"/>
    <w:tmpl w:val="A541401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2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5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1E1C39DF"/>
    <w:rsid w:val="217F35A7"/>
    <w:rsid w:val="24E73B1F"/>
    <w:rsid w:val="26F03C06"/>
    <w:rsid w:val="2A547683"/>
    <w:rsid w:val="396D71A1"/>
    <w:rsid w:val="3F9E7779"/>
    <w:rsid w:val="480C57ED"/>
    <w:rsid w:val="4C1B1D75"/>
    <w:rsid w:val="4DBF0A95"/>
    <w:rsid w:val="57964064"/>
    <w:rsid w:val="5F862C9F"/>
    <w:rsid w:val="63E057CB"/>
    <w:rsid w:val="667765BF"/>
    <w:rsid w:val="7775238E"/>
    <w:rsid w:val="77EE7CDF"/>
    <w:rsid w:val="7A86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4">
    <w:name w:val="heading 2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">
    <w:name w:val="heading 3"/>
    <w:basedOn w:val="1"/>
    <w:next w:val="1"/>
    <w:link w:val="3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rPr>
      <w:rFonts w:eastAsia="仿宋_GB2312"/>
      <w:sz w:val="28"/>
    </w:r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  <w:rPr>
      <w:rFonts w:eastAsia="仿宋_GB2312"/>
      <w:sz w:val="28"/>
    </w:rPr>
  </w:style>
  <w:style w:type="paragraph" w:styleId="10">
    <w:name w:val="toc 2"/>
    <w:basedOn w:val="1"/>
    <w:next w:val="1"/>
    <w:unhideWhenUsed/>
    <w:qFormat/>
    <w:uiPriority w:val="39"/>
    <w:rPr>
      <w:rFonts w:eastAsia="仿宋_GB2312"/>
      <w:sz w:val="2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3">
    <w:name w:val="Strong"/>
    <w:basedOn w:val="12"/>
    <w:qFormat/>
    <w:uiPriority w:val="0"/>
    <w:rPr>
      <w:b/>
      <w:bCs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6">
    <w:name w:val="Table Grid"/>
    <w:basedOn w:val="1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标题 1 字符"/>
    <w:basedOn w:val="12"/>
    <w:link w:val="3"/>
    <w:qFormat/>
    <w:uiPriority w:val="9"/>
    <w:rPr>
      <w:rFonts w:ascii="Times New Roman" w:hAnsi="Times New Roman" w:eastAsia="黑体" w:cs="Arial"/>
      <w:b/>
      <w:bCs/>
      <w:kern w:val="44"/>
      <w:sz w:val="28"/>
      <w:szCs w:val="4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20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21">
    <w:name w:val="批注框文本 字符"/>
    <w:basedOn w:val="12"/>
    <w:link w:val="6"/>
    <w:semiHidden/>
    <w:qFormat/>
    <w:uiPriority w:val="99"/>
    <w:rPr>
      <w:sz w:val="18"/>
      <w:szCs w:val="18"/>
    </w:rPr>
  </w:style>
  <w:style w:type="paragraph" w:customStyle="1" w:styleId="22">
    <w:name w:val="标题1"/>
    <w:basedOn w:val="3"/>
    <w:qFormat/>
    <w:uiPriority w:val="0"/>
    <w:pPr>
      <w:spacing w:before="120" w:after="120" w:line="500" w:lineRule="exact"/>
      <w:ind w:firstLine="200" w:firstLineChars="200"/>
    </w:pPr>
    <w:rPr>
      <w:rFonts w:cs="Times New Roman"/>
      <w:sz w:val="32"/>
      <w:szCs w:val="32"/>
    </w:rPr>
  </w:style>
  <w:style w:type="character" w:customStyle="1" w:styleId="23">
    <w:name w:val="标题 2 字符"/>
    <w:basedOn w:val="12"/>
    <w:link w:val="4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4">
    <w:name w:val="标题2"/>
    <w:basedOn w:val="4"/>
    <w:qFormat/>
    <w:uiPriority w:val="0"/>
    <w:pPr>
      <w:numPr>
        <w:ilvl w:val="0"/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25">
    <w:name w:val="TOC 标题1"/>
    <w:basedOn w:val="3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6">
    <w:name w:val="闻政正文 Char"/>
    <w:link w:val="27"/>
    <w:qFormat/>
    <w:uiPriority w:val="0"/>
    <w:rPr>
      <w:rFonts w:ascii="Times New Roman" w:hAnsi="Times New Roman" w:eastAsia="仿宋_GB2312" w:cs="Times New Roman"/>
      <w:sz w:val="28"/>
      <w:szCs w:val="28"/>
    </w:rPr>
  </w:style>
  <w:style w:type="paragraph" w:customStyle="1" w:styleId="27">
    <w:name w:val="闻政正文"/>
    <w:basedOn w:val="1"/>
    <w:link w:val="26"/>
    <w:qFormat/>
    <w:uiPriority w:val="0"/>
    <w:pPr>
      <w:spacing w:line="500" w:lineRule="exact"/>
      <w:ind w:firstLine="560" w:firstLineChars="200"/>
    </w:pPr>
    <w:rPr>
      <w:rFonts w:ascii="Times New Roman" w:hAnsi="Times New Roman" w:eastAsia="仿宋_GB2312" w:cs="Times New Roman"/>
      <w:sz w:val="28"/>
      <w:szCs w:val="28"/>
    </w:rPr>
  </w:style>
  <w:style w:type="character" w:customStyle="1" w:styleId="28">
    <w:name w:val="闻政表 Char"/>
    <w:link w:val="29"/>
    <w:qFormat/>
    <w:uiPriority w:val="0"/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29">
    <w:name w:val="闻政表"/>
    <w:basedOn w:val="1"/>
    <w:link w:val="28"/>
    <w:qFormat/>
    <w:uiPriority w:val="0"/>
    <w:pPr>
      <w:spacing w:before="60" w:after="60"/>
      <w:jc w:val="center"/>
    </w:pPr>
    <w:rPr>
      <w:rFonts w:ascii="Times New Roman" w:hAnsi="Times New Roman" w:eastAsia="仿宋_GB2312" w:cs="Times New Roman"/>
      <w:b/>
      <w:sz w:val="24"/>
      <w:szCs w:val="28"/>
    </w:rPr>
  </w:style>
  <w:style w:type="paragraph" w:customStyle="1" w:styleId="30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2"/>
    </w:rPr>
  </w:style>
  <w:style w:type="character" w:customStyle="1" w:styleId="31">
    <w:name w:val="闻政标题3 Char"/>
    <w:link w:val="32"/>
    <w:qFormat/>
    <w:uiPriority w:val="0"/>
    <w:rPr>
      <w:rFonts w:ascii="黑体" w:hAnsi="黑体" w:eastAsia="黑体" w:cs="Times New Roman"/>
      <w:bCs/>
      <w:sz w:val="32"/>
      <w:szCs w:val="32"/>
    </w:rPr>
  </w:style>
  <w:style w:type="paragraph" w:customStyle="1" w:styleId="32">
    <w:name w:val="闻政标题3"/>
    <w:basedOn w:val="2"/>
    <w:link w:val="31"/>
    <w:qFormat/>
    <w:uiPriority w:val="99"/>
    <w:pPr>
      <w:spacing w:before="120" w:after="60" w:line="500" w:lineRule="exact"/>
      <w:jc w:val="left"/>
      <w:outlineLvl w:val="0"/>
    </w:pPr>
    <w:rPr>
      <w:rFonts w:ascii="黑体" w:hAnsi="黑体" w:eastAsia="黑体" w:cs="Times New Roman"/>
      <w:b w:val="0"/>
    </w:rPr>
  </w:style>
  <w:style w:type="character" w:customStyle="1" w:styleId="33">
    <w:name w:val="标题 3 字符"/>
    <w:basedOn w:val="12"/>
    <w:link w:val="2"/>
    <w:semiHidden/>
    <w:qFormat/>
    <w:uiPriority w:val="9"/>
    <w:rPr>
      <w:b/>
      <w:bCs/>
      <w:sz w:val="32"/>
      <w:szCs w:val="32"/>
    </w:rPr>
  </w:style>
  <w:style w:type="paragraph" w:customStyle="1" w:styleId="34">
    <w:name w:val="Body text|1"/>
    <w:basedOn w:val="1"/>
    <w:link w:val="35"/>
    <w:qFormat/>
    <w:uiPriority w:val="0"/>
    <w:pPr>
      <w:spacing w:after="40" w:line="334" w:lineRule="auto"/>
    </w:pPr>
    <w:rPr>
      <w:rFonts w:ascii="MingLiU" w:hAnsi="MingLiU" w:eastAsia="MingLiU" w:cs="MingLiU"/>
      <w:sz w:val="20"/>
      <w:szCs w:val="20"/>
      <w:lang w:val="zh-TW" w:eastAsia="zh-TW" w:bidi="zh-TW"/>
    </w:rPr>
  </w:style>
  <w:style w:type="character" w:customStyle="1" w:styleId="35">
    <w:name w:val="Body text|1_"/>
    <w:basedOn w:val="12"/>
    <w:link w:val="34"/>
    <w:unhideWhenUsed/>
    <w:qFormat/>
    <w:uiPriority w:val="0"/>
    <w:rPr>
      <w:rFonts w:ascii="MingLiU" w:hAnsi="MingLiU" w:eastAsia="MingLiU" w:cs="MingLiU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12F1EB-F90A-43BA-ADA9-C320444784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898</Words>
  <Characters>5120</Characters>
  <Lines>42</Lines>
  <Paragraphs>12</Paragraphs>
  <TotalTime>6</TotalTime>
  <ScaleCrop>false</ScaleCrop>
  <LinksUpToDate>false</LinksUpToDate>
  <CharactersWithSpaces>6006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2019-11-22T05:12:00Z</dcterms:created>
  <dc:creator>ThinkPad</dc:creator>
  <cp:lastModifiedBy>ASUS</cp:lastModifiedBy>
  <dcterms:modified xsi:type="dcterms:W3CDTF">2020-04-24T10:43:42Z</dcterms:modified>
  <dc:title>新疆普天鹏华商务信息咨询有限公司</dc:title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