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12B6D321" w14:textId="0D5360EF"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新疆喀什地区政务服务和公共资源管理局2019年度部门决算</w:t>
      </w:r>
    </w:p>
    <w:p w14:paraId="0ACE5469" w14:textId="77777777" w:rsidR="008853A8" w:rsidRDefault="008853A8">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EA656B">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EA656B">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EA656B">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EA656B">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EA656B">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lastRenderedPageBreak/>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地区政务服务和公共资源管理局贯彻落实党中央、自治区党委关于政务服务和公共资源管理工作的方针政策和决策部署以及地委工作要求，履行职责过程中坚持和加强党对政务服务和公共资源管理工作的集中统一领导。1、贯彻执行国家和自治区有关行政审批、政务服务及公共资源交易的法律、法规、规章和方针政策。2、负责组织拟订推进政府职能转变和“放管服”改革方案并组织实施。3、负责对进驻地区政务服务平台的行政审批项目及公共服务等事项的组织协调和监督管理。4、负责牵头整合建立统一规范的政务服务和公共资源交易平台及其电子化统筹建设工作。5、负责对公共资源交易过程进行综合服务监督管理；统筹管理公共资源交易工作，规范、管理监督公共资源交易全过程；协调、督促财政、住建、自然资源、国有资产监督行业监管部门对公共资源交易过程中出现的各种争议、纠纷、举报、投诉和为贵违法行为等相关问题的处理。6、负责协调对评标专家库进行管理完善。7、负责对地区政务服务和公共资源管理工作进行业务指导。8、负责行政审批、政务服务、公共资源管理相关配套改革事项和措施的落实。9、完成地委、行署交办的其他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新疆喀什地区政务服务和公共资源管理局2019年度，实有人数6人，其中：在职人员5人，离休人员0人，退休人员1人。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从部门决算单位构成看，新疆喀什地区政务服务和公共资源管理局部门决算包括：新疆喀什地区政务服务和公共资源管理局决算。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143.79万元，与上年相比，增加143.79万元，增长100%，主要原因是：本单位系2019年2月涉改新成立的单位。本年支出132.94万元，与上年相比，增加132.94万元，增长100%，主要原因是：本单位系2019年2月涉改新成立的单位。</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2019年度本年收入143.79万元，其中：财政拨款收入123.79万元，占86.09%；上级补助收入0万元，占0%；事业收入0万元，占0%；经营收入0万元，占0%；附属单位上缴收入0万元，占0%；其他收入20万元，占13.91%。</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2019年度本年支出132.94万元，其中：基本支出62.45万元，占46.98%；项目支出70.49万元，占53.02%；上缴上级支出0万元，占0%；经营支出0万元，占0%；对附属单位补助支出0万元，占0%。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123.79万元，与上年相比，增加123.79万元，增长100%，主要原因是：本单位系2019年2月涉改新成立的单位。财政拨款支出123.79万元，与上年相比，增加123.79万元，增长100%，主要原因是：本单位系2019年2月涉改新成立的单位。</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68.95万元，决算数123.79万元，预决算差异率79.54%，主要原因是：年中追加3个项目。财政拨款支出年初预算数68.95万元，决算数123.79万元，预决算差异率79.54%，主要原因是：年中追加3个项目。</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2019年度一般公共预算财政拨款支出123.79万元。按功能分类科目项级科目公开，其中：</w:t>
      </w:r>
    </w:p>
    <w:p>
      <w:pPr>
        <w:ind w:firstLine="480"/>
        <w:jc w:val="both"/>
      </w:pPr>
      <w:r>
        <w:rPr>
          <w:rFonts w:ascii="仿宋_GB2312" w:hAnsi="仿宋_GB2312" w:cs="仿宋_GB2312" w:eastAsia="仿宋_GB2312"/>
          <w:b w:val="false"/>
          <w:sz w:val="32"/>
        </w:rPr>
        <w:t xml:space="preserve">   2010301行政运行支出51.14万元；</w:t>
      </w:r>
    </w:p>
    <w:p>
      <w:pPr>
        <w:ind w:firstLine="480"/>
        <w:jc w:val="both"/>
      </w:pPr>
      <w:r>
        <w:rPr>
          <w:rFonts w:ascii="仿宋_GB2312" w:hAnsi="仿宋_GB2312" w:cs="仿宋_GB2312" w:eastAsia="仿宋_GB2312"/>
          <w:b w:val="false"/>
          <w:sz w:val="32"/>
        </w:rPr>
        <w:t xml:space="preserve">   2010302一般行政管理事务支出61.34万元；</w:t>
      </w:r>
    </w:p>
    <w:p>
      <w:pPr>
        <w:ind w:firstLine="480"/>
        <w:jc w:val="both"/>
      </w:pPr>
      <w:r>
        <w:rPr>
          <w:rFonts w:ascii="仿宋_GB2312" w:hAnsi="仿宋_GB2312" w:cs="仿宋_GB2312" w:eastAsia="仿宋_GB2312"/>
          <w:b w:val="false"/>
          <w:sz w:val="32"/>
        </w:rPr>
        <w:t xml:space="preserve">   2080505机关事业单位基本养老保险缴费支出6.30万元；</w:t>
      </w:r>
    </w:p>
    <w:p>
      <w:pPr>
        <w:ind w:firstLine="480"/>
        <w:jc w:val="both"/>
      </w:pPr>
      <w:r>
        <w:rPr>
          <w:rFonts w:ascii="仿宋_GB2312" w:hAnsi="仿宋_GB2312" w:cs="仿宋_GB2312" w:eastAsia="仿宋_GB2312"/>
          <w:b w:val="false"/>
          <w:sz w:val="32"/>
        </w:rPr>
        <w:t xml:space="preserve">   2210201住房公积金支出5.01万元。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2019年度一般公共预算财政拨款基本支出62.45万元，其中：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人员经费58.50万元，包括：基本工资、津贴补贴、机关事业单位基本养老保险缴费、职工基本医疗保险缴费、公务员医疗补助缴费、其他社会保障缴费、住房公积金、退休费、奖励金、其他对个人和家庭的补助。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公用经费3.95万元，包括：办公费、电费、邮电费、差旅费、公务用车运行维护费、其他商品和服务支出。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万元，比上年增加1万元，增长100%，主要原因是本单位系2019年2月涉改新成立的单位。其中，因公出国（境）费支出0万元，占0%，比上年增加0万元，增长0%，主要原因是与上年相比无变动，与上年一致；公务用车购置及运行维护费支出1万元，占100%，比上年增加1万元，增长100%，主要原因是本单位系2019年2月涉改新成立的单位；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万元，其中，公务用车购置费0万元，公务用车运行维护费1万元。公务用车运行维护费开支内容包括汽车油料、维护费、过路费、车辆保险等。公务用车购置数0辆，公务用车保有量2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万元，决算数1万元，预决算差异率0%，主要原因是：严格按照预算执行。其中：因公出国（境）费预算数0万元，决算数0万元，预决算差异率0%，主要原因是：预算未安排，无此项支出；公务用车购置费预算数0万元，决算数0万元，预决算差异率0%，主要原因是：预算未安排，无此项支出；公务用车运行费预算数1万元，决算数1万元，预决算差异率0%，主要原因是：严格按照预算执行；公务接待费预算数0万元，决算数0万元，预决算差异率0%，主要原因是：预算未安排，无此项支出。</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2019年度新疆喀什地区政务服务和公共资源管理局机关运行经费支出3.95万元，比上年增加3.95万元，增长100%，主要原因是本单位系2019年2月涉改新成立的单位。</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2019年度政府采购支出总额22.07万元，其中：政府采购货物支出22.07万元、政府采购工程支出0万元、政府采购服务支出0万元。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授予中小企业合同金额17.49万元，占政府采购支出总额的79.25%，其中：授予小微企业合同金额0万元，占政府采购支出总额的0%。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2辆，价值47.74万元，其中：副部（省）级及以上领导用车0辆、主要领导干部用车0辆、机要通信用车0辆、应急保障用车0辆、执法执勤用车0辆、特种专业技术用车0辆、离退休干部用车0辆、其他用车2辆，其他用车主要是：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lastRenderedPageBreak/>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5个，共涉及资金61.34万元。预算绩效管理取得的成效：一是部门年度任务在预算资金额度内完成，并通过规范的招投标及严格的资金管理及项目管理及其他创新的管理措施实现了资金的节约。三公经费在预算范围内开支，因本单位属涉改新成立单位，无上年对比数。二是各项工作计划按预期计划按时完成，效益按预期时间产生。三是预期的经济效益、社会效益、可持续的影响产生，相关人员的满意度达到预期指标。发现的问题及原因：一是经济效益分析不够深入，效率性分析不够深入、全面，效益性分析不够深入、全面；二是部分绩效目标设置不太合理，没有准确反映项目的宗旨；三是预算绩效管理闭环机制还不够完善，需要各部门协调配合。下一步改进措施：一是加强绩效经济指标分析、效率性、效益性分析。年初做好资金计划，按照项目进度及时拨付资金，使资金使用效益最大化，减少不必要的浪费，节约成本。二是强化项目前期准备工作，加强项目实施方案和计划的可行性论证。建议项目单位在项目开展前进行深入的需求调研，并形成需求调研报告，在此基础上，仔细撰写可行性研究报告，对项目开展的必要性、可行性、风险防范措施等进行深入分析，同时制定工作实施方案和资金使用；三是按照预算支出内容、以结果为导向，设置合理的绩效目标，加强项目实施效果的管控；进一步加强预算绩效管理，建立“预算编制有目标、预算执行有监控、预算完成有评价、评价结果有反馈、反馈结果有应用”的预算绩效管理机制。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w:t>
      </w:r>
      <w:r>
        <w:rPr>
          <w:rFonts w:ascii="仿宋_GB2312" w:eastAsia="仿宋_GB2312" w:hint="eastAsia"/>
          <w:sz w:val="32"/>
          <w:szCs w:val="32"/>
        </w:rPr>
        <w:lastRenderedPageBreak/>
        <w:t>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w:t>
      </w:r>
      <w:r>
        <w:rPr>
          <w:rFonts w:ascii="仿宋_GB2312" w:eastAsia="仿宋_GB2312" w:hint="eastAsia"/>
          <w:sz w:val="32"/>
          <w:szCs w:val="32"/>
        </w:rPr>
        <w:lastRenderedPageBreak/>
        <w:t>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8AF78A" w14:textId="77777777" w:rsidR="00EA656B" w:rsidRDefault="00EA656B">
      <w:r>
        <w:separator/>
      </w:r>
    </w:p>
  </w:endnote>
  <w:endnote w:type="continuationSeparator" w:id="0">
    <w:p w14:paraId="3234A3E4" w14:textId="77777777" w:rsidR="00EA656B" w:rsidRDefault="00EA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6A77A" w14:textId="77777777" w:rsidR="00EA656B" w:rsidRDefault="00EA656B">
      <w:r>
        <w:separator/>
      </w:r>
    </w:p>
  </w:footnote>
  <w:footnote w:type="continuationSeparator" w:id="0">
    <w:p w14:paraId="16C2A13B" w14:textId="77777777" w:rsidR="00EA656B" w:rsidRDefault="00EA6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nforcement="1" w:edit="comments" w:salt="eMncCnaj4PDeF8ewYqUOLA==" w:hash="ARdayIk3LW0VFZ6vD28j1ChZY8Y="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1031</Words>
  <Characters>5882</Characters>
  <Application>Microsoft Office Word</Application>
  <DocSecurity>0</DocSecurity>
  <Lines>49</Lines>
  <Paragraphs>13</Paragraphs>
  <ScaleCrop>false</ScaleCrop>
  <Company/>
  <LinksUpToDate>false</LinksUpToDate>
  <CharactersWithSpaces>6900</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2020-09-11T11:08:00Z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